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WA public sector internal audit &amp; risk — research register</w:t>
      </w:r>
    </w:p>
    <w:p>
      <w:pPr>
        <w:spacing w:after="200"/>
      </w:pPr>
      <w:r>
        <w:rPr>
          <w:b/>
          <w:color w:val="3C6E71"/>
          <w:sz w:val="24"/>
        </w:rPr>
        <w:t xml:space="preserve">Blue Zoo  ·  Campaign 1  ·  target-role contact register</w:t>
      </w:r>
    </w:p>
    <w:p>
      <w:pPr>
        <w:pStyle w:val="Heading1"/>
      </w:pPr>
      <w:r>
        <w:t xml:space="preserve">Purpose</w:t>
      </w:r>
    </w:p>
    <w:p>
      <w:r>
        <w:t xml:space="preserve">A structured register for compiling the four target roles — Chief Audit Executive, Director Audit &amp; Risk, Internal Audit Manager and Audit Committee Secretary — across Western Australian public sector agencies. All entries must be sourced from publicly published government documents and dated. This document lists the agencies and the roles to capture; populate each cell only from a verifiable public source and record that source.</w:t>
      </w:r>
    </w:p>
    <w:p>
      <w:pPr>
        <w:pStyle w:val="Heading1"/>
      </w:pPr>
      <w:r>
        <w:t xml:space="preserve">Legitimate sources (in order of reliability)</w:t>
      </w:r>
    </w:p>
    <w:p>
      <w:pPr>
        <w:ind w:left="360" w:hanging="360"/>
        <w:spacing w:after="40"/>
      </w:pPr>
      <w:r>
        <w:t xml:space="preserve">•	Agency annual reports 2023–24 and 2024–25 — the Audit and Risk Committee / governance section names committee members and the committee chair, and often the Chief Audit Executive.</w:t>
      </w:r>
    </w:p>
    <w:p>
      <w:pPr>
        <w:ind w:left="360" w:hanging="360"/>
        <w:spacing w:after="40"/>
      </w:pPr>
      <w:r>
        <w:t xml:space="preserve">•	WA Government online directory (the official whole-of-government directory) — positions and business contact details.</w:t>
      </w:r>
    </w:p>
    <w:p>
      <w:pPr>
        <w:ind w:left="360" w:hanging="360"/>
        <w:spacing w:after="40"/>
      </w:pPr>
      <w:r>
        <w:t xml:space="preserve">•	Audit committee charters and disclosures published on agency websites.</w:t>
      </w:r>
    </w:p>
    <w:p>
      <w:pPr>
        <w:ind w:left="360" w:hanging="360"/>
        <w:spacing w:after="40"/>
      </w:pPr>
      <w:r>
        <w:t xml:space="preserve">•	Executive and organisational charts published by agencies.</w:t>
      </w:r>
    </w:p>
    <w:p>
      <w:pPr>
        <w:ind w:left="360" w:hanging="360"/>
        <w:spacing w:after="40"/>
      </w:pPr>
      <w:r>
        <w:t xml:space="preserve">•	Public Sector Commission publications — the State of the Sector report and the published list of public sector bodies (use to confirm the full agency population).</w:t>
      </w:r>
    </w:p>
    <w:p>
      <w:pPr>
        <w:ind w:left="360" w:hanging="360"/>
        <w:spacing w:after="40"/>
      </w:pPr>
      <w:r>
        <w:t xml:space="preserve">•	Government recruitment notices (jobs.wa.gov.au) — useful for confirming current vacancies and position titles.</w:t>
      </w:r>
    </w:p>
    <w:p>
      <w:pPr>
        <w:ind w:left="360" w:hanging="360"/>
        <w:spacing w:after="40"/>
      </w:pPr>
      <w:r>
        <w:t xml:space="preserve">•	LinkedIn — cross-check only. Never record a LinkedIn-only name; confirm against a published government source first.</w:t>
      </w:r>
    </w:p>
    <w:p>
      <w:pPr>
        <w:pStyle w:val="Heading1"/>
      </w:pPr>
      <w:r>
        <w:t xml:space="preserve">Sourcing notes</w:t>
      </w:r>
    </w:p>
    <w:p>
      <w:r>
        <w:t xml:space="preserve">Annual reports reliably disclose Audit and Risk Committee membership and the committee chair. The Chief Audit Executive or Internal Audit Manager is sometimes named in the governance section or organisational chart, and sometimes not. Where a role is not publicly named, record the position title and the agency's general governance enquiries channel rather than an unverified name. Audit Committee Secretary is frequently an internal position title rather than a named individual — capture the title and confirm the name only where published.</w:t>
      </w:r>
    </w:p>
    <w:p>
      <w:r>
        <w:t xml:space="preserve">This list covers the major WA public sector agencies. Reconcile it against the current Public Sector Commission list of public sector bodies and the WA Government directory to reach full coverage of approximately 160 agencies, adding rows as required.</w:t>
      </w:r>
    </w:p>
    <w:p>
      <w:pPr>
        <w:pStyle w:val="Heading1"/>
      </w:pPr>
      <w:r>
        <w:t xml:space="preserve">Agency register</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520"/>
        <w:gridCol w:w="2900"/>
        <w:gridCol w:w="1980"/>
        <w:gridCol w:w="1980"/>
        <w:gridCol w:w="1980"/>
        <w:gridCol w:w="1980"/>
        <w:gridCol w:w="2470"/>
        <w:gridCol w:w="760"/>
      </w:tblGrid>
      <w:tr>
        <w:trPr>
          <w:tblHeader/>
        </w:trPr>
        <w:tc>
          <w:tcPr>
            <w:tcW w:w="520" w:type="dxa"/>
            <w:shd w:val="clear" w:color="auto" w:fill="284B63"/>
          </w:tcPr>
          <w:p>
            <w:pPr>
              <w:spacing w:before="20" w:after="20"/>
            </w:pPr>
            <w:r>
              <w:rPr>
                <w:b/>
                <w:color w:val="FFFFFF"/>
                <w:sz w:val="18"/>
              </w:rPr>
              <w:t xml:space="preserve">No.</w:t>
            </w:r>
          </w:p>
        </w:tc>
        <w:tc>
          <w:tcPr>
            <w:tcW w:w="2900" w:type="dxa"/>
            <w:shd w:val="clear" w:color="auto" w:fill="284B63"/>
          </w:tcPr>
          <w:p>
            <w:pPr>
              <w:spacing w:before="20" w:after="20"/>
            </w:pPr>
            <w:r>
              <w:rPr>
                <w:b/>
                <w:color w:val="FFFFFF"/>
                <w:sz w:val="18"/>
              </w:rPr>
              <w:t xml:space="preserve">Agency</w:t>
            </w:r>
          </w:p>
        </w:tc>
        <w:tc>
          <w:tcPr>
            <w:tcW w:w="1980" w:type="dxa"/>
            <w:shd w:val="clear" w:color="auto" w:fill="284B63"/>
          </w:tcPr>
          <w:p>
            <w:pPr>
              <w:spacing w:before="20" w:after="20"/>
            </w:pPr>
            <w:r>
              <w:rPr>
                <w:b/>
                <w:color w:val="FFFFFF"/>
                <w:sz w:val="18"/>
              </w:rPr>
              <w:t xml:space="preserve">Chief Audit Executive</w:t>
            </w:r>
          </w:p>
        </w:tc>
        <w:tc>
          <w:tcPr>
            <w:tcW w:w="1980" w:type="dxa"/>
            <w:shd w:val="clear" w:color="auto" w:fill="284B63"/>
          </w:tcPr>
          <w:p>
            <w:pPr>
              <w:spacing w:before="20" w:after="20"/>
            </w:pPr>
            <w:r>
              <w:rPr>
                <w:b/>
                <w:color w:val="FFFFFF"/>
                <w:sz w:val="18"/>
              </w:rPr>
              <w:t xml:space="preserve">Director, Audit &amp; Risk</w:t>
            </w:r>
          </w:p>
        </w:tc>
        <w:tc>
          <w:tcPr>
            <w:tcW w:w="1980" w:type="dxa"/>
            <w:shd w:val="clear" w:color="auto" w:fill="284B63"/>
          </w:tcPr>
          <w:p>
            <w:pPr>
              <w:spacing w:before="20" w:after="20"/>
            </w:pPr>
            <w:r>
              <w:rPr>
                <w:b/>
                <w:color w:val="FFFFFF"/>
                <w:sz w:val="18"/>
              </w:rPr>
              <w:t xml:space="preserve">Internal Audit Manager</w:t>
            </w:r>
          </w:p>
        </w:tc>
        <w:tc>
          <w:tcPr>
            <w:tcW w:w="1980" w:type="dxa"/>
            <w:shd w:val="clear" w:color="auto" w:fill="284B63"/>
          </w:tcPr>
          <w:p>
            <w:pPr>
              <w:spacing w:before="20" w:after="20"/>
            </w:pPr>
            <w:r>
              <w:rPr>
                <w:b/>
                <w:color w:val="FFFFFF"/>
                <w:sz w:val="18"/>
              </w:rPr>
              <w:t xml:space="preserve">Audit Committee Secretary</w:t>
            </w:r>
          </w:p>
        </w:tc>
        <w:tc>
          <w:tcPr>
            <w:tcW w:w="2470" w:type="dxa"/>
            <w:shd w:val="clear" w:color="auto" w:fill="284B63"/>
          </w:tcPr>
          <w:p>
            <w:pPr>
              <w:spacing w:before="20" w:after="20"/>
            </w:pPr>
            <w:r>
              <w:rPr>
                <w:b/>
                <w:color w:val="FFFFFF"/>
                <w:sz w:val="18"/>
              </w:rPr>
              <w:t xml:space="preserve">Primary published source</w:t>
            </w:r>
          </w:p>
        </w:tc>
        <w:tc>
          <w:tcPr>
            <w:tcW w:w="760" w:type="dxa"/>
            <w:shd w:val="clear" w:color="auto" w:fill="284B63"/>
          </w:tcPr>
          <w:p>
            <w:pPr>
              <w:spacing w:before="20" w:after="20"/>
            </w:pPr>
            <w:r>
              <w:rPr>
                <w:b/>
                <w:color w:val="FFFFFF"/>
                <w:sz w:val="18"/>
              </w:rPr>
              <w:t xml:space="preserve">Verified (date)</w:t>
            </w:r>
          </w:p>
        </w:tc>
      </w:tr>
      <w:tr>
        <w:tc>
          <w:tcPr>
            <w:tcW w:w="520" w:type="dxa"/>
          </w:tcPr>
          <w:p>
            <w:pPr>
              <w:spacing w:before="20" w:after="20"/>
            </w:pPr>
            <w:r>
              <w:rPr>
                <w:sz w:val="18"/>
              </w:rPr>
              <w:t xml:space="preserve">1</w:t>
            </w:r>
          </w:p>
        </w:tc>
        <w:tc>
          <w:tcPr>
            <w:tcW w:w="2900" w:type="dxa"/>
          </w:tcPr>
          <w:p>
            <w:pPr>
              <w:spacing w:before="20" w:after="20"/>
            </w:pPr>
            <w:r>
              <w:rPr>
                <w:sz w:val="18"/>
              </w:rPr>
              <w:t xml:space="preserve">Department of the Premier and Cabinet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w:t>
            </w:r>
          </w:p>
        </w:tc>
        <w:tc>
          <w:tcPr>
            <w:tcW w:w="2900" w:type="dxa"/>
          </w:tcPr>
          <w:p>
            <w:pPr>
              <w:spacing w:before="20" w:after="20"/>
            </w:pPr>
            <w:r>
              <w:rPr>
                <w:sz w:val="18"/>
              </w:rPr>
              <w:t xml:space="preserve">Department of Treasury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w:t>
            </w:r>
          </w:p>
        </w:tc>
        <w:tc>
          <w:tcPr>
            <w:tcW w:w="2900" w:type="dxa"/>
          </w:tcPr>
          <w:p>
            <w:pPr>
              <w:spacing w:before="20" w:after="20"/>
            </w:pPr>
            <w:r>
              <w:rPr>
                <w:sz w:val="18"/>
              </w:rPr>
              <w:t xml:space="preserve">Department of Finance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w:t>
            </w:r>
          </w:p>
        </w:tc>
        <w:tc>
          <w:tcPr>
            <w:tcW w:w="2900" w:type="dxa"/>
          </w:tcPr>
          <w:p>
            <w:pPr>
              <w:spacing w:before="20" w:after="20"/>
            </w:pPr>
            <w:r>
              <w:rPr>
                <w:sz w:val="18"/>
              </w:rPr>
              <w:t xml:space="preserve">Department of Jobs, Tourism, Science and Innovation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w:t>
            </w:r>
          </w:p>
        </w:tc>
        <w:tc>
          <w:tcPr>
            <w:tcW w:w="2900" w:type="dxa"/>
          </w:tcPr>
          <w:p>
            <w:pPr>
              <w:spacing w:before="20" w:after="20"/>
            </w:pPr>
            <w:r>
              <w:rPr>
                <w:sz w:val="18"/>
              </w:rPr>
              <w:t xml:space="preserve">Department of Primary Industries and Regional Development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w:t>
            </w:r>
          </w:p>
        </w:tc>
        <w:tc>
          <w:tcPr>
            <w:tcW w:w="2900" w:type="dxa"/>
          </w:tcPr>
          <w:p>
            <w:pPr>
              <w:spacing w:before="20" w:after="20"/>
            </w:pPr>
            <w:r>
              <w:rPr>
                <w:sz w:val="18"/>
              </w:rPr>
              <w:t xml:space="preserve">Department of Energy, Mines, Industry Regulation and Safety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w:t>
            </w:r>
          </w:p>
        </w:tc>
        <w:tc>
          <w:tcPr>
            <w:tcW w:w="2900" w:type="dxa"/>
          </w:tcPr>
          <w:p>
            <w:pPr>
              <w:spacing w:before="20" w:after="20"/>
            </w:pPr>
            <w:r>
              <w:rPr>
                <w:sz w:val="18"/>
              </w:rPr>
              <w:t xml:space="preserve">Department of Water and Environmental Regulation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w:t>
            </w:r>
          </w:p>
        </w:tc>
        <w:tc>
          <w:tcPr>
            <w:tcW w:w="2900" w:type="dxa"/>
          </w:tcPr>
          <w:p>
            <w:pPr>
              <w:spacing w:before="20" w:after="20"/>
            </w:pPr>
            <w:r>
              <w:rPr>
                <w:sz w:val="18"/>
              </w:rPr>
              <w:t xml:space="preserve">Department of Biodiversity, Conservation and Attractions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w:t>
            </w:r>
          </w:p>
        </w:tc>
        <w:tc>
          <w:tcPr>
            <w:tcW w:w="2900" w:type="dxa"/>
          </w:tcPr>
          <w:p>
            <w:pPr>
              <w:spacing w:before="20" w:after="20"/>
            </w:pPr>
            <w:r>
              <w:rPr>
                <w:sz w:val="18"/>
              </w:rPr>
              <w:t xml:space="preserve">Department of Planning, Lands and Heritage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10</w:t>
            </w:r>
          </w:p>
        </w:tc>
        <w:tc>
          <w:tcPr>
            <w:tcW w:w="2900" w:type="dxa"/>
          </w:tcPr>
          <w:p>
            <w:pPr>
              <w:spacing w:before="20" w:after="20"/>
            </w:pPr>
            <w:r>
              <w:rPr>
                <w:sz w:val="18"/>
              </w:rPr>
              <w:t xml:space="preserve">Department of Transport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11</w:t>
            </w:r>
          </w:p>
        </w:tc>
        <w:tc>
          <w:tcPr>
            <w:tcW w:w="2900" w:type="dxa"/>
          </w:tcPr>
          <w:p>
            <w:pPr>
              <w:spacing w:before="20" w:after="20"/>
            </w:pPr>
            <w:r>
              <w:rPr>
                <w:sz w:val="18"/>
              </w:rPr>
              <w:t xml:space="preserve">Department of Communities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12</w:t>
            </w:r>
          </w:p>
        </w:tc>
        <w:tc>
          <w:tcPr>
            <w:tcW w:w="2900" w:type="dxa"/>
          </w:tcPr>
          <w:p>
            <w:pPr>
              <w:spacing w:before="20" w:after="20"/>
            </w:pPr>
            <w:r>
              <w:rPr>
                <w:sz w:val="18"/>
              </w:rPr>
              <w:t xml:space="preserve">Department of Education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13</w:t>
            </w:r>
          </w:p>
        </w:tc>
        <w:tc>
          <w:tcPr>
            <w:tcW w:w="2900" w:type="dxa"/>
          </w:tcPr>
          <w:p>
            <w:pPr>
              <w:spacing w:before="20" w:after="20"/>
            </w:pPr>
            <w:r>
              <w:rPr>
                <w:sz w:val="18"/>
              </w:rPr>
              <w:t xml:space="preserve">Department of Training and Workforce Development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14</w:t>
            </w:r>
          </w:p>
        </w:tc>
        <w:tc>
          <w:tcPr>
            <w:tcW w:w="2900" w:type="dxa"/>
          </w:tcPr>
          <w:p>
            <w:pPr>
              <w:spacing w:before="20" w:after="20"/>
            </w:pPr>
            <w:r>
              <w:rPr>
                <w:sz w:val="18"/>
              </w:rPr>
              <w:t xml:space="preserve">Department of Health</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15</w:t>
            </w:r>
          </w:p>
        </w:tc>
        <w:tc>
          <w:tcPr>
            <w:tcW w:w="2900" w:type="dxa"/>
          </w:tcPr>
          <w:p>
            <w:pPr>
              <w:spacing w:before="20" w:after="20"/>
            </w:pPr>
            <w:r>
              <w:rPr>
                <w:sz w:val="18"/>
              </w:rPr>
              <w:t xml:space="preserve">Department of Justice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16</w:t>
            </w:r>
          </w:p>
        </w:tc>
        <w:tc>
          <w:tcPr>
            <w:tcW w:w="2900" w:type="dxa"/>
          </w:tcPr>
          <w:p>
            <w:pPr>
              <w:spacing w:before="20" w:after="20"/>
            </w:pPr>
            <w:r>
              <w:rPr>
                <w:sz w:val="18"/>
              </w:rPr>
              <w:t xml:space="preserve">Department of Local Government, Sport and Cultural Industries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17</w:t>
            </w:r>
          </w:p>
        </w:tc>
        <w:tc>
          <w:tcPr>
            <w:tcW w:w="2900" w:type="dxa"/>
          </w:tcPr>
          <w:p>
            <w:pPr>
              <w:spacing w:before="20" w:after="20"/>
            </w:pPr>
            <w:r>
              <w:rPr>
                <w:sz w:val="18"/>
              </w:rPr>
              <w:t xml:space="preserve">Department of Fire and Emergency Services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18</w:t>
            </w:r>
          </w:p>
        </w:tc>
        <w:tc>
          <w:tcPr>
            <w:tcW w:w="2900" w:type="dxa"/>
          </w:tcPr>
          <w:p>
            <w:pPr>
              <w:spacing w:before="20" w:after="20"/>
            </w:pPr>
            <w:r>
              <w:rPr>
                <w:sz w:val="18"/>
              </w:rPr>
              <w:t xml:space="preserve">Public Sector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19</w:t>
            </w:r>
          </w:p>
        </w:tc>
        <w:tc>
          <w:tcPr>
            <w:tcW w:w="2900" w:type="dxa"/>
          </w:tcPr>
          <w:p>
            <w:pPr>
              <w:spacing w:before="20" w:after="20"/>
            </w:pPr>
            <w:r>
              <w:rPr>
                <w:sz w:val="18"/>
              </w:rPr>
              <w:t xml:space="preserve">Western Australia Police Force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20</w:t>
            </w:r>
          </w:p>
        </w:tc>
        <w:tc>
          <w:tcPr>
            <w:tcW w:w="2900" w:type="dxa"/>
          </w:tcPr>
          <w:p>
            <w:pPr>
              <w:spacing w:before="20" w:after="20"/>
            </w:pPr>
            <w:r>
              <w:rPr>
                <w:sz w:val="18"/>
              </w:rPr>
              <w:t xml:space="preserve">Main Roads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21</w:t>
            </w:r>
          </w:p>
        </w:tc>
        <w:tc>
          <w:tcPr>
            <w:tcW w:w="2900" w:type="dxa"/>
          </w:tcPr>
          <w:p>
            <w:pPr>
              <w:spacing w:before="20" w:after="20"/>
            </w:pPr>
            <w:r>
              <w:rPr>
                <w:sz w:val="18"/>
              </w:rPr>
              <w:t xml:space="preserve">Public Transport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22</w:t>
            </w:r>
          </w:p>
        </w:tc>
        <w:tc>
          <w:tcPr>
            <w:tcW w:w="2900" w:type="dxa"/>
          </w:tcPr>
          <w:p>
            <w:pPr>
              <w:spacing w:before="20" w:after="20"/>
            </w:pPr>
            <w:r>
              <w:rPr>
                <w:sz w:val="18"/>
              </w:rPr>
              <w:t xml:space="preserve">Water Corporation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23</w:t>
            </w:r>
          </w:p>
        </w:tc>
        <w:tc>
          <w:tcPr>
            <w:tcW w:w="2900" w:type="dxa"/>
          </w:tcPr>
          <w:p>
            <w:pPr>
              <w:spacing w:before="20" w:after="20"/>
            </w:pPr>
            <w:r>
              <w:rPr>
                <w:sz w:val="18"/>
              </w:rPr>
              <w:t xml:space="preserve">Synergy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24</w:t>
            </w:r>
          </w:p>
        </w:tc>
        <w:tc>
          <w:tcPr>
            <w:tcW w:w="2900" w:type="dxa"/>
          </w:tcPr>
          <w:p>
            <w:pPr>
              <w:spacing w:before="20" w:after="20"/>
            </w:pPr>
            <w:r>
              <w:rPr>
                <w:sz w:val="18"/>
              </w:rPr>
              <w:t xml:space="preserve">Western Power</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25</w:t>
            </w:r>
          </w:p>
        </w:tc>
        <w:tc>
          <w:tcPr>
            <w:tcW w:w="2900" w:type="dxa"/>
          </w:tcPr>
          <w:p>
            <w:pPr>
              <w:spacing w:before="20" w:after="20"/>
            </w:pPr>
            <w:r>
              <w:rPr>
                <w:sz w:val="18"/>
              </w:rPr>
              <w:t xml:space="preserve">Horizon Power</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26</w:t>
            </w:r>
          </w:p>
        </w:tc>
        <w:tc>
          <w:tcPr>
            <w:tcW w:w="2900" w:type="dxa"/>
          </w:tcPr>
          <w:p>
            <w:pPr>
              <w:spacing w:before="20" w:after="20"/>
            </w:pPr>
            <w:r>
              <w:rPr>
                <w:sz w:val="18"/>
              </w:rPr>
              <w:t xml:space="preserve">Landgate (WA Land Information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27</w:t>
            </w:r>
          </w:p>
        </w:tc>
        <w:tc>
          <w:tcPr>
            <w:tcW w:w="2900" w:type="dxa"/>
          </w:tcPr>
          <w:p>
            <w:pPr>
              <w:spacing w:before="20" w:after="20"/>
            </w:pPr>
            <w:r>
              <w:rPr>
                <w:sz w:val="18"/>
              </w:rPr>
              <w:t xml:space="preserve">DevelopmentWA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28</w:t>
            </w:r>
          </w:p>
        </w:tc>
        <w:tc>
          <w:tcPr>
            <w:tcW w:w="2900" w:type="dxa"/>
          </w:tcPr>
          <w:p>
            <w:pPr>
              <w:spacing w:before="20" w:after="20"/>
            </w:pPr>
            <w:r>
              <w:rPr>
                <w:sz w:val="18"/>
              </w:rPr>
              <w:t xml:space="preserve">Insurance Commission of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29</w:t>
            </w:r>
          </w:p>
        </w:tc>
        <w:tc>
          <w:tcPr>
            <w:tcW w:w="2900" w:type="dxa"/>
          </w:tcPr>
          <w:p>
            <w:pPr>
              <w:spacing w:before="20" w:after="20"/>
            </w:pPr>
            <w:r>
              <w:rPr>
                <w:sz w:val="18"/>
              </w:rPr>
              <w:t xml:space="preserve">WorkCover WA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30</w:t>
            </w:r>
          </w:p>
        </w:tc>
        <w:tc>
          <w:tcPr>
            <w:tcW w:w="2900" w:type="dxa"/>
          </w:tcPr>
          <w:p>
            <w:pPr>
              <w:spacing w:before="20" w:after="20"/>
            </w:pPr>
            <w:r>
              <w:rPr>
                <w:sz w:val="18"/>
              </w:rPr>
              <w:t xml:space="preserve">Legal Aid WA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31</w:t>
            </w:r>
          </w:p>
        </w:tc>
        <w:tc>
          <w:tcPr>
            <w:tcW w:w="2900" w:type="dxa"/>
          </w:tcPr>
          <w:p>
            <w:pPr>
              <w:spacing w:before="20" w:after="20"/>
            </w:pPr>
            <w:r>
              <w:rPr>
                <w:sz w:val="18"/>
              </w:rPr>
              <w:t xml:space="preserve">Corruption and Crime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32</w:t>
            </w:r>
          </w:p>
        </w:tc>
        <w:tc>
          <w:tcPr>
            <w:tcW w:w="2900" w:type="dxa"/>
          </w:tcPr>
          <w:p>
            <w:pPr>
              <w:spacing w:before="20" w:after="20"/>
            </w:pPr>
            <w:r>
              <w:rPr>
                <w:sz w:val="18"/>
              </w:rPr>
              <w:t xml:space="preserve">Office of the Auditor General</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33</w:t>
            </w:r>
          </w:p>
        </w:tc>
        <w:tc>
          <w:tcPr>
            <w:tcW w:w="2900" w:type="dxa"/>
          </w:tcPr>
          <w:p>
            <w:pPr>
              <w:spacing w:before="20" w:after="20"/>
            </w:pPr>
            <w:r>
              <w:rPr>
                <w:sz w:val="18"/>
              </w:rPr>
              <w:t xml:space="preserve">Ombudsman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34</w:t>
            </w:r>
          </w:p>
        </w:tc>
        <w:tc>
          <w:tcPr>
            <w:tcW w:w="2900" w:type="dxa"/>
          </w:tcPr>
          <w:p>
            <w:pPr>
              <w:spacing w:before="20" w:after="20"/>
            </w:pPr>
            <w:r>
              <w:rPr>
                <w:sz w:val="18"/>
              </w:rPr>
              <w:t xml:space="preserve">Western Australian Electoral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35</w:t>
            </w:r>
          </w:p>
        </w:tc>
        <w:tc>
          <w:tcPr>
            <w:tcW w:w="2900" w:type="dxa"/>
          </w:tcPr>
          <w:p>
            <w:pPr>
              <w:spacing w:before="20" w:after="20"/>
            </w:pPr>
            <w:r>
              <w:rPr>
                <w:sz w:val="18"/>
              </w:rPr>
              <w:t xml:space="preserve">Mental Health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36</w:t>
            </w:r>
          </w:p>
        </w:tc>
        <w:tc>
          <w:tcPr>
            <w:tcW w:w="2900" w:type="dxa"/>
          </w:tcPr>
          <w:p>
            <w:pPr>
              <w:spacing w:before="20" w:after="20"/>
            </w:pPr>
            <w:r>
              <w:rPr>
                <w:sz w:val="18"/>
              </w:rPr>
              <w:t xml:space="preserve">East Metropolitan Health Service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37</w:t>
            </w:r>
          </w:p>
        </w:tc>
        <w:tc>
          <w:tcPr>
            <w:tcW w:w="2900" w:type="dxa"/>
          </w:tcPr>
          <w:p>
            <w:pPr>
              <w:spacing w:before="20" w:after="20"/>
            </w:pPr>
            <w:r>
              <w:rPr>
                <w:sz w:val="18"/>
              </w:rPr>
              <w:t xml:space="preserve">North Metropolitan Health Service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38</w:t>
            </w:r>
          </w:p>
        </w:tc>
        <w:tc>
          <w:tcPr>
            <w:tcW w:w="2900" w:type="dxa"/>
          </w:tcPr>
          <w:p>
            <w:pPr>
              <w:spacing w:before="20" w:after="20"/>
            </w:pPr>
            <w:r>
              <w:rPr>
                <w:sz w:val="18"/>
              </w:rPr>
              <w:t xml:space="preserve">South Metropolitan Health Service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39</w:t>
            </w:r>
          </w:p>
        </w:tc>
        <w:tc>
          <w:tcPr>
            <w:tcW w:w="2900" w:type="dxa"/>
          </w:tcPr>
          <w:p>
            <w:pPr>
              <w:spacing w:before="20" w:after="20"/>
            </w:pPr>
            <w:r>
              <w:rPr>
                <w:sz w:val="18"/>
              </w:rPr>
              <w:t xml:space="preserve">Child and Adolescent Health Service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40</w:t>
            </w:r>
          </w:p>
        </w:tc>
        <w:tc>
          <w:tcPr>
            <w:tcW w:w="2900" w:type="dxa"/>
          </w:tcPr>
          <w:p>
            <w:pPr>
              <w:spacing w:before="20" w:after="20"/>
            </w:pPr>
            <w:r>
              <w:rPr>
                <w:sz w:val="18"/>
              </w:rPr>
              <w:t xml:space="preserve">WA Country Health Service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41</w:t>
            </w:r>
          </w:p>
        </w:tc>
        <w:tc>
          <w:tcPr>
            <w:tcW w:w="2900" w:type="dxa"/>
          </w:tcPr>
          <w:p>
            <w:pPr>
              <w:spacing w:before="20" w:after="20"/>
            </w:pPr>
            <w:r>
              <w:rPr>
                <w:sz w:val="18"/>
              </w:rPr>
              <w:t xml:space="preserve">PathWest Laboratory Medicine WA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42</w:t>
            </w:r>
          </w:p>
        </w:tc>
        <w:tc>
          <w:tcPr>
            <w:tcW w:w="2900" w:type="dxa"/>
          </w:tcPr>
          <w:p>
            <w:pPr>
              <w:spacing w:before="20" w:after="20"/>
            </w:pPr>
            <w:r>
              <w:rPr>
                <w:sz w:val="18"/>
              </w:rPr>
              <w:t xml:space="preserve">Health Support Services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43</w:t>
            </w:r>
          </w:p>
        </w:tc>
        <w:tc>
          <w:tcPr>
            <w:tcW w:w="2900" w:type="dxa"/>
          </w:tcPr>
          <w:p>
            <w:pPr>
              <w:spacing w:before="20" w:after="20"/>
            </w:pPr>
            <w:r>
              <w:rPr>
                <w:sz w:val="18"/>
              </w:rPr>
              <w:t xml:space="preserve">Quadriplegic Centre Board</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44</w:t>
            </w:r>
          </w:p>
        </w:tc>
        <w:tc>
          <w:tcPr>
            <w:tcW w:w="2900" w:type="dxa"/>
          </w:tcPr>
          <w:p>
            <w:pPr>
              <w:spacing w:before="20" w:after="20"/>
            </w:pPr>
            <w:r>
              <w:rPr>
                <w:sz w:val="18"/>
              </w:rPr>
              <w:t xml:space="preserve">Curtin University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45</w:t>
            </w:r>
          </w:p>
        </w:tc>
        <w:tc>
          <w:tcPr>
            <w:tcW w:w="2900" w:type="dxa"/>
          </w:tcPr>
          <w:p>
            <w:pPr>
              <w:spacing w:before="20" w:after="20"/>
            </w:pPr>
            <w:r>
              <w:rPr>
                <w:sz w:val="18"/>
              </w:rPr>
              <w:t xml:space="preserve">The University of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46</w:t>
            </w:r>
          </w:p>
        </w:tc>
        <w:tc>
          <w:tcPr>
            <w:tcW w:w="2900" w:type="dxa"/>
          </w:tcPr>
          <w:p>
            <w:pPr>
              <w:spacing w:before="20" w:after="20"/>
            </w:pPr>
            <w:r>
              <w:rPr>
                <w:sz w:val="18"/>
              </w:rPr>
              <w:t xml:space="preserve">Murdoch University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47</w:t>
            </w:r>
          </w:p>
        </w:tc>
        <w:tc>
          <w:tcPr>
            <w:tcW w:w="2900" w:type="dxa"/>
          </w:tcPr>
          <w:p>
            <w:pPr>
              <w:spacing w:before="20" w:after="20"/>
            </w:pPr>
            <w:r>
              <w:rPr>
                <w:sz w:val="18"/>
              </w:rPr>
              <w:t xml:space="preserve">Edith Cowan University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48</w:t>
            </w:r>
          </w:p>
        </w:tc>
        <w:tc>
          <w:tcPr>
            <w:tcW w:w="2900" w:type="dxa"/>
          </w:tcPr>
          <w:p>
            <w:pPr>
              <w:spacing w:before="20" w:after="20"/>
            </w:pPr>
            <w:r>
              <w:rPr>
                <w:sz w:val="18"/>
              </w:rPr>
              <w:t xml:space="preserve">North Metropolitan TAFE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49</w:t>
            </w:r>
          </w:p>
        </w:tc>
        <w:tc>
          <w:tcPr>
            <w:tcW w:w="2900" w:type="dxa"/>
          </w:tcPr>
          <w:p>
            <w:pPr>
              <w:spacing w:before="20" w:after="20"/>
            </w:pPr>
            <w:r>
              <w:rPr>
                <w:sz w:val="18"/>
              </w:rPr>
              <w:t xml:space="preserve">South Metropolitan TAFE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50</w:t>
            </w:r>
          </w:p>
        </w:tc>
        <w:tc>
          <w:tcPr>
            <w:tcW w:w="2900" w:type="dxa"/>
          </w:tcPr>
          <w:p>
            <w:pPr>
              <w:spacing w:before="20" w:after="20"/>
            </w:pPr>
            <w:r>
              <w:rPr>
                <w:sz w:val="18"/>
              </w:rPr>
              <w:t xml:space="preserve">Central Regional TAFE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51</w:t>
            </w:r>
          </w:p>
        </w:tc>
        <w:tc>
          <w:tcPr>
            <w:tcW w:w="2900" w:type="dxa"/>
          </w:tcPr>
          <w:p>
            <w:pPr>
              <w:spacing w:before="20" w:after="20"/>
            </w:pPr>
            <w:r>
              <w:rPr>
                <w:sz w:val="18"/>
              </w:rPr>
              <w:t xml:space="preserve">North Regional TAFE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52</w:t>
            </w:r>
          </w:p>
        </w:tc>
        <w:tc>
          <w:tcPr>
            <w:tcW w:w="2900" w:type="dxa"/>
          </w:tcPr>
          <w:p>
            <w:pPr>
              <w:spacing w:before="20" w:after="20"/>
            </w:pPr>
            <w:r>
              <w:rPr>
                <w:sz w:val="18"/>
              </w:rPr>
              <w:t xml:space="preserve">South Regional TAFE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53</w:t>
            </w:r>
          </w:p>
        </w:tc>
        <w:tc>
          <w:tcPr>
            <w:tcW w:w="2900" w:type="dxa"/>
          </w:tcPr>
          <w:p>
            <w:pPr>
              <w:spacing w:before="20" w:after="20"/>
            </w:pPr>
            <w:r>
              <w:rPr>
                <w:sz w:val="18"/>
              </w:rPr>
              <w:t xml:space="preserve">Tourism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54</w:t>
            </w:r>
          </w:p>
        </w:tc>
        <w:tc>
          <w:tcPr>
            <w:tcW w:w="2900" w:type="dxa"/>
          </w:tcPr>
          <w:p>
            <w:pPr>
              <w:spacing w:before="20" w:after="20"/>
            </w:pPr>
            <w:r>
              <w:rPr>
                <w:sz w:val="18"/>
              </w:rPr>
              <w:t xml:space="preserve">ScreenWest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55</w:t>
            </w:r>
          </w:p>
        </w:tc>
        <w:tc>
          <w:tcPr>
            <w:tcW w:w="2900" w:type="dxa"/>
          </w:tcPr>
          <w:p>
            <w:pPr>
              <w:spacing w:before="20" w:after="20"/>
            </w:pPr>
            <w:r>
              <w:rPr>
                <w:sz w:val="18"/>
              </w:rPr>
              <w:t xml:space="preserve">Western Australian Museum</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56</w:t>
            </w:r>
          </w:p>
        </w:tc>
        <w:tc>
          <w:tcPr>
            <w:tcW w:w="2900" w:type="dxa"/>
          </w:tcPr>
          <w:p>
            <w:pPr>
              <w:spacing w:before="20" w:after="20"/>
            </w:pPr>
            <w:r>
              <w:rPr>
                <w:sz w:val="18"/>
              </w:rPr>
              <w:t xml:space="preserve">State Library of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57</w:t>
            </w:r>
          </w:p>
        </w:tc>
        <w:tc>
          <w:tcPr>
            <w:tcW w:w="2900" w:type="dxa"/>
          </w:tcPr>
          <w:p>
            <w:pPr>
              <w:spacing w:before="20" w:after="20"/>
            </w:pPr>
            <w:r>
              <w:rPr>
                <w:sz w:val="18"/>
              </w:rPr>
              <w:t xml:space="preserve">Art Gallery of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58</w:t>
            </w:r>
          </w:p>
        </w:tc>
        <w:tc>
          <w:tcPr>
            <w:tcW w:w="2900" w:type="dxa"/>
          </w:tcPr>
          <w:p>
            <w:pPr>
              <w:spacing w:before="20" w:after="20"/>
            </w:pPr>
            <w:r>
              <w:rPr>
                <w:sz w:val="18"/>
              </w:rPr>
              <w:t xml:space="preserve">Perth Theatre Trust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59</w:t>
            </w:r>
          </w:p>
        </w:tc>
        <w:tc>
          <w:tcPr>
            <w:tcW w:w="2900" w:type="dxa"/>
          </w:tcPr>
          <w:p>
            <w:pPr>
              <w:spacing w:before="20" w:after="20"/>
            </w:pPr>
            <w:r>
              <w:rPr>
                <w:sz w:val="18"/>
              </w:rPr>
              <w:t xml:space="preserve">Rottnest Island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60</w:t>
            </w:r>
          </w:p>
        </w:tc>
        <w:tc>
          <w:tcPr>
            <w:tcW w:w="2900" w:type="dxa"/>
          </w:tcPr>
          <w:p>
            <w:pPr>
              <w:spacing w:before="20" w:after="20"/>
            </w:pPr>
            <w:r>
              <w:rPr>
                <w:sz w:val="18"/>
              </w:rPr>
              <w:t xml:space="preserve">Botanic Gardens and Parks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61</w:t>
            </w:r>
          </w:p>
        </w:tc>
        <w:tc>
          <w:tcPr>
            <w:tcW w:w="2900" w:type="dxa"/>
          </w:tcPr>
          <w:p>
            <w:pPr>
              <w:spacing w:before="20" w:after="20"/>
            </w:pPr>
            <w:r>
              <w:rPr>
                <w:sz w:val="18"/>
              </w:rPr>
              <w:t xml:space="preserve">Zoological Parks Authority (Perth Zoo)</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62</w:t>
            </w:r>
          </w:p>
        </w:tc>
        <w:tc>
          <w:tcPr>
            <w:tcW w:w="2900" w:type="dxa"/>
          </w:tcPr>
          <w:p>
            <w:pPr>
              <w:spacing w:before="20" w:after="20"/>
            </w:pPr>
            <w:r>
              <w:rPr>
                <w:sz w:val="18"/>
              </w:rPr>
              <w:t xml:space="preserve">VenuesWest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63</w:t>
            </w:r>
          </w:p>
        </w:tc>
        <w:tc>
          <w:tcPr>
            <w:tcW w:w="2900" w:type="dxa"/>
          </w:tcPr>
          <w:p>
            <w:pPr>
              <w:spacing w:before="20" w:after="20"/>
            </w:pPr>
            <w:r>
              <w:rPr>
                <w:sz w:val="18"/>
              </w:rPr>
              <w:t xml:space="preserve">Lotterywest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64</w:t>
            </w:r>
          </w:p>
        </w:tc>
        <w:tc>
          <w:tcPr>
            <w:tcW w:w="2900" w:type="dxa"/>
          </w:tcPr>
          <w:p>
            <w:pPr>
              <w:spacing w:before="20" w:after="20"/>
            </w:pPr>
            <w:r>
              <w:rPr>
                <w:sz w:val="18"/>
              </w:rPr>
              <w:t xml:space="preserve">Racing and Wagering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65</w:t>
            </w:r>
          </w:p>
        </w:tc>
        <w:tc>
          <w:tcPr>
            <w:tcW w:w="2900" w:type="dxa"/>
          </w:tcPr>
          <w:p>
            <w:pPr>
              <w:spacing w:before="20" w:after="20"/>
            </w:pPr>
            <w:r>
              <w:rPr>
                <w:sz w:val="18"/>
              </w:rPr>
              <w:t xml:space="preserve">Gold Corporation (The Perth Mint)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66</w:t>
            </w:r>
          </w:p>
        </w:tc>
        <w:tc>
          <w:tcPr>
            <w:tcW w:w="2900" w:type="dxa"/>
          </w:tcPr>
          <w:p>
            <w:pPr>
              <w:spacing w:before="20" w:after="20"/>
            </w:pPr>
            <w:r>
              <w:rPr>
                <w:sz w:val="18"/>
              </w:rPr>
              <w:t xml:space="preserve">Forest Products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67</w:t>
            </w:r>
          </w:p>
        </w:tc>
        <w:tc>
          <w:tcPr>
            <w:tcW w:w="2900" w:type="dxa"/>
          </w:tcPr>
          <w:p>
            <w:pPr>
              <w:spacing w:before="20" w:after="20"/>
            </w:pPr>
            <w:r>
              <w:rPr>
                <w:sz w:val="18"/>
              </w:rPr>
              <w:t xml:space="preserve">Small Business Development Corporation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68</w:t>
            </w:r>
          </w:p>
        </w:tc>
        <w:tc>
          <w:tcPr>
            <w:tcW w:w="2900" w:type="dxa"/>
          </w:tcPr>
          <w:p>
            <w:pPr>
              <w:spacing w:before="20" w:after="20"/>
            </w:pPr>
            <w:r>
              <w:rPr>
                <w:sz w:val="18"/>
              </w:rPr>
              <w:t xml:space="preserve">Economic Regulation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69</w:t>
            </w:r>
          </w:p>
        </w:tc>
        <w:tc>
          <w:tcPr>
            <w:tcW w:w="2900" w:type="dxa"/>
          </w:tcPr>
          <w:p>
            <w:pPr>
              <w:spacing w:before="20" w:after="20"/>
            </w:pPr>
            <w:r>
              <w:rPr>
                <w:sz w:val="18"/>
              </w:rPr>
              <w:t xml:space="preserve">Government Employees Superannuation Board (GESB)</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70</w:t>
            </w:r>
          </w:p>
        </w:tc>
        <w:tc>
          <w:tcPr>
            <w:tcW w:w="2900" w:type="dxa"/>
          </w:tcPr>
          <w:p>
            <w:pPr>
              <w:spacing w:before="20" w:after="20"/>
            </w:pPr>
            <w:r>
              <w:rPr>
                <w:sz w:val="18"/>
              </w:rPr>
              <w:t xml:space="preserve">Western Australian Treasury Corporation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71</w:t>
            </w:r>
          </w:p>
        </w:tc>
        <w:tc>
          <w:tcPr>
            <w:tcW w:w="2900" w:type="dxa"/>
          </w:tcPr>
          <w:p>
            <w:pPr>
              <w:spacing w:before="20" w:after="20"/>
            </w:pPr>
            <w:r>
              <w:rPr>
                <w:sz w:val="18"/>
              </w:rPr>
              <w:t xml:space="preserve">Keystart Loans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72</w:t>
            </w:r>
          </w:p>
        </w:tc>
        <w:tc>
          <w:tcPr>
            <w:tcW w:w="2900" w:type="dxa"/>
          </w:tcPr>
          <w:p>
            <w:pPr>
              <w:spacing w:before="20" w:after="20"/>
            </w:pPr>
            <w:r>
              <w:rPr>
                <w:sz w:val="18"/>
              </w:rPr>
              <w:t xml:space="preserve">Metropolitan Cemeteries Board</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73</w:t>
            </w:r>
          </w:p>
        </w:tc>
        <w:tc>
          <w:tcPr>
            <w:tcW w:w="2900" w:type="dxa"/>
          </w:tcPr>
          <w:p>
            <w:pPr>
              <w:spacing w:before="20" w:after="20"/>
            </w:pPr>
            <w:r>
              <w:rPr>
                <w:sz w:val="18"/>
              </w:rPr>
              <w:t xml:space="preserve">Aqwest (Bunbury Water Corporation)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74</w:t>
            </w:r>
          </w:p>
        </w:tc>
        <w:tc>
          <w:tcPr>
            <w:tcW w:w="2900" w:type="dxa"/>
          </w:tcPr>
          <w:p>
            <w:pPr>
              <w:spacing w:before="20" w:after="20"/>
            </w:pPr>
            <w:r>
              <w:rPr>
                <w:sz w:val="18"/>
              </w:rPr>
              <w:t xml:space="preserve">Busselton Water Corporation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75</w:t>
            </w:r>
          </w:p>
        </w:tc>
        <w:tc>
          <w:tcPr>
            <w:tcW w:w="2900" w:type="dxa"/>
          </w:tcPr>
          <w:p>
            <w:pPr>
              <w:spacing w:before="20" w:after="20"/>
            </w:pPr>
            <w:r>
              <w:rPr>
                <w:sz w:val="18"/>
              </w:rPr>
              <w:t xml:space="preserve">Pilbara Ports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76</w:t>
            </w:r>
          </w:p>
        </w:tc>
        <w:tc>
          <w:tcPr>
            <w:tcW w:w="2900" w:type="dxa"/>
          </w:tcPr>
          <w:p>
            <w:pPr>
              <w:spacing w:before="20" w:after="20"/>
            </w:pPr>
            <w:r>
              <w:rPr>
                <w:sz w:val="18"/>
              </w:rPr>
              <w:t xml:space="preserve">Fremantle Port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77</w:t>
            </w:r>
          </w:p>
        </w:tc>
        <w:tc>
          <w:tcPr>
            <w:tcW w:w="2900" w:type="dxa"/>
          </w:tcPr>
          <w:p>
            <w:pPr>
              <w:spacing w:before="20" w:after="20"/>
            </w:pPr>
            <w:r>
              <w:rPr>
                <w:sz w:val="18"/>
              </w:rPr>
              <w:t xml:space="preserve">Kimberley Ports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78</w:t>
            </w:r>
          </w:p>
        </w:tc>
        <w:tc>
          <w:tcPr>
            <w:tcW w:w="2900" w:type="dxa"/>
          </w:tcPr>
          <w:p>
            <w:pPr>
              <w:spacing w:before="20" w:after="20"/>
            </w:pPr>
            <w:r>
              <w:rPr>
                <w:sz w:val="18"/>
              </w:rPr>
              <w:t xml:space="preserve">Mid West Ports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79</w:t>
            </w:r>
          </w:p>
        </w:tc>
        <w:tc>
          <w:tcPr>
            <w:tcW w:w="2900" w:type="dxa"/>
          </w:tcPr>
          <w:p>
            <w:pPr>
              <w:spacing w:before="20" w:after="20"/>
            </w:pPr>
            <w:r>
              <w:rPr>
                <w:sz w:val="18"/>
              </w:rPr>
              <w:t xml:space="preserve">Southern Ports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80</w:t>
            </w:r>
          </w:p>
        </w:tc>
        <w:tc>
          <w:tcPr>
            <w:tcW w:w="2900" w:type="dxa"/>
          </w:tcPr>
          <w:p>
            <w:pPr>
              <w:spacing w:before="20" w:after="20"/>
            </w:pPr>
            <w:r>
              <w:rPr>
                <w:sz w:val="18"/>
              </w:rPr>
              <w:t xml:space="preserve">Western Australian Institute of Sport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81</w:t>
            </w:r>
          </w:p>
        </w:tc>
        <w:tc>
          <w:tcPr>
            <w:tcW w:w="2900" w:type="dxa"/>
          </w:tcPr>
          <w:p>
            <w:pPr>
              <w:spacing w:before="20" w:after="20"/>
            </w:pPr>
            <w:r>
              <w:rPr>
                <w:sz w:val="18"/>
              </w:rPr>
              <w:t xml:space="preserve">Country High School Hostels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82</w:t>
            </w:r>
          </w:p>
        </w:tc>
        <w:tc>
          <w:tcPr>
            <w:tcW w:w="2900" w:type="dxa"/>
          </w:tcPr>
          <w:p>
            <w:pPr>
              <w:spacing w:before="20" w:after="20"/>
            </w:pPr>
            <w:r>
              <w:rPr>
                <w:sz w:val="18"/>
              </w:rPr>
              <w:t xml:space="preserve">Chemistry Centre WA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83</w:t>
            </w:r>
          </w:p>
        </w:tc>
        <w:tc>
          <w:tcPr>
            <w:tcW w:w="2900" w:type="dxa"/>
          </w:tcPr>
          <w:p>
            <w:pPr>
              <w:spacing w:before="20" w:after="20"/>
            </w:pPr>
            <w:r>
              <w:rPr>
                <w:sz w:val="18"/>
              </w:rPr>
              <w:t xml:space="preserve">Animal Resources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84</w:t>
            </w:r>
          </w:p>
        </w:tc>
        <w:tc>
          <w:tcPr>
            <w:tcW w:w="2900" w:type="dxa"/>
          </w:tcPr>
          <w:p>
            <w:pPr>
              <w:spacing w:before="20" w:after="20"/>
            </w:pPr>
            <w:r>
              <w:rPr>
                <w:sz w:val="18"/>
              </w:rPr>
              <w:t xml:space="preserve">Western Australian Meat Industry Authority</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85</w:t>
            </w:r>
          </w:p>
        </w:tc>
        <w:tc>
          <w:tcPr>
            <w:tcW w:w="2900" w:type="dxa"/>
          </w:tcPr>
          <w:p>
            <w:pPr>
              <w:spacing w:before="20" w:after="20"/>
            </w:pPr>
            <w:r>
              <w:rPr>
                <w:sz w:val="18"/>
              </w:rPr>
              <w:t xml:space="preserve">Burswood Park Board</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86</w:t>
            </w:r>
          </w:p>
        </w:tc>
        <w:tc>
          <w:tcPr>
            <w:tcW w:w="2900" w:type="dxa"/>
          </w:tcPr>
          <w:p>
            <w:pPr>
              <w:spacing w:before="20" w:after="20"/>
            </w:pPr>
            <w:r>
              <w:rPr>
                <w:sz w:val="18"/>
              </w:rPr>
              <w:t xml:space="preserve">Commissioner for Children and Young People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87</w:t>
            </w:r>
          </w:p>
        </w:tc>
        <w:tc>
          <w:tcPr>
            <w:tcW w:w="2900" w:type="dxa"/>
          </w:tcPr>
          <w:p>
            <w:pPr>
              <w:spacing w:before="20" w:after="20"/>
            </w:pPr>
            <w:r>
              <w:rPr>
                <w:sz w:val="18"/>
              </w:rPr>
              <w:t xml:space="preserve">Health and Disability Services Complaints Office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88</w:t>
            </w:r>
          </w:p>
        </w:tc>
        <w:tc>
          <w:tcPr>
            <w:tcW w:w="2900" w:type="dxa"/>
          </w:tcPr>
          <w:p>
            <w:pPr>
              <w:spacing w:before="20" w:after="20"/>
            </w:pPr>
            <w:r>
              <w:rPr>
                <w:sz w:val="18"/>
              </w:rPr>
              <w:t xml:space="preserve">Equal Opportunity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89</w:t>
            </w:r>
          </w:p>
        </w:tc>
        <w:tc>
          <w:tcPr>
            <w:tcW w:w="2900" w:type="dxa"/>
          </w:tcPr>
          <w:p>
            <w:pPr>
              <w:spacing w:before="20" w:after="20"/>
            </w:pPr>
            <w:r>
              <w:rPr>
                <w:sz w:val="18"/>
              </w:rPr>
              <w:t xml:space="preserve">Office of the Information Commissioner</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90</w:t>
            </w:r>
          </w:p>
        </w:tc>
        <w:tc>
          <w:tcPr>
            <w:tcW w:w="2900" w:type="dxa"/>
          </w:tcPr>
          <w:p>
            <w:pPr>
              <w:spacing w:before="20" w:after="20"/>
            </w:pPr>
            <w:r>
              <w:rPr>
                <w:sz w:val="18"/>
              </w:rPr>
              <w:t xml:space="preserve">Parliamentary Inspector of the Corruption and Crime Commission</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91</w:t>
            </w:r>
          </w:p>
        </w:tc>
        <w:tc>
          <w:tcPr>
            <w:tcW w:w="2900" w:type="dxa"/>
          </w:tcPr>
          <w:p>
            <w:pPr>
              <w:spacing w:before="20" w:after="20"/>
            </w:pPr>
            <w:r>
              <w:rPr>
                <w:sz w:val="18"/>
              </w:rPr>
              <w:t xml:space="preserve">Law Reform Commission of Western Australia</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92</w:t>
            </w:r>
          </w:p>
        </w:tc>
        <w:tc>
          <w:tcPr>
            <w:tcW w:w="2900" w:type="dxa"/>
          </w:tcPr>
          <w:p>
            <w:pPr>
              <w:spacing w:before="20" w:after="20"/>
            </w:pPr>
            <w:r>
              <w:rPr>
                <w:sz w:val="18"/>
              </w:rPr>
              <w:t xml:space="preserve">Office of the Public Advocate</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93</w:t>
            </w:r>
          </w:p>
        </w:tc>
        <w:tc>
          <w:tcPr>
            <w:tcW w:w="2900" w:type="dxa"/>
          </w:tcPr>
          <w:p>
            <w:pPr>
              <w:spacing w:before="20" w:after="20"/>
            </w:pPr>
            <w:r>
              <w:rPr>
                <w:sz w:val="18"/>
              </w:rPr>
              <w:t xml:space="preserve">Office of the Director of Public Prosecutions</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94</w:t>
            </w:r>
          </w:p>
        </w:tc>
        <w:tc>
          <w:tcPr>
            <w:tcW w:w="2900" w:type="dxa"/>
          </w:tcPr>
          <w:p>
            <w:pPr>
              <w:spacing w:before="20" w:after="20"/>
            </w:pPr>
            <w:r>
              <w:rPr>
                <w:sz w:val="18"/>
              </w:rPr>
              <w:t xml:space="preserve">Governor's Establishment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r>
        <w:tc>
          <w:tcPr>
            <w:tcW w:w="520" w:type="dxa"/>
          </w:tcPr>
          <w:p>
            <w:pPr>
              <w:spacing w:before="20" w:after="20"/>
            </w:pPr>
            <w:r>
              <w:rPr>
                <w:sz w:val="18"/>
              </w:rPr>
              <w:t xml:space="preserve">95</w:t>
            </w:r>
          </w:p>
        </w:tc>
        <w:tc>
          <w:tcPr>
            <w:tcW w:w="2900" w:type="dxa"/>
          </w:tcPr>
          <w:p>
            <w:pPr>
              <w:spacing w:before="20" w:after="20"/>
            </w:pPr>
            <w:r>
              <w:rPr>
                <w:sz w:val="18"/>
              </w:rPr>
              <w:t xml:space="preserve">Parliamentary Services Department</w:t>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1980" w:type="dxa"/>
          </w:tcPr>
          <w:p>
            <w:pPr>
              <w:spacing w:before="20" w:after="20"/>
            </w:pPr>
            <w:r>
              <w:rPr>
                <w:sz w:val="18"/>
              </w:rPr>
              <w:t xml:space="preserve"/>
            </w:r>
          </w:p>
        </w:tc>
        <w:tc>
          <w:tcPr>
            <w:tcW w:w="2470" w:type="dxa"/>
          </w:tcPr>
          <w:p>
            <w:pPr>
              <w:spacing w:before="20" w:after="20"/>
            </w:pPr>
            <w:r>
              <w:rPr>
                <w:sz w:val="18"/>
              </w:rPr>
              <w:t xml:space="preserve">2024–25 annual report — Audit &amp; Risk Committee</w:t>
            </w:r>
          </w:p>
        </w:tc>
        <w:tc>
          <w:tcPr>
            <w:tcW w:w="760" w:type="dxa"/>
          </w:tcPr>
          <w:p>
            <w:pPr>
              <w:spacing w:before="20" w:after="20"/>
            </w:pPr>
            <w:r>
              <w:rPr>
                <w:sz w:val="18"/>
              </w:rPr>
              <w:t xml:space="preserve"/>
            </w:r>
          </w:p>
        </w:tc>
      </w:tr>
    </w:tbl>
    <w:p>
      <w:r>
        <w:t xml:space="preserve"/>
      </w:r>
    </w:p>
    <w:sectPr>
      <w:pgSz w:w="16838" w:h="11906" w:orient="landscape"/>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cs="Calibri"/>
        <w:sz w:val="22"/>
        <w:szCs w:val="22"/>
        <w:color w:val="353535"/>
      </w:rPr>
    </w:rPrDefault>
  </w:docDefaults>
  <w:style w:type="paragraph" w:default="1" w:styleId="Normal">
    <w:name w:val="Normal"/>
    <w:pPr>
      <w:spacing w:after="120" w:line="264" w:lineRule="auto"/>
    </w:pPr>
  </w:style>
  <w:style w:type="paragraph" w:styleId="Title">
    <w:name w:val="Title"/>
    <w:pPr>
      <w:spacing w:after="60"/>
    </w:pPr>
    <w:rPr>
      <w:b/>
      <w:color w:val="284B63"/>
      <w:sz w:val="40"/>
    </w:rPr>
  </w:style>
  <w:style w:type="paragraph" w:styleId="Heading1">
    <w:name w:val="heading 1"/>
    <w:basedOn w:val="Normal"/>
    <w:next w:val="Normal"/>
    <w:pPr>
      <w:keepNext/>
      <w:spacing w:before="280" w:after="100"/>
    </w:pPr>
    <w:rPr>
      <w:b/>
      <w:color w:val="284B63"/>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