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4"/>
          <w:szCs w:val="44"/>
        </w:rPr>
        <w:t xml:space="preserve">AKÝM SPÔSOBOM TO DOSIAHLI?</w:t>
      </w:r>
    </w:p>
    <w:p>
      <w:pPr>
        <w:spacing w:after="120"/>
        <w:jc w:val="center"/>
      </w:pPr>
      <w:r>
        <w:rPr>
          <w:rFonts w:ascii="Arial" w:cs="Arial" w:eastAsia="Arial" w:hAnsi="Arial"/>
          <w:color w:val="2E75B6"/>
          <w:sz w:val="28"/>
          <w:szCs w:val="28"/>
        </w:rPr>
        <w:t xml:space="preserve">Metodologická analýza kľúčových štúdií a prístupy okolítých krajín</w:t>
      </w:r>
    </w:p>
    <w:p>
      <w:pPr>
        <w:spacing w:after="100"/>
        <w:jc w:val="center"/>
      </w:pPr>
      <w:r>
        <w:rPr>
          <w:rFonts w:ascii="Arial" w:cs="Arial" w:eastAsia="Arial" w:hAnsi="Arial"/>
          <w:color w:val="2E75B6"/>
          <w:sz w:val="28"/>
          <w:szCs w:val="28"/>
        </w:rPr>
        <w:t xml:space="preserve">k integrácii UI do vzdelávacieho procesu</w:t>
      </w:r>
    </w:p>
    <w:p>
      <w:pPr>
        <w:spacing w:before="800"/>
      </w:pPr>
    </w:p>
    <w:p>
      <w:pPr>
        <w:spacing w:after="80"/>
        <w:jc w:val="center"/>
      </w:pPr>
      <w:r>
        <w:rPr>
          <w:rFonts w:ascii="Arial" w:cs="Arial" w:eastAsia="Arial" w:hAnsi="Arial"/>
          <w:color w:val="666666"/>
          <w:sz w:val="22"/>
          <w:szCs w:val="22"/>
        </w:rPr>
        <w:t xml:space="preserve">Podklad pre diplomovú prácu</w:t>
      </w:r>
    </w:p>
    <w:p>
      <w:pPr>
        <w:spacing w:after="80"/>
        <w:jc w:val="center"/>
      </w:pPr>
      <w:r>
        <w:rPr>
          <w:rFonts w:ascii="Arial" w:cs="Arial" w:eastAsia="Arial" w:hAnsi="Arial"/>
          <w:color w:val="666666"/>
          <w:sz w:val="22"/>
          <w:szCs w:val="22"/>
        </w:rPr>
        <w:t xml:space="preserve">Vplyv generických a adaptívnych nástrojov UI v školskom prostredí</w:t>
      </w:r>
    </w:p>
    <w:p>
      <w:pPr>
        <w:spacing w:after="80"/>
        <w:jc w:val="center"/>
      </w:pPr>
      <w:r>
        <w:rPr>
          <w:rFonts w:ascii="Arial" w:cs="Arial" w:eastAsia="Arial" w:hAnsi="Arial"/>
          <w:color w:val="666666"/>
          <w:sz w:val="22"/>
          <w:szCs w:val="22"/>
        </w:rPr>
        <w:t xml:space="preserve">STU FIIT  |  Apríl 2026</w:t>
      </w:r>
    </w:p>
    <w:p>
      <w:pPr>
        <w:pStyle w:val="Heading1"/>
        <w:pageBreakBefore/>
        <w:spacing w:after="200" w:before="360"/>
      </w:pPr>
      <w:r>
        <w:rPr>
          <w:rFonts w:ascii="Arial" w:cs="Arial" w:eastAsia="Arial" w:hAnsi="Arial"/>
          <w:b/>
          <w:bCs/>
          <w:color w:val="1B4F72"/>
          <w:sz w:val="30"/>
          <w:szCs w:val="30"/>
        </w:rPr>
        <w:t xml:space="preserve">1. Úvod: Prečo sú metodológie dôležité, nie výsledky</w:t>
      </w:r>
    </w:p>
    <w:p>
      <w:pPr>
        <w:spacing w:after="120" w:before="120" w:line="276"/>
        <w:jc w:val="both"/>
      </w:pPr>
      <w:r>
        <w:rPr>
          <w:rFonts w:ascii="Arial" w:cs="Arial" w:eastAsia="Arial" w:hAnsi="Arial"/>
          <w:sz w:val="22"/>
          <w:szCs w:val="22"/>
        </w:rPr>
        <w:t xml:space="preserve">Analytická rešerš identifikovala viacero kľúčových štúdií, ktoré reportujú výrazné účinky AI nástrojov vo vzdelávaní. Pre slovenský kontext však nie je podstatné, že napríklad AI tutoring dosiahol effect size 0,73–1,3 SD, ale AKÝM SPÔSOBOM sa k tomuto číslu výskumníci dostali — aký výskumný dizajn použili, akú vzorku mali, aké nástroje merania zvolili a či je ich prístup replikovateľný v podmienkach slovenských škôl.</w:t>
      </w:r>
    </w:p>
    <w:p>
      <w:pPr>
        <w:spacing w:after="120" w:before="120" w:line="276"/>
        <w:jc w:val="both"/>
      </w:pPr>
      <w:r>
        <w:rPr>
          <w:rFonts w:ascii="Arial" w:cs="Arial" w:eastAsia="Arial" w:hAnsi="Arial"/>
          <w:sz w:val="22"/>
          <w:szCs w:val="22"/>
        </w:rPr>
        <w:t xml:space="preserve">Tento dokument analyzuje metodológie piatich kľúčových štúdií z rešerše a následne porovnáva prístupy šiestich okolítých a referenčných krajín k integrácii AI do školstva. Cieľom je identifikovať konkrétne metodické postupy, ktoré môžu byť adaptované pre slovenský výskum.</w:t>
      </w:r>
    </w:p>
    <w:p>
      <w:pPr>
        <w:pStyle w:val="Heading1"/>
        <w:pageBreakBefore/>
        <w:spacing w:after="200" w:before="360"/>
      </w:pPr>
      <w:r>
        <w:rPr>
          <w:rFonts w:ascii="Arial" w:cs="Arial" w:eastAsia="Arial" w:hAnsi="Arial"/>
          <w:b/>
          <w:bCs/>
          <w:color w:val="1B4F72"/>
          <w:sz w:val="30"/>
          <w:szCs w:val="30"/>
        </w:rPr>
        <w:t xml:space="preserve">2. Metodologická analýza kľúčových štúdií</w:t>
      </w:r>
    </w:p>
    <w:p>
      <w:pPr>
        <w:spacing w:after="120" w:before="120" w:line="276"/>
        <w:jc w:val="both"/>
      </w:pPr>
      <w:r>
        <w:rPr>
          <w:rFonts w:ascii="Arial" w:cs="Arial" w:eastAsia="Arial" w:hAnsi="Arial"/>
          <w:sz w:val="22"/>
          <w:szCs w:val="22"/>
        </w:rPr>
        <w:t xml:space="preserve">V tejto časti sa zameriavame výhradne na to, AKO autori dosiahli svoje výsledky — nie na výsledky samotné.</w:t>
      </w:r>
    </w:p>
    <w:p>
      <w:pPr>
        <w:pStyle w:val="Heading2"/>
        <w:spacing w:after="160" w:before="240"/>
      </w:pPr>
      <w:r>
        <w:rPr>
          <w:rFonts w:ascii="Arial" w:cs="Arial" w:eastAsia="Arial" w:hAnsi="Arial"/>
          <w:b/>
          <w:bCs/>
          <w:color w:val="2E75B6"/>
          <w:sz w:val="26"/>
          <w:szCs w:val="26"/>
        </w:rPr>
        <w:t xml:space="preserve">2.1 Kestin et al. (2025) — Harvard RCT: AI tutoring vs. aktívne učenie</w:t>
      </w:r>
    </w:p>
    <w:p>
      <w:pPr>
        <w:spacing w:after="120" w:before="120" w:line="276"/>
        <w:jc w:val="both"/>
      </w:pPr>
      <w:r>
        <w:rPr>
          <w:rFonts w:ascii="Arial" w:cs="Arial" w:eastAsia="Arial" w:hAnsi="Arial"/>
          <w:b/>
          <w:bCs/>
          <w:sz w:val="22"/>
          <w:szCs w:val="22"/>
        </w:rPr>
        <w:t xml:space="preserve">Výskumný dizajn: </w:t>
      </w:r>
      <w:r>
        <w:rPr>
          <w:rFonts w:ascii="Arial" w:cs="Arial" w:eastAsia="Arial" w:hAnsi="Arial"/>
          <w:sz w:val="22"/>
          <w:szCs w:val="22"/>
        </w:rPr>
        <w:t xml:space="preserve">Randomizovaný kontrolovaný experiment (RCT) — zlatý štandard klinického výskumu aplikovaný na edukačné prostredie. Študenti boli náhodne rozdelení do dvoch skupín, pričom každá skupina absolvovala dve lekcie — jednu s AI tutorom a jednu s aktívnym učením v triede — v po sebe nasledujúcich týždňoch. Týmto crossover dizajnom sa eliminoval efekt individuálnych rozdielov.</w:t>
      </w:r>
    </w:p>
    <w:p>
      <w:pPr>
        <w:spacing w:after="120" w:before="120" w:line="276"/>
        <w:jc w:val="both"/>
      </w:pPr>
      <w:r>
        <w:rPr>
          <w:rFonts w:ascii="Arial" w:cs="Arial" w:eastAsia="Arial" w:hAnsi="Arial"/>
          <w:b/>
          <w:bCs/>
          <w:sz w:val="22"/>
          <w:szCs w:val="22"/>
        </w:rPr>
        <w:t xml:space="preserve">Vzorka a kontext: </w:t>
      </w:r>
      <w:r>
        <w:rPr>
          <w:rFonts w:ascii="Arial" w:cs="Arial" w:eastAsia="Arial" w:hAnsi="Arial"/>
          <w:sz w:val="22"/>
          <w:szCs w:val="22"/>
        </w:rPr>
        <w:t xml:space="preserve">N = 194 vysokokolských študentov fyziky na Harvard University, čo autori považujú za široko reprezentatívnu vzorku. AI tutor bol postavený na GPT-4 a navrhnutý podľa siedmich pedagogických princípov (kognitívna záťaž, growth mindset, personálna spätná väzba atď.). Nejde teda o generálny ChatGPT, ale o cielený prompt-engineered systém.</w:t>
      </w:r>
    </w:p>
    <w:p>
      <w:pPr>
        <w:spacing w:after="120" w:before="120" w:line="276"/>
        <w:jc w:val="both"/>
      </w:pPr>
      <w:r>
        <w:rPr>
          <w:rFonts w:ascii="Arial" w:cs="Arial" w:eastAsia="Arial" w:hAnsi="Arial"/>
          <w:b/>
          <w:bCs/>
          <w:sz w:val="22"/>
          <w:szCs w:val="22"/>
        </w:rPr>
        <w:t xml:space="preserve">Meranie: </w:t>
      </w:r>
      <w:r>
        <w:rPr>
          <w:rFonts w:ascii="Arial" w:cs="Arial" w:eastAsia="Arial" w:hAnsi="Arial"/>
          <w:sz w:val="22"/>
          <w:szCs w:val="22"/>
        </w:rPr>
        <w:t xml:space="preserve">Pre-test a post-test dizajn s identičným obsahom. Merali sa: učebné zisky (roziel post–pre), čas strávený na úlohe, a percepcia študentov cez Likertovu škálu (angažovanosť, motivácia). Štatistická analýza použila porovnanie priemerov s chybovými úsečkami (standard error of the mean).</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Crossover RCT dizajn je replikovateľný na slovenských VŠ, avšak s obmedzeniami: štúdia trvala len 2 týždne (krátkodobý efekt), nepokrývala K-12 segment, a AI tutor vyžadoval rozsiahly prompt engineering. Pre SK je aplikovateľný pre-test/post-test model a meranie času, ale bude potrebné predlžiť intervenciu a pridať dlhodobé sledovanie retencie.</w:t>
      </w:r>
    </w:p>
    <w:p>
      <w:pPr>
        <w:pStyle w:val="Heading2"/>
        <w:spacing w:after="160" w:before="240"/>
      </w:pPr>
      <w:r>
        <w:rPr>
          <w:rFonts w:ascii="Arial" w:cs="Arial" w:eastAsia="Arial" w:hAnsi="Arial"/>
          <w:b/>
          <w:bCs/>
          <w:color w:val="2E75B6"/>
          <w:sz w:val="26"/>
          <w:szCs w:val="26"/>
        </w:rPr>
        <w:t xml:space="preserve">2.2 Lee et al. / Microsoft Research (CHI’25) — Kritické myslenie a dôvera v AI</w:t>
      </w:r>
    </w:p>
    <w:p>
      <w:pPr>
        <w:spacing w:after="120" w:before="120" w:line="276"/>
        <w:jc w:val="both"/>
      </w:pPr>
      <w:r>
        <w:rPr>
          <w:rFonts w:ascii="Arial" w:cs="Arial" w:eastAsia="Arial" w:hAnsi="Arial"/>
          <w:b/>
          <w:bCs/>
          <w:sz w:val="22"/>
          <w:szCs w:val="22"/>
        </w:rPr>
        <w:t xml:space="preserve">Výskumný dizajn: </w:t>
      </w:r>
      <w:r>
        <w:rPr>
          <w:rFonts w:ascii="Arial" w:cs="Arial" w:eastAsia="Arial" w:hAnsi="Arial"/>
          <w:sz w:val="22"/>
          <w:szCs w:val="22"/>
        </w:rPr>
        <w:t xml:space="preserve">Mixed-methods prieskum (kvantitatívny + kvalitatívny). 319 knowledge workers zdieloníkovalo 936 reálnych príkladov použitia GenAI v pracovných úlohách. Každý participant opísal konkrétnu situáciu a ohodnotil mieru kritického myslenia a kognitívneho úsilia.</w:t>
      </w:r>
    </w:p>
    <w:p>
      <w:pPr>
        <w:spacing w:after="120" w:before="120" w:line="276"/>
        <w:jc w:val="both"/>
      </w:pPr>
      <w:r>
        <w:rPr>
          <w:rFonts w:ascii="Arial" w:cs="Arial" w:eastAsia="Arial" w:hAnsi="Arial"/>
          <w:b/>
          <w:bCs/>
          <w:sz w:val="22"/>
          <w:szCs w:val="22"/>
        </w:rPr>
        <w:t xml:space="preserve">Analytické metódy: </w:t>
      </w:r>
      <w:r>
        <w:rPr>
          <w:rFonts w:ascii="Arial" w:cs="Arial" w:eastAsia="Arial" w:hAnsi="Arial"/>
          <w:sz w:val="22"/>
          <w:szCs w:val="22"/>
        </w:rPr>
        <w:t xml:space="preserve">Kvantitatívne: random-intercepts logistická regresia (binárna miera kritického myslenia) a 6 lineárnych regresných modelov s random intercepts (5-bodové škály kognitívneho úsilia). Participant ID ako random intercept pre opakované merania. Kvalitatívne: tematícká analýza príkladov.</w:t>
      </w:r>
    </w:p>
    <w:p>
      <w:pPr>
        <w:spacing w:after="120" w:before="120" w:line="276"/>
        <w:jc w:val="both"/>
      </w:pPr>
      <w:r>
        <w:rPr>
          <w:rFonts w:ascii="Arial" w:cs="Arial" w:eastAsia="Arial" w:hAnsi="Arial"/>
          <w:b/>
          <w:bCs/>
          <w:sz w:val="22"/>
          <w:szCs w:val="22"/>
        </w:rPr>
        <w:t xml:space="preserve">Kľúčový metodologický prínos: </w:t>
      </w:r>
      <w:r>
        <w:rPr>
          <w:rFonts w:ascii="Arial" w:cs="Arial" w:eastAsia="Arial" w:hAnsi="Arial"/>
          <w:sz w:val="22"/>
          <w:szCs w:val="22"/>
        </w:rPr>
        <w:t xml:space="preserve">Štúdia nepoužila laboratórny experiment, ale zbierala reálne príklady z praxe. To zvyšuje ekologickú validitu. Dvé prediktorové premenné — dôvera v AI a seba-dôvera — pôsobia protichodne: vyššia dôvera v AI = menej kritického myslenia, vyššia seba-dôvera = viac kritického myslenia.</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Tento prístup (zber reálnych príkladov použitia + Likertove škály + regresný model) je priamo adaptovateľný pre slovenský kontext. Namiesto knowledge workers by sa cielo na pedagógov a študentov. Model dôvery v AI vs. seba-dôvery je relevantný pre SK, kde existuje výrazná digitálna priepasť medzi žiakmi (70 %) a učiteľmi (25 %).</w:t>
      </w:r>
    </w:p>
    <w:p>
      <w:pPr>
        <w:pStyle w:val="Heading2"/>
        <w:spacing w:after="160" w:before="240"/>
      </w:pPr>
      <w:r>
        <w:rPr>
          <w:rFonts w:ascii="Arial" w:cs="Arial" w:eastAsia="Arial" w:hAnsi="Arial"/>
          <w:b/>
          <w:bCs/>
          <w:color w:val="2E75B6"/>
          <w:sz w:val="26"/>
          <w:szCs w:val="26"/>
        </w:rPr>
        <w:t xml:space="preserve">2.3 Gerlich (2025) — AI nástroje, kognitívne offloading a kritické myslenie</w:t>
      </w:r>
    </w:p>
    <w:p>
      <w:pPr>
        <w:spacing w:after="120" w:before="120" w:line="276"/>
        <w:jc w:val="both"/>
      </w:pPr>
      <w:r>
        <w:rPr>
          <w:rFonts w:ascii="Arial" w:cs="Arial" w:eastAsia="Arial" w:hAnsi="Arial"/>
          <w:b/>
          <w:bCs/>
          <w:sz w:val="22"/>
          <w:szCs w:val="22"/>
        </w:rPr>
        <w:t xml:space="preserve">Výskumný dizajn: </w:t>
      </w:r>
      <w:r>
        <w:rPr>
          <w:rFonts w:ascii="Arial" w:cs="Arial" w:eastAsia="Arial" w:hAnsi="Arial"/>
          <w:sz w:val="22"/>
          <w:szCs w:val="22"/>
        </w:rPr>
        <w:t xml:space="preserve">Mixed-methods: online dotazník (N = 666 respondentov z UK, nábor cez sociálne médiá) + 50 semi-štruktúrovaných rozhovorov. Respondetní pokrývali rôzne vekové skupiny od 17 do 55+ a rôzne úrovne vzdelania.</w:t>
      </w:r>
    </w:p>
    <w:p>
      <w:pPr>
        <w:spacing w:after="120" w:before="120" w:line="276"/>
        <w:jc w:val="both"/>
      </w:pPr>
      <w:r>
        <w:rPr>
          <w:rFonts w:ascii="Arial" w:cs="Arial" w:eastAsia="Arial" w:hAnsi="Arial"/>
          <w:b/>
          <w:bCs/>
          <w:sz w:val="22"/>
          <w:szCs w:val="22"/>
        </w:rPr>
        <w:t xml:space="preserve">Nástroj merania: </w:t>
      </w:r>
      <w:r>
        <w:rPr>
          <w:rFonts w:ascii="Arial" w:cs="Arial" w:eastAsia="Arial" w:hAnsi="Arial"/>
          <w:sz w:val="22"/>
          <w:szCs w:val="22"/>
        </w:rPr>
        <w:t xml:space="preserve">Halpern Critical Thinking Assessment pre meranie kritického myslenia. Frekvenciu používania AI a mieru kognitívneho offloadingu merali cez self-report škály. Analýza: ANOVA (vplyv veku, vzdelania, povolania), korelačná analýza a viacnásobná regresia. Kvalitatívna časť: tematícká analýza rozhovorov.</w:t>
      </w:r>
    </w:p>
    <w:p>
      <w:pPr>
        <w:spacing w:after="120" w:before="120" w:line="276"/>
        <w:jc w:val="both"/>
      </w:pPr>
      <w:r>
        <w:rPr>
          <w:rFonts w:ascii="Arial" w:cs="Arial" w:eastAsia="Arial" w:hAnsi="Arial"/>
          <w:b/>
          <w:bCs/>
          <w:sz w:val="22"/>
          <w:szCs w:val="22"/>
        </w:rPr>
        <w:t xml:space="preserve">Metodologické limitácie: </w:t>
      </w:r>
      <w:r>
        <w:rPr>
          <w:rFonts w:ascii="Arial" w:cs="Arial" w:eastAsia="Arial" w:hAnsi="Arial"/>
          <w:sz w:val="22"/>
          <w:szCs w:val="22"/>
        </w:rPr>
        <w:t xml:space="preserve">Korelačná štúdia — nemožno uzatvárať kauzalitu. Self-report meranie kognitívneho offloadingu (nie priame meranie ako EEG). Nábor cez sociálne médiá môže viesť k selection bias. Napriek tomu veľkosť vzorky (N = 666) poskytuje štatistickú silu.</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Halpern Critical Thinking Assessment je validovaný nástroj, ktorý by bolo možné adaptovať pre slovenský výskum. ANOVA dizajn s vekovými skupinami je vhodný pre porovnanie SK študentov vs. učiteľov. Doporučenie: doplniť o priame meranie (eye-tracking, čas čítania), ktoré by adresovalo fenomĺn short memory span.</w:t>
      </w:r>
    </w:p>
    <w:p>
      <w:pPr>
        <w:pStyle w:val="Heading2"/>
        <w:spacing w:after="160" w:before="240"/>
      </w:pPr>
      <w:r>
        <w:rPr>
          <w:rFonts w:ascii="Arial" w:cs="Arial" w:eastAsia="Arial" w:hAnsi="Arial"/>
          <w:b/>
          <w:bCs/>
          <w:color w:val="2E75B6"/>
          <w:sz w:val="26"/>
          <w:szCs w:val="26"/>
        </w:rPr>
        <w:t xml:space="preserve">2.4 Slijepcevic &amp; Yaylali (2025) — Khanmigo vs. Google</w:t>
      </w:r>
    </w:p>
    <w:p>
      <w:pPr>
        <w:spacing w:after="120" w:before="120" w:line="276"/>
        <w:jc w:val="both"/>
      </w:pPr>
      <w:r>
        <w:rPr>
          <w:rFonts w:ascii="Arial" w:cs="Arial" w:eastAsia="Arial" w:hAnsi="Arial"/>
          <w:b/>
          <w:bCs/>
          <w:sz w:val="22"/>
          <w:szCs w:val="22"/>
        </w:rPr>
        <w:t xml:space="preserve">Výskumný dizajn: </w:t>
      </w:r>
      <w:r>
        <w:rPr>
          <w:rFonts w:ascii="Arial" w:cs="Arial" w:eastAsia="Arial" w:hAnsi="Arial"/>
          <w:sz w:val="22"/>
          <w:szCs w:val="22"/>
        </w:rPr>
        <w:t xml:space="preserve">Mixed-methods RCT s tromi skupinami: (1) Khanmigo AI tutor, (2) Google vyhľadávač, (3) len papierové materiály. N = 69 vysokoškolských študentov. Téma: lučné fázy (astronómia). Metodologická triangulácia: kvantitatívne (pre-test/post-test) + kvalitatívne (štruktúrované rozhovory).</w:t>
      </w:r>
    </w:p>
    <w:p>
      <w:pPr>
        <w:spacing w:after="120" w:before="120" w:line="276"/>
        <w:jc w:val="both"/>
      </w:pPr>
      <w:r>
        <w:rPr>
          <w:rFonts w:ascii="Arial" w:cs="Arial" w:eastAsia="Arial" w:hAnsi="Arial"/>
          <w:b/>
          <w:bCs/>
          <w:sz w:val="22"/>
          <w:szCs w:val="22"/>
        </w:rPr>
        <w:t xml:space="preserve">Nástroj: </w:t>
      </w:r>
      <w:r>
        <w:rPr>
          <w:rFonts w:ascii="Arial" w:cs="Arial" w:eastAsia="Arial" w:hAnsi="Arial"/>
          <w:sz w:val="22"/>
          <w:szCs w:val="22"/>
        </w:rPr>
        <w:t xml:space="preserve">Lunar Phases Concept Inventory (LPCI) ako štandardizovaný pre-test aj post-test. Čas na každú fázu bol meraný (9 minút na test). Interakčné dáta z Khanmigo (všetky otázky, odpovede, časové značky) boli zaznamenané a analyzované.</w:t>
      </w:r>
    </w:p>
    <w:p>
      <w:pPr>
        <w:spacing w:after="120" w:before="120" w:line="276"/>
        <w:jc w:val="both"/>
      </w:pPr>
      <w:r>
        <w:rPr>
          <w:rFonts w:ascii="Arial" w:cs="Arial" w:eastAsia="Arial" w:hAnsi="Arial"/>
          <w:b/>
          <w:bCs/>
          <w:sz w:val="22"/>
          <w:szCs w:val="22"/>
        </w:rPr>
        <w:t xml:space="preserve">Štatistika: </w:t>
      </w:r>
      <w:r>
        <w:rPr>
          <w:rFonts w:ascii="Arial" w:cs="Arial" w:eastAsia="Arial" w:hAnsi="Arial"/>
          <w:sz w:val="22"/>
          <w:szCs w:val="22"/>
        </w:rPr>
        <w:t xml:space="preserve">Independent samples t-testy (SPSS + Jamovi) s alfa = 0,05. Výsledok: kvantitatívne porovnateľné zisky medzi Khanmigo a Google, ale kvalitatívne pozitívnejšie vnímanie Khanmiga — študenti ocenili sokratický prístup (krokované vedenie, nie priama odpoveď).</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Tri-skupinový dizajn (AI tutor vs. bežný nástroj vs. kontrola) je ideálny pre SK školy. LPCI je doménovo-špecifický — pre SK by bolo potrebné vybrať ekvivalentný štandardizovaný test pre daný predmet. Logging interakcií s AI nástrojom je priamo relevantný pre váš plánovaný nástroj na extrakciu promptov.</w:t>
      </w:r>
    </w:p>
    <w:p>
      <w:pPr>
        <w:pStyle w:val="Heading2"/>
        <w:spacing w:after="160" w:before="240"/>
      </w:pPr>
      <w:r>
        <w:rPr>
          <w:rFonts w:ascii="Arial" w:cs="Arial" w:eastAsia="Arial" w:hAnsi="Arial"/>
          <w:b/>
          <w:bCs/>
          <w:color w:val="2E75B6"/>
          <w:sz w:val="26"/>
          <w:szCs w:val="26"/>
        </w:rPr>
        <w:t xml:space="preserve">2.5 Kosmyna et al. (2025) — EEG meranie mozgovej aktivity pri LLM</w:t>
      </w:r>
    </w:p>
    <w:p>
      <w:pPr>
        <w:spacing w:after="120" w:before="120" w:line="276"/>
        <w:jc w:val="both"/>
      </w:pPr>
      <w:r>
        <w:rPr>
          <w:rFonts w:ascii="Arial" w:cs="Arial" w:eastAsia="Arial" w:hAnsi="Arial"/>
          <w:b/>
          <w:bCs/>
          <w:sz w:val="22"/>
          <w:szCs w:val="22"/>
        </w:rPr>
        <w:t xml:space="preserve">Výskumný dizajn: </w:t>
      </w:r>
      <w:r>
        <w:rPr>
          <w:rFonts w:ascii="Arial" w:cs="Arial" w:eastAsia="Arial" w:hAnsi="Arial"/>
          <w:sz w:val="22"/>
          <w:szCs w:val="22"/>
        </w:rPr>
        <w:t xml:space="preserve">Laboratórny experiment s EEG meraním mozgovej aktivity počas písania esé s a bez pomoci LLM. Longitudinálny prvok: účastníci boli sledovaní počas 4 mesiacov. Priame neurofyziologické meranie (nie self-report).</w:t>
      </w:r>
    </w:p>
    <w:p>
      <w:pPr>
        <w:spacing w:after="120" w:before="120" w:line="276"/>
        <w:jc w:val="both"/>
      </w:pPr>
      <w:r>
        <w:rPr>
          <w:rFonts w:ascii="Arial" w:cs="Arial" w:eastAsia="Arial" w:hAnsi="Arial"/>
          <w:b/>
          <w:bCs/>
          <w:sz w:val="22"/>
          <w:szCs w:val="22"/>
        </w:rPr>
        <w:t xml:space="preserve">Kľúčový prínos: </w:t>
      </w:r>
      <w:r>
        <w:rPr>
          <w:rFonts w:ascii="Arial" w:cs="Arial" w:eastAsia="Arial" w:hAnsi="Arial"/>
          <w:sz w:val="22"/>
          <w:szCs w:val="22"/>
        </w:rPr>
        <w:t xml:space="preserve">Na rozdiel od všetkých predchádzajúcich štúdií (ktoré sa spoliehai na self-report), Kosmyna použili priame meranie mozgovej aktivity. Zistili nižšiu mozgovú aktivitu pri používaní LLM a po 4 mesiacoch konzistentný underperformance LLM skupiny.</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EEG nie je reálne dostupné pre školský výskum, ale princíp priameho merania (nie len dotazník) je dôležitý. Pre SK výskum: eye-tracking a meranie času čítania AI odpovedí sú dostupnejšíe alternatívy, ktoré adresujú rovnaký problém — objektiívne meranie kognitívneho zapojenia.</w:t>
      </w:r>
    </w:p>
    <w:p>
      <w:pPr>
        <w:pStyle w:val="Heading1"/>
        <w:pageBreakBefore/>
        <w:spacing w:after="200" w:before="360"/>
      </w:pPr>
      <w:r>
        <w:rPr>
          <w:rFonts w:ascii="Arial" w:cs="Arial" w:eastAsia="Arial" w:hAnsi="Arial"/>
          <w:b/>
          <w:bCs/>
          <w:color w:val="1B4F72"/>
          <w:sz w:val="30"/>
          <w:szCs w:val="30"/>
        </w:rPr>
        <w:t xml:space="preserve">3. Komparácia metodólógií — súhrnná tabuľka</w:t>
      </w:r>
    </w:p>
    <w:p>
      <w:pPr>
        <w:spacing w:after="120" w:before="120" w:line="276"/>
        <w:jc w:val="both"/>
      </w:pPr>
      <w:r>
        <w:rPr>
          <w:rFonts w:ascii="Arial" w:cs="Arial" w:eastAsia="Arial" w:hAnsi="Arial"/>
          <w:sz w:val="22"/>
          <w:szCs w:val="22"/>
        </w:rPr>
        <w:t xml:space="preserve">Nasledujúca tabuľka porovnáva kľúčové metodologické aspekty analyzovaných štúdií: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500"/>
        <w:gridCol w:w="1126"/>
        <w:gridCol w:w="250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Štúdia</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Dizajn</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Meranie</w:t>
            </w:r>
          </w:p>
        </w:tc>
        <w:tc>
          <w:tcPr>
            <w:tcW w:type="dxa" w:w="11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Analýza</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Replikovateľnosť pre SK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18"/>
                <w:szCs w:val="18"/>
              </w:rPr>
              <w:t xml:space="preserve">Kestin 2025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RCT crossover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194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Pre/post test, čas, Likert</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SEM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Vysoká pre VŠ; potreba dlhšej intervencie a K-12 adaptácie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18"/>
                <w:szCs w:val="18"/>
              </w:rPr>
              <w:t xml:space="preserve">Lee/MS 2025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Survey + kval.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319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936 príkladov, Likert, kval. kódy</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Log. regresia, temat. anal.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Priamo adaptovateľný; zmena cieľovky na pedagógov/študentov</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18"/>
                <w:szCs w:val="18"/>
              </w:rPr>
              <w:t xml:space="preserve">Gerlich 2025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Mixed-methods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666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Halpern CTA, self-report</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ANOVA, regresia, temat.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Vysoká; doplniť o priame meranie (eye-tracking)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18"/>
                <w:szCs w:val="18"/>
              </w:rPr>
              <w:t xml:space="preserve">Slijepcevic 2025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Mixed RCT, 3 skupiny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69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LPCI, interakčné logy, rozhovory</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t-test, temat.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Ideálny model pre SK; logging = základ pre nástroj</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18"/>
                <w:szCs w:val="18"/>
              </w:rPr>
              <w:t xml:space="preserve">Kosmyna 2025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Lab. exp. + longit.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malá</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EEG, performance testy</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Neurofyziol. anal.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Nízka (EEG); princíp priameho merania prenositeľný</w:t>
            </w:r>
          </w:p>
        </w:tc>
      </w:tr>
    </w:tbl>
    <w:p>
      <w:pPr>
        <w:pStyle w:val="Heading1"/>
        <w:pageBreakBefore/>
        <w:spacing w:after="200" w:before="360"/>
      </w:pPr>
      <w:r>
        <w:rPr>
          <w:rFonts w:ascii="Arial" w:cs="Arial" w:eastAsia="Arial" w:hAnsi="Arial"/>
          <w:b/>
          <w:bCs/>
          <w:color w:val="1B4F72"/>
          <w:sz w:val="30"/>
          <w:szCs w:val="30"/>
        </w:rPr>
        <w:t xml:space="preserve">4. Prístupy okolítých a referenčných krajín</w:t>
      </w:r>
    </w:p>
    <w:p>
      <w:pPr>
        <w:spacing w:after="120" w:before="120" w:line="276"/>
        <w:jc w:val="both"/>
      </w:pPr>
      <w:r>
        <w:rPr>
          <w:rFonts w:ascii="Arial" w:cs="Arial" w:eastAsia="Arial" w:hAnsi="Arial"/>
          <w:sz w:val="22"/>
          <w:szCs w:val="22"/>
        </w:rPr>
        <w:t xml:space="preserve">Analýza sa zameriava na to, AKO tieto krajiny integráciu AI do školstva riešia — akými nástrojmi, stratégiami a metodikami, a či sú tieto prístupy aplikovateľné na Slovensku.</w:t>
      </w:r>
    </w:p>
    <w:p>
      <w:pPr>
        <w:pStyle w:val="Heading2"/>
        <w:spacing w:after="160" w:before="240"/>
      </w:pPr>
      <w:r>
        <w:rPr>
          <w:rFonts w:ascii="Arial" w:cs="Arial" w:eastAsia="Arial" w:hAnsi="Arial"/>
          <w:b/>
          <w:bCs/>
          <w:color w:val="2E75B6"/>
          <w:sz w:val="26"/>
          <w:szCs w:val="26"/>
        </w:rPr>
        <w:t xml:space="preserve">4.1 Česká republika — najbližší benchmark</w:t>
      </w:r>
    </w:p>
    <w:p>
      <w:pPr>
        <w:spacing w:after="120" w:before="120" w:line="276"/>
        <w:jc w:val="both"/>
      </w:pPr>
      <w:r>
        <w:rPr>
          <w:rFonts w:ascii="Arial" w:cs="Arial" w:eastAsia="Arial" w:hAnsi="Arial"/>
          <w:b/>
          <w:bCs/>
          <w:sz w:val="22"/>
          <w:szCs w:val="22"/>
        </w:rPr>
        <w:t xml:space="preserve">Stratégia: </w:t>
      </w:r>
      <w:r>
        <w:rPr>
          <w:rFonts w:ascii="Arial" w:cs="Arial" w:eastAsia="Arial" w:hAnsi="Arial"/>
          <w:sz w:val="22"/>
          <w:szCs w:val="22"/>
        </w:rPr>
        <w:t xml:space="preserve">NAIS 2030 (aktualizovaná júl 2024) s 7 piliermi, kde vzdelávanie a AI gramotnosur patrí medzi priority. Oceňený projekt „AI dětem“ ponúka 50 vyučovacích metodológií napriruč predmetmi s dôrazom na kritické myslenie.</w:t>
      </w:r>
    </w:p>
    <w:p>
      <w:pPr>
        <w:spacing w:after="120" w:before="120" w:line="276"/>
        <w:jc w:val="both"/>
      </w:pPr>
      <w:r>
        <w:rPr>
          <w:rFonts w:ascii="Arial" w:cs="Arial" w:eastAsia="Arial" w:hAnsi="Arial"/>
          <w:b/>
          <w:bCs/>
          <w:sz w:val="22"/>
          <w:szCs w:val="22"/>
        </w:rPr>
        <w:t xml:space="preserve">Ako to dosiahli: </w:t>
      </w:r>
      <w:r>
        <w:rPr>
          <w:rFonts w:ascii="Arial" w:cs="Arial" w:eastAsia="Arial" w:hAnsi="Arial"/>
          <w:sz w:val="22"/>
          <w:szCs w:val="22"/>
        </w:rPr>
        <w:t xml:space="preserve">Komparátivná štúdia Kopecký et al. (2023 vs. 2025) použila online dotazník v Google Forms, distribulovaný cez univerzitné siete a profesionálne skupiny. Merali frekvenciu a účel použitia AI, vnímanú pripravenosti, inštitučnú podporu a skúsenosti so zneužívaním AI študentmi. Dáta z 2025 porovnali s baseline z 2023.</w:t>
      </w:r>
    </w:p>
    <w:p>
      <w:pPr>
        <w:spacing w:after="120" w:before="120" w:line="276"/>
        <w:jc w:val="both"/>
      </w:pPr>
      <w:r>
        <w:rPr>
          <w:rFonts w:ascii="Arial" w:cs="Arial" w:eastAsia="Arial" w:hAnsi="Arial"/>
          <w:b/>
          <w:bCs/>
          <w:sz w:val="22"/>
          <w:szCs w:val="22"/>
        </w:rPr>
        <w:t xml:space="preserve">Štatistiky: </w:t>
      </w:r>
      <w:r>
        <w:rPr>
          <w:rFonts w:ascii="Arial" w:cs="Arial" w:eastAsia="Arial" w:hAnsi="Arial"/>
          <w:sz w:val="22"/>
          <w:szCs w:val="22"/>
        </w:rPr>
        <w:t xml:space="preserve">45 % žiakov vyskúšalo AI (89 % z nich ChatGPT). 81 % zo 1000 študentov z 62 stredných škôl uvádza, že škola nemá pravidlá pre AI. Digitálna priepasť medzi študentmi a učiteľmi je porovnateľlná so SK.</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Vysoko relevantné — rovnaký V4 kontext, podobná legislatíva. Práve prebieha V4 projekt (Visegrad Fund, grant 22410207) spájajúci PL, CZ, SK, HU univerzity v oblasti AI vo vzdeluvaní. Metodika Kopecký et al. je priamo replikovateľná pre slovenský dotazník.</w:t>
      </w:r>
    </w:p>
    <w:p>
      <w:pPr>
        <w:pStyle w:val="Heading2"/>
        <w:spacing w:after="160" w:before="240"/>
      </w:pPr>
      <w:r>
        <w:rPr>
          <w:rFonts w:ascii="Arial" w:cs="Arial" w:eastAsia="Arial" w:hAnsi="Arial"/>
          <w:b/>
          <w:bCs/>
          <w:color w:val="2E75B6"/>
          <w:sz w:val="26"/>
          <w:szCs w:val="26"/>
        </w:rPr>
        <w:t xml:space="preserve">4.2 Poľsko — infraštruktúrny prístup</w:t>
      </w:r>
    </w:p>
    <w:p>
      <w:pPr>
        <w:spacing w:after="120" w:before="120" w:line="276"/>
        <w:jc w:val="both"/>
      </w:pPr>
      <w:r>
        <w:rPr>
          <w:rFonts w:ascii="Arial" w:cs="Arial" w:eastAsia="Arial" w:hAnsi="Arial"/>
          <w:b/>
          <w:bCs/>
          <w:sz w:val="22"/>
          <w:szCs w:val="22"/>
        </w:rPr>
        <w:t xml:space="preserve">Stratégia: </w:t>
      </w:r>
      <w:r>
        <w:rPr>
          <w:rFonts w:ascii="Arial" w:cs="Arial" w:eastAsia="Arial" w:hAnsi="Arial"/>
          <w:sz w:val="22"/>
          <w:szCs w:val="22"/>
        </w:rPr>
        <w:t xml:space="preserve">Politika digitálnej transformácie vzdelávania 2024–2035 s 10 kľúčovými oblasťami. AI Development Policy 2025–2030 alokuje 1,84 mld. PLN na 16 000 AI-vybavených tried. Projekt „Generation AI“ v Katowiciach ako pilot.</w:t>
      </w:r>
    </w:p>
    <w:p>
      <w:pPr>
        <w:spacing w:after="120" w:before="120" w:line="276"/>
        <w:jc w:val="both"/>
      </w:pPr>
      <w:r>
        <w:rPr>
          <w:rFonts w:ascii="Arial" w:cs="Arial" w:eastAsia="Arial" w:hAnsi="Arial"/>
          <w:b/>
          <w:bCs/>
          <w:sz w:val="22"/>
          <w:szCs w:val="22"/>
        </w:rPr>
        <w:t xml:space="preserve">Ako to dosiahli: </w:t>
      </w:r>
      <w:r>
        <w:rPr>
          <w:rFonts w:ascii="Arial" w:cs="Arial" w:eastAsia="Arial" w:hAnsi="Arial"/>
          <w:sz w:val="22"/>
          <w:szCs w:val="22"/>
        </w:rPr>
        <w:t xml:space="preserve">Tomczyk et al. (2025) realizovali prieskum N = 289 učiteľov s Extended Educational Technology Acceptance Model (EETAM). Klasterová analýza identifikovala 3 skupiny: intenzívni používatelia (13,5 %), príležitosotní (30 %) a nepoužívatelia (43,5 %). Výskum bol súčasťou V4 projektu zahajujúceho spoluprácu PL-CZ-SK-HU.</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EETAM model a klasterová analýza sú priamo použiteľné pre SK. Klúčové: PL má masivnú infraštruktúrnu investiciu (16 000 tried), čo SK nemá. Metodicky však môžeme prevžiať EETAM framework a klastráciu používateľov.</w:t>
      </w:r>
    </w:p>
    <w:p>
      <w:pPr>
        <w:pStyle w:val="Heading2"/>
        <w:spacing w:after="160" w:before="240"/>
      </w:pPr>
      <w:r>
        <w:rPr>
          <w:rFonts w:ascii="Arial" w:cs="Arial" w:eastAsia="Arial" w:hAnsi="Arial"/>
          <w:b/>
          <w:bCs/>
          <w:color w:val="2E75B6"/>
          <w:sz w:val="26"/>
          <w:szCs w:val="26"/>
        </w:rPr>
        <w:t xml:space="preserve">4.3 Maďarsko — stratégický prístup zhora</w:t>
      </w:r>
    </w:p>
    <w:p>
      <w:pPr>
        <w:spacing w:after="120" w:before="120" w:line="276"/>
        <w:jc w:val="both"/>
      </w:pPr>
      <w:r>
        <w:rPr>
          <w:rFonts w:ascii="Arial" w:cs="Arial" w:eastAsia="Arial" w:hAnsi="Arial"/>
          <w:b/>
          <w:bCs/>
          <w:sz w:val="22"/>
          <w:szCs w:val="22"/>
        </w:rPr>
        <w:t xml:space="preserve">Stratégia: </w:t>
      </w:r>
      <w:r>
        <w:rPr>
          <w:rFonts w:ascii="Arial" w:cs="Arial" w:eastAsia="Arial" w:hAnsi="Arial"/>
          <w:sz w:val="22"/>
          <w:szCs w:val="22"/>
        </w:rPr>
        <w:t xml:space="preserve">Národná AI stratégia 2025–2030 so 6 piliermi. AI Coalition (400 zástupcov z biznisu, vedy a vlády) ako koordinačný mechnizmus. Zákon LXXV/2025 implementuje EU AI Act. Cieľ: 2,5 mil. Maďarov s AI gramotnosu do 2030.</w:t>
      </w:r>
    </w:p>
    <w:p>
      <w:pPr>
        <w:spacing w:after="120" w:before="120" w:line="276"/>
        <w:jc w:val="both"/>
      </w:pPr>
      <w:r>
        <w:rPr>
          <w:rFonts w:ascii="Arial" w:cs="Arial" w:eastAsia="Arial" w:hAnsi="Arial"/>
          <w:b/>
          <w:bCs/>
          <w:sz w:val="22"/>
          <w:szCs w:val="22"/>
        </w:rPr>
        <w:t xml:space="preserve">Ako to dosiahli: </w:t>
      </w:r>
      <w:r>
        <w:rPr>
          <w:rFonts w:ascii="Arial" w:cs="Arial" w:eastAsia="Arial" w:hAnsi="Arial"/>
          <w:sz w:val="22"/>
          <w:szCs w:val="22"/>
        </w:rPr>
        <w:t xml:space="preserve">Vysokokolským inštitúciám nariadili revíziu interných predpisov a študijných poriadkov vo vzťahu k AI do septembra 2025. Bosch survey (jar 2025, N = 800 stredoškolákov) zistil, že 84 % študentov považuje AI zručnosti za nevyhnutné pre budúci trh práce. Priemyslový sektor (Bosch, Siemens) aktívne spája firemné vzdelávanie s univerzitami.</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HU demštruje top-down prístup s regulatórnym tlakom. Pre SK je zaujímavý model AI Coalition — platforma spůjajúca stakeholderov. HU tiež čelí podobnej dispropotcii študenti &gt; učitelia v adopcii AI.</w:t>
      </w:r>
    </w:p>
    <w:p>
      <w:pPr>
        <w:pStyle w:val="Heading2"/>
        <w:spacing w:after="160" w:before="240"/>
      </w:pPr>
      <w:r>
        <w:rPr>
          <w:rFonts w:ascii="Arial" w:cs="Arial" w:eastAsia="Arial" w:hAnsi="Arial"/>
          <w:b/>
          <w:bCs/>
          <w:color w:val="2E75B6"/>
          <w:sz w:val="26"/>
          <w:szCs w:val="26"/>
        </w:rPr>
        <w:t xml:space="preserve">4.4 Fínsko — referenčný model</w:t>
      </w:r>
    </w:p>
    <w:p>
      <w:pPr>
        <w:spacing w:after="120" w:before="120" w:line="276"/>
        <w:jc w:val="both"/>
      </w:pPr>
      <w:r>
        <w:rPr>
          <w:rFonts w:ascii="Arial" w:cs="Arial" w:eastAsia="Arial" w:hAnsi="Arial"/>
          <w:b/>
          <w:bCs/>
          <w:sz w:val="22"/>
          <w:szCs w:val="22"/>
        </w:rPr>
        <w:t xml:space="preserve">Stratégia: </w:t>
      </w:r>
      <w:r>
        <w:rPr>
          <w:rFonts w:ascii="Arial" w:cs="Arial" w:eastAsia="Arial" w:hAnsi="Arial"/>
          <w:sz w:val="22"/>
          <w:szCs w:val="22"/>
        </w:rPr>
        <w:t xml:space="preserve">AuroraAI program ako základ human-centric AI politiky. Národná agentúra pre vzdelanie vydala v 2025 materiál „UI vo vzdeluvaní — legislatíva a odporučenia“ pokrývajúci od materskej školy po odborné vzdelávanie. Vyžadujú explainable AI, DPIA pre všetky AI nástroje, etické komisie.</w:t>
      </w:r>
    </w:p>
    <w:p>
      <w:pPr>
        <w:spacing w:after="120" w:before="120" w:line="276"/>
        <w:jc w:val="both"/>
      </w:pPr>
      <w:r>
        <w:rPr>
          <w:rFonts w:ascii="Arial" w:cs="Arial" w:eastAsia="Arial" w:hAnsi="Arial"/>
          <w:b/>
          <w:bCs/>
          <w:sz w:val="22"/>
          <w:szCs w:val="22"/>
        </w:rPr>
        <w:t xml:space="preserve">Ako to dosiahli: </w:t>
      </w:r>
      <w:r>
        <w:rPr>
          <w:rFonts w:ascii="Arial" w:cs="Arial" w:eastAsia="Arial" w:hAnsi="Arial"/>
          <w:sz w:val="22"/>
          <w:szCs w:val="22"/>
        </w:rPr>
        <w:t xml:space="preserve">Prakticky: platforma Eduten (v 70 % fínskych škôl, 2,1 mil. používateľov) prispôsobuje matematické úlohy v reálnom čase. Pilotné štúdie reportujú +25 % v testových skórach a +30 % engagement. Kurz „Elements of AI“ (Univerzita Helsinki, zadarmo) preškolil 1 % populácie vo základoch AI. 42 teenéžerov absolvovalo AI Ambassador Summer Program v Oulu (2025).</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Fínsky model DPIA pre AI nástroje je relevantný pre SK compliance s EU AI Act (deadline aug. 2026). „Elements of AI“ je voľne dostupný a môže slúžiť ako základ pre SK učiteľské školenia.</w:t>
      </w:r>
    </w:p>
    <w:p>
      <w:pPr>
        <w:pStyle w:val="Heading2"/>
        <w:spacing w:after="160" w:before="240"/>
      </w:pPr>
      <w:r>
        <w:rPr>
          <w:rFonts w:ascii="Arial" w:cs="Arial" w:eastAsia="Arial" w:hAnsi="Arial"/>
          <w:b/>
          <w:bCs/>
          <w:color w:val="2E75B6"/>
          <w:sz w:val="26"/>
          <w:szCs w:val="26"/>
        </w:rPr>
        <w:t xml:space="preserve">4.5 Estónsko — „AI Leap“ ako nástupc Tiger Leap</w:t>
      </w:r>
    </w:p>
    <w:p>
      <w:pPr>
        <w:spacing w:after="120" w:before="120" w:line="276"/>
        <w:jc w:val="both"/>
      </w:pPr>
      <w:r>
        <w:rPr>
          <w:rFonts w:ascii="Arial" w:cs="Arial" w:eastAsia="Arial" w:hAnsi="Arial"/>
          <w:b/>
          <w:bCs/>
          <w:sz w:val="22"/>
          <w:szCs w:val="22"/>
        </w:rPr>
        <w:t xml:space="preserve">Stratégia: </w:t>
      </w:r>
      <w:r>
        <w:rPr>
          <w:rFonts w:ascii="Arial" w:cs="Arial" w:eastAsia="Arial" w:hAnsi="Arial"/>
          <w:sz w:val="22"/>
          <w:szCs w:val="22"/>
        </w:rPr>
        <w:t xml:space="preserve">AI Leap 2025 (TI Hüpe) — národný program integrácie AI do školstva. Prvá fáza od septembra 2025: 20 000 študentov (ročníky 10–11) a 3 000 učiteľov získava prístup k AI nástrojom zadarmo. Spolupráca s OpenAI a Anthropic.</w:t>
      </w:r>
    </w:p>
    <w:p>
      <w:pPr>
        <w:spacing w:after="120" w:before="120" w:line="276"/>
        <w:jc w:val="both"/>
      </w:pPr>
      <w:r>
        <w:rPr>
          <w:rFonts w:ascii="Arial" w:cs="Arial" w:eastAsia="Arial" w:hAnsi="Arial"/>
          <w:b/>
          <w:bCs/>
          <w:sz w:val="22"/>
          <w:szCs w:val="22"/>
        </w:rPr>
        <w:t xml:space="preserve">Ako to dosiahli: </w:t>
      </w:r>
      <w:r>
        <w:rPr>
          <w:rFonts w:ascii="Arial" w:cs="Arial" w:eastAsia="Arial" w:hAnsi="Arial"/>
          <w:sz w:val="22"/>
          <w:szCs w:val="22"/>
        </w:rPr>
        <w:t xml:space="preserve">Fázový rollout: (1) školenie učiteľov (jeseň 2025), (2) nasadenie AI nástrojov pre študentov, (3) rozšírenie na odborné školy a ďalsuích 38 000 študentov (2026). Ročný rozpočet cca 6,5 mil. €. Klúčový princíp: spätná väzba z prvej fázy sa použije na zlepšenie pred škálovaním.</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Fázový prístup je reálny pre SK. Estónsko má porovnateľnú veľkosť populácie s niektorymi SK krajmi. Model „training-first, deployment-second“ je priamo relevantný pre SK Plán 2025–2027.</w:t>
      </w:r>
    </w:p>
    <w:p>
      <w:pPr>
        <w:pStyle w:val="Heading2"/>
        <w:spacing w:after="160" w:before="240"/>
      </w:pPr>
      <w:r>
        <w:rPr>
          <w:rFonts w:ascii="Arial" w:cs="Arial" w:eastAsia="Arial" w:hAnsi="Arial"/>
          <w:b/>
          <w:bCs/>
          <w:color w:val="2E75B6"/>
          <w:sz w:val="26"/>
          <w:szCs w:val="26"/>
        </w:rPr>
        <w:t xml:space="preserve">4.6 Rakúsko — opatrný EU prístup</w:t>
      </w:r>
    </w:p>
    <w:p>
      <w:pPr>
        <w:spacing w:after="120" w:before="120" w:line="276"/>
        <w:jc w:val="both"/>
      </w:pPr>
      <w:r>
        <w:rPr>
          <w:rFonts w:ascii="Arial" w:cs="Arial" w:eastAsia="Arial" w:hAnsi="Arial"/>
          <w:b/>
          <w:bCs/>
          <w:sz w:val="22"/>
          <w:szCs w:val="22"/>
        </w:rPr>
        <w:t xml:space="preserve">Stratégia: </w:t>
      </w:r>
      <w:r>
        <w:rPr>
          <w:rFonts w:ascii="Arial" w:cs="Arial" w:eastAsia="Arial" w:hAnsi="Arial"/>
          <w:sz w:val="22"/>
          <w:szCs w:val="22"/>
        </w:rPr>
        <w:t xml:space="preserve">Rakúsko postupuje cez KMK guidelines (podobne ako Nemecko) s dôrazom na transparentnosť, ľudský dohľad a risk-based klasifikáciu. GoStudent European Educational AI Index 2025 hodnotí Rakúsko v strednom pásme s dôrazom na etiku a bezpečnosť.</w:t>
      </w:r>
    </w:p>
    <w:p>
      <w:pPr>
        <w:spacing w:after="120" w:before="120" w:line="276"/>
        <w:jc w:val="both"/>
      </w:pPr>
      <w:r>
        <w:rPr>
          <w:rFonts w:ascii="Arial" w:cs="Arial" w:eastAsia="Arial" w:hAnsi="Arial"/>
          <w:b/>
          <w:bCs/>
          <w:sz w:val="22"/>
          <w:szCs w:val="22"/>
        </w:rPr>
        <w:t xml:space="preserve">Aplikácia na SK: </w:t>
      </w:r>
      <w:r>
        <w:rPr>
          <w:rFonts w:ascii="Arial" w:cs="Arial" w:eastAsia="Arial" w:hAnsi="Arial"/>
          <w:sz w:val="22"/>
          <w:szCs w:val="22"/>
        </w:rPr>
        <w:t xml:space="preserve">Rakúsky prístup je konzervatívnejší než estónsky, ale relevantný pre SK v kontexte GDPR compliance a ethical frameworks. SK môže kombinomávautí rakúsky etický rámec s estónskym implementácnym modelom.</w:t>
      </w:r>
    </w:p>
    <w:p>
      <w:pPr>
        <w:pStyle w:val="Heading1"/>
        <w:pageBreakBefore/>
        <w:spacing w:after="200" w:before="360"/>
      </w:pPr>
      <w:r>
        <w:rPr>
          <w:rFonts w:ascii="Arial" w:cs="Arial" w:eastAsia="Arial" w:hAnsi="Arial"/>
          <w:b/>
          <w:bCs/>
          <w:color w:val="1B4F72"/>
          <w:sz w:val="30"/>
          <w:szCs w:val="30"/>
        </w:rPr>
        <w:t xml:space="preserve">5. Syntéza: Odporučenia pre slovenský výskum</w:t>
      </w:r>
    </w:p>
    <w:p>
      <w:pPr>
        <w:spacing w:after="120" w:before="120" w:line="276"/>
        <w:jc w:val="both"/>
      </w:pPr>
      <w:r>
        <w:rPr>
          <w:rFonts w:ascii="Arial" w:cs="Arial" w:eastAsia="Arial" w:hAnsi="Arial"/>
          <w:sz w:val="22"/>
          <w:szCs w:val="22"/>
        </w:rPr>
        <w:t xml:space="preserve">Na základe metodologickej analýzy štúdií a prístupov okolítých krajín možno pre diplomovú prácu sformulovať nasledujúce konkrétne odporučenia:</w:t>
      </w:r>
    </w:p>
    <w:p>
      <w:pPr>
        <w:spacing w:after="120" w:before="120" w:line="276"/>
        <w:jc w:val="both"/>
      </w:pPr>
      <w:r>
        <w:rPr>
          <w:rFonts w:ascii="Arial" w:cs="Arial" w:eastAsia="Arial" w:hAnsi="Arial"/>
          <w:b/>
          <w:bCs/>
          <w:sz w:val="22"/>
          <w:szCs w:val="22"/>
        </w:rPr>
        <w:t xml:space="preserve">Výskumný dizajn: </w:t>
      </w:r>
      <w:r>
        <w:rPr>
          <w:rFonts w:ascii="Arial" w:cs="Arial" w:eastAsia="Arial" w:hAnsi="Arial"/>
          <w:sz w:val="22"/>
          <w:szCs w:val="22"/>
        </w:rPr>
        <w:t xml:space="preserve">Kombinovať prístupy Microsoft/CHI (zber reálnych príkladov použitia + regresný model) s Slijepcevic (tri-skupinový pre/post-test). Pre VO1 (mapovanie) použiť dotazník podľa českého modelu Kopecký. Pre VO2 (kognitívne efekty) použiť Halpern CTA + priame meranie (čas čítania, logging promptov). Pre VO3 (odporučenia) benchmarking s V4 krajinami.</w:t>
      </w:r>
    </w:p>
    <w:p>
      <w:pPr>
        <w:spacing w:after="120" w:before="120" w:line="276"/>
        <w:jc w:val="both"/>
      </w:pPr>
      <w:r>
        <w:rPr>
          <w:rFonts w:ascii="Arial" w:cs="Arial" w:eastAsia="Arial" w:hAnsi="Arial"/>
          <w:b/>
          <w:bCs/>
          <w:sz w:val="22"/>
          <w:szCs w:val="22"/>
        </w:rPr>
        <w:t xml:space="preserve">Nástroj na extrakciu promptov: </w:t>
      </w:r>
      <w:r>
        <w:rPr>
          <w:rFonts w:ascii="Arial" w:cs="Arial" w:eastAsia="Arial" w:hAnsi="Arial"/>
          <w:sz w:val="22"/>
          <w:szCs w:val="22"/>
        </w:rPr>
        <w:t xml:space="preserve">Inspirovať sa Slijepcevic logging modelom (všetky interakcie, časové značky, následné otázky). Nástroj by mohol zaznamenávať: typ promptu, čas čítania odpovede, či študent odpoveď spracoval alebo okamžite zadal nový prompt (short memory span fe฾óm). Toto je originálny prínos, ktorý v žiadnej existujúcej štúdii nie je adresovaný.</w:t>
      </w:r>
    </w:p>
    <w:p>
      <w:pPr>
        <w:spacing w:after="120" w:before="120" w:line="276"/>
        <w:jc w:val="both"/>
      </w:pPr>
      <w:r>
        <w:rPr>
          <w:rFonts w:ascii="Arial" w:cs="Arial" w:eastAsia="Arial" w:hAnsi="Arial"/>
          <w:b/>
          <w:bCs/>
          <w:sz w:val="22"/>
          <w:szCs w:val="22"/>
        </w:rPr>
        <w:t xml:space="preserve">Kvantitatívne porovnanie: </w:t>
      </w:r>
      <w:r>
        <w:rPr>
          <w:rFonts w:ascii="Arial" w:cs="Arial" w:eastAsia="Arial" w:hAnsi="Arial"/>
          <w:sz w:val="22"/>
          <w:szCs w:val="22"/>
        </w:rPr>
        <w:t xml:space="preserve">Tabuľka metodológií (sekcia 3) slúži ako základ. Dopiniť o parametrické metriky: veľkosť vzorky, effect size, typ štatistickej analýzy, dľku intervencie. Porovnať SK vzuťahom k týmto parametrom.</w:t>
      </w:r>
    </w:p>
    <w:p>
      <w:pPr>
        <w:spacing w:after="120" w:before="120" w:line="276"/>
        <w:jc w:val="both"/>
      </w:pPr>
      <w:r>
        <w:rPr>
          <w:rFonts w:ascii="Arial" w:cs="Arial" w:eastAsia="Arial" w:hAnsi="Arial"/>
          <w:b/>
          <w:bCs/>
          <w:sz w:val="22"/>
          <w:szCs w:val="22"/>
        </w:rPr>
        <w:t xml:space="preserve">Kvalitatívne porovnanie: </w:t>
      </w:r>
      <w:r>
        <w:rPr>
          <w:rFonts w:ascii="Arial" w:cs="Arial" w:eastAsia="Arial" w:hAnsi="Arial"/>
          <w:sz w:val="22"/>
          <w:szCs w:val="22"/>
        </w:rPr>
        <w:t xml:space="preserve">Hlbšia analýza silných a slabých stránok každého prístupu. Napríklad Kestin má vysokú internú validitu (RCT), ale nízku externú (len fyzika, len Harvard). Gerlich má veľkú vzorku, ale len koreláciu. Slijepcevic má najrelevantnejší dizajn pre školské prostredie, ale malú vzorku.</w:t>
      </w:r>
    </w:p>
    <w:p>
      <w:pPr>
        <w:spacing w:after="120" w:before="120" w:line="276"/>
        <w:jc w:val="both"/>
      </w:pPr>
      <w:r>
        <w:rPr>
          <w:rFonts w:ascii="Arial" w:cs="Arial" w:eastAsia="Arial" w:hAnsi="Arial"/>
          <w:b/>
          <w:bCs/>
          <w:sz w:val="22"/>
          <w:szCs w:val="22"/>
        </w:rPr>
        <w:t xml:space="preserve">V4 kontext: </w:t>
      </w:r>
      <w:r>
        <w:rPr>
          <w:rFonts w:ascii="Arial" w:cs="Arial" w:eastAsia="Arial" w:hAnsi="Arial"/>
          <w:sz w:val="22"/>
          <w:szCs w:val="22"/>
        </w:rPr>
        <w:t xml:space="preserve">Existujúci V4 projekt (Visegrad Fund) prepojuujúci PL-CZ-SK-HU výskum AI vo vzdelávaní je priama príležitosur. SK môže prevžiať český dotazníkový model a poľský EETAM framework, pridať vlastný nástroj na meranie short memory span, a vytvoriť komparáciu napriruč regiónom.</w:t>
      </w:r>
    </w:p>
    <w:p>
      <w:pPr>
        <w:spacing w:before="600"/>
      </w:pPr>
    </w:p>
    <w:p>
      <w:pPr>
        <w:pBdr>
          <w:top w:val="single" w:color="CCCCCC" w:sz="2" w:space="8"/>
        </w:pBdr>
        <w:spacing w:after="100" w:before="200"/>
      </w:pPr>
      <w:r>
        <w:rPr>
          <w:rFonts w:ascii="Arial" w:cs="Arial" w:eastAsia="Arial" w:hAnsi="Arial"/>
          <w:i/>
          <w:iCs/>
          <w:color w:val="999999"/>
          <w:sz w:val="18"/>
          <w:szCs w:val="18"/>
        </w:rPr>
        <w:t xml:space="preserve">Tento dokument slúži ako podklad pre diplomovú prácu na STU FIIT. Všetky zdojře sú identifikované v texte a zodpovedajú zdrojom uvedeným v analytickej rešerši (Excalidraw).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999999"/>
        <w:sz w:val="16"/>
        <w:szCs w:val="16"/>
      </w:rPr>
      <w:t xml:space="preserve">Strana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999999"/>
        <w:sz w:val="16"/>
        <w:szCs w:val="16"/>
      </w:rPr>
      <w:t xml:space="preserve">Metodologická analýza  |  Diplomová práca  |  STU FIIT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2026-04-13T13:22:49.807Z</dcterms:created>
  <dcterms:modified xsi:type="dcterms:W3CDTF">2026-04-13T13:22:49.808Z</dcterms:modified>
</cp:coreProperties>
</file>

<file path=docProps/custom.xml><?xml version="1.0" encoding="utf-8"?>
<Properties xmlns="http://schemas.openxmlformats.org/officeDocument/2006/custom-properties" xmlns:vt="http://schemas.openxmlformats.org/officeDocument/2006/docPropsVTypes"/>
</file>