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BrainStorm BI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proprietary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Platforms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claude-code,hermes-agent,openclaw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Requires_toolsets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web_search,web_fetch,bash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Diagnostic New Business Intelligence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Ce que fait ce skill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À partir de l'URL d'une entreprise cible (agence ou prospect), ce skill 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Crawle et analyse le site (homepage, services, à propos, clients, blog, réseaux sociaux)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Score la cible sur 6 axes de maturité commerciale et marketing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Génère verbatims personas (bloc pleine largeur), tendances sectorielles, audit design/UX vs best practices 2026, plan d'actions 6 mois, 6 suggestions orientées prestations d'agence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Rend le diagnostic dans un widget visuel interactif (radar chart + fiches par axe)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Exporte un fichier HTML standalone — autonome, hébergeable, prêt à envoyer en cold email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Détection du mode et parsing du batch — PRIORITÉ ABSOLUE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Format batch reconnu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Les diagnostics peuvent être lancés en batch. Deux formats selon le mode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Format Diagnostic A — leads seuls, pas d'agence émettrice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Diagnostic 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[URL_lead1] [contexte optionnel] [cc: email1@x.com, email2@x.com]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[URL_lead2] [contexte optionnel] [cc: ...]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[URL_lead3] [contexte optionnel]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Format Diagnostic B — agence émettrice fixe + leads 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Diagnostic B [URL_agence_emettrice]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[URL_lead1] [contexte optionnel] [cc: email1@x.com, email2@x.com]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[URL_lead2] [contexte optionnel] [cc: ...]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[URL_lead3] [contexte optionnel]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Règles de parsing 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 Mode B : URL agence déclarée une seule fois en tête de batch — ne jamais la réparser pour chaque lead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cc: est optionnel par ligne — si absent, CC_EMAILS = [] dans le HTML généré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 contexte libre est tout texte entre la dernière URL et le cc: (ou fin de ligne)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 diagnostic unique sans en-tête batch = syntaxe libre, même règles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 A — URL lead seule → Diagnostic de l'agence (lead BrainStorm BI)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 cible est notre propre prospect. Le diagnostic est conçu pour être envoyé à cette agence afin de lui montrer ce qu'elle peut améliorer dans son propre new business.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Ton : "vous" s'adresse directement au DG de l'agence analysée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Suggestions : leviers que l'agence peut activer elle-même pour développer son business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Plan d'actions : structuré autour de son positionnement, sa notoriété, sa conversion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Contexte libre : pondère les suggestions et le plan d'actions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 B — URL agence + URL lead → Diagnostic prospect (lead de l'agence cliente)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URL agence = l'agence émettrice (notre client). URL lead = le prospect à analyser. Les suggestions et le plan d'actions sont calibrés sur ce que l'agence émettrice sait concrètement faire.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Ton : "vous" s'adresse au DG du prospect (URL lead)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Suggestions : uniquement des prestations que l'agence propose réellement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Plan d'actions : filtré par les expertises de l'agence émettrice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Contexte libre : affine les priorités (ex : "privilégier le SEO", "budget limité")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Optimisation batch Mode B — cache profil agence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batch Mode B, le profil agence est parsé UNE SEULE FOIS (première tâche du batch) et réutilisé pour tous les leads suivants sans re-fetch.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Le profil agence contient 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Secteurs d'activité couverts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Prestations réellement proposées (liste exhaustive)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Positionnement et ton éditorial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Types de clients habituels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Éléments différenciants revendiqués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Ce profil est passé en contexte à chaque diagnostic suivant du batch — aucun appel web sur URL agence après le premier.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Catalogue de prestations suggérables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Ce catalogue est la référence pour formuler les suggestions prioritaires et le plan d'actions. Chaque suggestion doit s'ancrer dans l'une de ces familles de prestations — jamais dans des actions hors périmètre agence.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Communication &amp; image de marque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Refonte ou création d'identité visuelle (logo, charte graphique, brand guidelines)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Stratégie de marque et positionnement (plateforme de marque, promesse, storytelling)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Création de contenus (rédactionnel, copywriting, brand content, manifeste)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Personal branding dirigeant (LinkedIn, prises de parole, interviews)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Communication corporate (plaquettes, rapports annuels, pitch deck)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Stratégie marketing &amp; new business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Stratégie inbound marketing (tunnels de conversion, lead magnets, nurturing)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Stratégie outbound / prospection (cold email, LinkedIn outreach, séquences automatisées)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Lead generation (campagnes d'acquisition, landing pages, offres d'entrée)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Marketing automation et CRM (mise en place, paramétrage, scénarios)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Stratégie de contenu et SEO éditorial (calendrier, piliers thématiques, articles)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Web, digital &amp; développement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Refonte ou création de site web (UX, design, développement)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Optimisation SEO (audit technique, maillage, on-page, link building)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Campagnes SEA / Google Ads / Meta Ads (stratégie, création, pilotage)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Développement d'application web ou mobile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Optimisation des performances web et conversion rate optimization (CRO)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Notoriété &amp; autorité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Stratégie réseaux sociaux (ligne éditoriale, calendrier, production)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Relations presse et earned media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Webinaires, podcasts, événements de marque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Études, livres blancs, baromètres sectoriels (thought leadership)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Workflow d'exécution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Étape 0 — Parsing de la demande (TOUJOURS en premier)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Détecter si batch ou diagnostic unique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Identifier le mode : en-tête "Diagnostic A" → Mode A / "Diagnostic B [URL]" → Mode 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Mode B batch : extraire l'URL agence émettrice depuis l'en-tête — parser une seule fois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Pour chaque ligne : extraire URL lead + contexte libre + emails CC (cc: ...)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 emails : si cc: présent → extraire liste → injecter var CC_EMAILS = ['...'] dans BLOC 3 du HTML. Si absent → var CC_EMAILS = []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Étape 1 — Collecte de données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 Mode A (1 URL — l'agence est la cible) 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Fetcher dans cet ordre (web_search + web_fetch) 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web_search("{nom agence} agence communication marketing")  → vérifie l'existence, trouve pages clés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web_fetch("{url}")                                          → homepage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web_fetch("{url}/lagence" ou "/about" ou "/qui-sommes-nous")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4. web_fetch("{url}/services" ou "/prestations" ou "/offres")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5. web_fetch("{url}/clients" ou "/references" ou "/realisations" ou "/portfolio")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6. web_fetch("{url}/blog" ou "/actualites" ou "/ressources")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web_search("{nom agence} clients références avis LinkedIn") → croisement externe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 Mode B (agence + lead) 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Phase 1 — Scan de l'agence émettrice — UNE SEULE FOIS par batch, jamais répété 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 batch : si le profil agence est déjà disponible en contexte (diagnostic précédent du même batch), sauter entièrement cette phase. Utiliser le profil existant.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web_fetch("{url_agence}")                                      → homepage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web_fetch("{url_agence}/services" ou "/prestations" ou "/offres")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 web_fetch("{url_agence}/lagence" ou "/about")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web_search("{nom agence} prestations expertise secteurs")      → croisement externe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Extraire et mémoriser silencieusement le Profil Agence 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Secteurs d'activité couverts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Prestations réellement proposées (liste exhaustive)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Positionnement et ton éditorial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Types de clients habituels (PME, grands comptes, secteurs spécifiques)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Éléments différenciants revendiqués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Ce profil n'est jamais affiché dans le rapport — il sert uniquement à calibrer les suggestions et le plan d'actions.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Phase 2 — Scan du prospect (URL 2) — c'est la cible du rapport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web_search("{nom prospect}")                                   → vérifie l'existence, contexte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web_fetch("{url_prospect}")                                     → homepage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web_fetch("{url_prospect}/about" ou "/qui-sommes-nous")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4. web_fetch("{url_prospect}/services" ou "/produits" ou "/offres")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5. web_fetch("{url_prospect}/blog" ou "/actualites" ou "/ressources")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web_search("{nom prospect} actualités stratégie marketing LinkedIn") → signaux externes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Si une page retourne une erreur, continuer avec les données disponibles. Minimum requis : homepage + 1 page secondaire (pour chaque URL en Mode B).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Étape 1b — Intégration du contexte libre (si fourni)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Si l'utilisateur a fourni un texte libre après les URLs, l'analyser et en extraire 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Prestations à privilégier → monter leur poids dans le scoring interne des suggestions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Prestations à exclure → les retirer du périmètre des suggestions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Contexte relationnel (ex : "déjà client sur une petite mission") → adapter le ton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Informations non crawlables (ex : "ils viennent de lever des fonds", "budget serré") → enrichir le Signal WOW et l'accroche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Instructions de focus (ex : "focus sur le SEO", "uniquement B2B") → filtrer axes et suggestions en conséquence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Ce contexte enrichit silencieusement le diagnostic — il n'est pas affiché tel quel mais infuse toutes les sections.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Étape 2 — Grille d'analyse (6 axes)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Scorer chaque axe de 0 à 100.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RÈGLE CRITIQUE — périmètre des faiblesses : Ne détecter et formuler que des faiblesses améliorables par des prestations marketing, communication digitale, contenu ou commercialisation. Aucune faiblesse hors de ce périmètre (RH, trésorerie, informatique interne, organisation) ne doit apparaître.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En Mode A : utiliser le catalogue de prestations comme référentiel générique. En Mode B : utiliser uniquement les prestations réelles de l'agence émettrice extraites lors du scan (Étape 1, Phase 1). Chaque faiblesse identifiée chez le prospect est une ouverture commerciale concrète pour l'agence — la formuler comme une opportunité, jamais comme une critique. Si le contexte libre indique des priorités, les faire remonter.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Exemple Mode B : "votre présence digitale n'est pas encore alignée avec vos ambitions de croissance" → ouverture sur les prestations de l'agence émettrice qui correspondent (SEO, refonte, contenu...). Ne pas suggérer une prestation que l'agence ne fait pas.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AXE 1 — Design &amp; image de marque (poids 20%) — couleur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#F368E0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Cherche : cohérence visuelle homepage/réseaux, typographie, palette, modernité du design, unicité de l'univers graphique, cohérence identitaire tous supports.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Signal observé</w:t>
        <w:tab/>
        <w:t xml:space="preserve">Score indicatif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Site daté, identité générique, absence de cohérence graphique</w:t>
        <w:tab/>
        <w:t xml:space="preserve">56–65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Charte présente mais basique, peu différenciante</w:t>
        <w:tab/>
        <w:t xml:space="preserve">65–70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Identité cohérente, typographie soignée, DA lisible</w:t>
        <w:tab/>
        <w:t xml:space="preserve">70–80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Univers de marque propriétaire, expérience mémorable, cohérence totale</w:t>
        <w:tab/>
        <w:t xml:space="preserve">80–100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AXE 2 — Ligne éditoriale (poids 10%) — couleur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#E17055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Cherche : blog, newsletter, ressources téléchargeables, webinaires, LinkedIn éditorial, fréquence de publication.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Signal observé</w:t>
        <w:tab/>
        <w:t xml:space="preserve">Score indicatif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Pas de blog ou blog inactif (&gt; 6 mois)</w:t>
        <w:tab/>
        <w:t xml:space="preserve">56–60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Blog actif mais sujets hors-cible ou trop généraux</w:t>
        <w:tab/>
        <w:t xml:space="preserve">60–65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Contenus sectoriels alignés sur les problématiques prospects</w:t>
        <w:tab/>
        <w:t xml:space="preserve">65–75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Thought leadership + outils gratuits + newsletter + webinaires</w:t>
        <w:tab/>
        <w:t xml:space="preserve">75–100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AXE 3 — Différenciation &amp; positionnement (poids 20%) — couleur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#6C5CE7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Cherche : tagline, proposition de valeur, page à propos, vocabulaire employé, claims distinctifs.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Signal observé</w:t>
        <w:tab/>
        <w:t xml:space="preserve">Score indicatif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Discours générique, "agence 360° experte passionnée"</w:t>
        <w:tab/>
        <w:t xml:space="preserve">56–62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Spécialisation sur quelques services ou secteurs</w:t>
        <w:tab/>
        <w:t xml:space="preserve">62–68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Niche sectorielle revendiquée + méthodologie propre</w:t>
        <w:tab/>
        <w:t xml:space="preserve">68–78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Positionnement propriétaire inimitable, promesse mesurable</w:t>
        <w:tab/>
        <w:t xml:space="preserve">78–100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AXE 4 — Ciblage acheteurs (poids 20%) — couleur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#00CEC9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Cherche : pages sectorielles, cas clients, langage acheteur, résultats chiffrés.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Signal observé</w:t>
        <w:tab/>
        <w:t xml:space="preserve">Score indicatif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Aucune segmentation visible, site généraliste</w:t>
        <w:tab/>
        <w:t xml:space="preserve">56–60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Segmentation basique (PME/grands comptes)</w:t>
        <w:tab/>
        <w:t xml:space="preserve">60–65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Pages par secteur, cas clients avec contexte métier</w:t>
        <w:tab/>
        <w:t xml:space="preserve">65–75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Pages par persona + pain points explicites + résultats chiffrés</w:t>
        <w:tab/>
        <w:t xml:space="preserve">75–100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Verbatims personas — BLOC PLEINE LARGEUR après la grille des 6 axes (pas à l'intérieur de la fiche) 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Identifier 3 personas cibles (acheteurs probables des services de l'agence)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Pour chaque persona, rédiger un verbatim hypothétique en 1 à 2 phrases exprimant : motivation à consulter ce type d'agence + frein ou hésitation face au site actuel + question implicite non résolue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Le verbatim est calibré sur ce que le site dégage réellement — ancré dans un pain point marketing/communication réel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Label du bloc : "Ce que dirait votre cible idéale" (icône ti-message-quote, couleur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#00CEC9)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Mise en page : grille 3 colonnes égales, chaque verbatim border-left: 2px solid rgba(0,206,201,.3), fond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#13131f, border rgba(0,206,201,.12)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Format par verbatim : [Nom persona — Poste] (12px/700/couleur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#a0a0b8) + texte en italique 13px/couleur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#6b6b88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3 personas obligatoires (pas 2)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AXE 5 — Autorité &amp; preuve sociale (poids 15%) — couleur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#FDCB6E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Cherche : logos clients, témoignages, études de cas, awards, mentions presse, LinkedIn dirigeants.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Signal observé</w:t>
        <w:tab/>
        <w:t xml:space="preserve">Score indicatif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Aucune référence, aucun client nommé</w:t>
        <w:tab/>
        <w:t xml:space="preserve">56–60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Quelques témoignages sans photo ni titre</w:t>
        <w:tab/>
        <w:t xml:space="preserve">60–65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Logos clients, témoignages avec nom/poste/entreprise</w:t>
        <w:tab/>
        <w:t xml:space="preserve">65–75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Grands comptes + chiffres résultats + dirigeants visibles + presse</w:t>
        <w:tab/>
        <w:t xml:space="preserve">75–100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AXE 6 — Dispositif de conversion (poids 15%) — couleur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#00B894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Cherche : lead magnets, offres d'entrée, CTA variés, chatbot, calendrier RDV, newsletter.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Signal observé</w:t>
        <w:tab/>
        <w:t xml:space="preserve">Score indicatif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Formulaire de contact unique, aucun CTA différencié</w:t>
        <w:tab/>
        <w:t xml:space="preserve">56–60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Page contact + numéro + 1 CTA générique</w:t>
        <w:tab/>
        <w:t xml:space="preserve">60–65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Plusieurs CTA, prise de RDV en ligne, chat</w:t>
        <w:tab/>
        <w:t xml:space="preserve">65–75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Lead magnet + offre d'entrée + tunnel de conversion + nurturing</w:t>
        <w:tab/>
        <w:t xml:space="preserve">75–100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Étape 3 — Calcul du score global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score_global = round(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axe1 * 0.20 +   # Design &amp; image de marque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axe2 * 0.10 +   # Ligne éditoriale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axe3 * 0.20 +   # Différenciation &amp; positionnement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axe4 * 0.20 +   # Ciblage acheteurs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axe5 * 0.15 +   # Autorité &amp; preuve sociale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axe6 * 0.15     # Dispositif de conversion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Règles de notation — OBLIGATOIRES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Minimum par axe : 56/100. Jamais en dessous — une note inférieure est vexante pour un décideur.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Minimum global : 65/100. Une note inférieure est perçue comme une critique, pas une opportunité.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Maximum global indicatif : 82/100. Au-delà, le diagnostic perd en crédibilité commerciale.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Distribution hétérogène OBLIGATOIRE. Dispersion minimale de 15 points entre le score le plus bas et le plus haut. Hexagone plat interdit.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Couleur du score global : vert 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#00B894) si ≥ 75 · orange 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#FDCB6E) si 65–74 · jamais rouge.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Label texte sous la note globale (13px, couleur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#a0a0b8) 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65–72 → "À amplifier"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73–79 → "Bonne dynamique"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80–100 → "Avant-garde"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Notes objectif — OBLIGATOIRES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Écart actuel → objectif : +15 à +30 points selon les axes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Distribution hétérogène — certains axes ont un potentiel de gain bien supérieur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Interdit : objectifs uniformément distribués (+15 partout)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Exemple crédible : actuel 68/62/72/65/70/64 → objectif 90/80/92/88/85/82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Radar Chart.js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scales: { r: { min: 30, max: 100, ticks: { stepSize: 25 } }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Datasets radar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Dataset 1 "Actuel" : borderColor: '#6C5CE7', backgroundColor: 'rgba(108,92,231,.15)', trait plein, points violets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Dataset 2 "Potentiel" : borderColor: '#FDCB6E', backgroundColor: 'rgba(253,203,110,.04)', borderDash: [5,4], points orange — jamais blanc ni gris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Légende personnalisée (HTML, pas Chart.js) : ligne pleine violette = Actuel · ligne pointillée orange = Potentiel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Labels radar (dans l'ordre des axes) : Différenciation / Ciblage / Autorité / Conversion / Image / Éditorial → "Image" (jamais "Design") pour Design &amp; image de marque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Étape 4 — Génération des insights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Principe fondamental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Ce document est lu directement par le DG de l'agence analysée. Toute la rédaction est à la 2ème personne du pluriel — jamais à la 3ème personne.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INTERDIT : "l'agence fait", "ils ont", "leur site", "cette agence"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OBLIGATOIRE : "vous faites", "vous avez", "votre site", "votre agence"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Bloc "En bref" — section unique, fusionnée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Une seule rubrique "En bref" en haut du rapport — regroupe la synthèse ET le signal WOW. La section "Ce que nous avons remarqué" est SUPPRIMÉE.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Contenu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Label "En bref" + méta "[Nom société] · Audit [Mois Année]"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Synthèse (3–4 phrases) : atouts réels, leviers, ton copywriter qui donne envie de lire la suite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Signal WOW intégré : un constat que le DG n'a jamais formulé — un atout réel sous-exploité, une force invisible. Jamais générique, toujours basé sur un fait concret du site. Ton : expert qui a fait ses devoirs.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Règles rédactionnelles 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INTERDIT : formulation pointant un manque ("votre positionnement freine", "vos visiteurs quittent")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INTERDIT : jargon creux ("trajectoire de positionnement", "dynamique de transformation")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INTERDIT : reprendre dans "En bref" la phrase teasing fixe du hero — elle apparaît déjà dans le hero, la répéter ici est redondant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5 mots en gras maximum — les termes les plus distinctifs du secteur ou de l'agence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Intégrer le jargon sectoriel exact de l'agence pour crédibiliser l'analyse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Structure : (1) reconnaître ce qui est construit / (2) ouvrir des perspectives d'amplification / (3) signal WOW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Phrase teasing dans le hero — adapter selon le mode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Mode A (l'agence se diagnostique elle-même) 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"Vous avez construit de vraies fondations et des références solides. Ce diagnostic identifie les leviers commerciaux qui, une fois activés, rendraient votre agence encore plus percutante en prospection."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Mode B (le prospect reçoit le diagnostic) 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"Vous avez construit quelque chose de solide. Ce diagnostic identifie les leviers marketing et digitaux qui, une fois activés, rendraient [Nom société] encore plus visible et percutante auprès de vos clients cibles."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Adapter "[Nom société]" avec le vrai nom de l'entreprise. Ne jamais laisser "votre agence" si la cible n'est pas une agence.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Eyebrow label dans le hero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"Diagnostic personnalisé" (jamais "New Business Intelligence · Diagnostic personnalisé")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Label dans les fiches axes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"Suggestion —" (jamais "Suggestion BrainStorm|Bi —", jamais de nom d'agence)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Tendances sectorielles pertinentes pour vous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En Mode A — tendances dans le domaine de la communication, du marketing digital et du new business 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Domaines : marketing digital, réseaux sociaux, stratégie de contenu, commercialisation, automatisation marketing, relation client, personal branding dirigeant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En Mode B — tendances dans le secteur métier du prospect (pas du secteur com/marketing) 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Identifier le secteur du prospect (industrie, retail, santé, immobilier, tech, services B2B…) et sélectionner des tendances qui touchent directement son marché et ses clients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L'objectif : montrer au DG qu'on comprend son business, pas juste le nôtre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INTERDIT en Mode B : tendances purement internes au monde des agences ou du marketing B2B sauf si directement pertinentes pour le prospect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Règles communes aux deux modes 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INTERDIT dans cette rubrique : tendances graphiques, typographiques, ou de design visuel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 à 3 tendances maximum (mieux vaut 2 très pertinentes que 3 dont une générique)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6–8 lignes par tendance — en 2 temps : (1) la tendance / (2) pourquoi elle s'applique à cette cible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Badge "Pertinence pour vous" uniquement si élevée ou très élevée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Audit design, UX &amp; image — best practices 2026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Ce n'est pas une liste de tendances génériques. C'est un audit spécifique du site analysé comparé aux standards de son secteur en 2026.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Périmètre exclusif : navigation/UX, présentation du portfolio, copywriting/messages, identité humaine visible, architecture de contenu.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Règles de production 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4 items maximum — qualité et spécificité avant quantité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Tags : UX/Navigation · Portfolio &amp; contenu · Copywriting · Identité humaine · Architecture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Format : tag + titre du problème observé (15px/700) + description (13px, 3–4 lignes) + colonne "Recommandation" courte (13px italic)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Chaque item doit être ancré dans un fait réel observé sur le site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Orientation : différenciation positive — "voici ce que font les studios qui se démarquent"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INTERDIT : tendances esthétiques génériques non liées au site analysé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Design du bloc : fond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#13131f, grille colonne principale (3fr) + colonne recommandation (1fr).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Scoring interne — OBLIGATOIRE avant de rédiger les suggestions (résultat non affiché)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Avant de sélectionner les suggestions, scorer toutes les améliorations identifiables issues des 6 axes ET de l'audit design/UX/image. Calculer silencieusement — ne jamais afficher ce tableau dans le rapport.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Grille de scoring — Mode A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Critère</w:t>
        <w:tab/>
        <w:t xml:space="preserve">Poids</w:t>
        <w:tab/>
        <w:t xml:space="preserve">Description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Impact commercial</w:t>
        <w:tab/>
        <w:t xml:space="preserve">50%</w:t>
        <w:tab/>
        <w:t xml:space="preserve">Contribution directe à la conversion ou crédibilité en prospection (0–10)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Facilité</w:t>
        <w:tab/>
        <w:t xml:space="preserve">30%</w:t>
        <w:tab/>
        <w:t xml:space="preserve">Effort/coût de mise en œuvre — 10 = très facile, rapide, peu coûteux (0–10)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Rapidité résultats</w:t>
        <w:tab/>
        <w:t xml:space="preserve">20%</w:t>
        <w:tab/>
        <w:t xml:space="preserve">Délai avant effets visibles — 10 = résultats immédiats (0–10)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Score Mode A = (Impact × 0.5) + (Facilité × 0.3) + (Rapidité × 0.2)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Grille de scoring — Mode B 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Critère</w:t>
        <w:tab/>
        <w:t xml:space="preserve">Poids</w:t>
        <w:tab/>
        <w:t xml:space="preserve">Description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Impact commercial</w:t>
        <w:tab/>
        <w:t xml:space="preserve">40%</w:t>
        <w:tab/>
        <w:t xml:space="preserve">Contribution directe à la visibilité ou conversion du prospect (0–10)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Facilité</w:t>
        <w:tab/>
        <w:t xml:space="preserve">25%</w:t>
        <w:tab/>
        <w:t xml:space="preserve">Effort/coût de mise en œuvre pour le prospect (0–10)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Rapidité résultats</w:t>
        <w:tab/>
        <w:t xml:space="preserve">15%</w:t>
        <w:tab/>
        <w:t xml:space="preserve">Délai avant effets visibles (0–10)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Alignement agence</w:t>
        <w:tab/>
        <w:t xml:space="preserve">20%</w:t>
        <w:tab/>
        <w:t xml:space="preserve">À quel point c'est le cœur de métier de l'agence émettrice (0–10)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Score Mode B = (Impact × 0.4) + (Facilité × 0.25) + (Rapidité × 0.15) + (Alignement × 0.20)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Règles de sélection 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Seuil minimal d'affichage : score ≥ 6.5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Afficher 6 suggestions — si moins de 6 candidats ≥ 6.5, élargir la recherche avant d'abaisser le seuil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Maximum 2 internalisables sur 6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Ordre décroissant (score le plus élevé en position 1)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L'audit design/UX doit alimenter au moins 1 suggestion si ses items scorent ≥ 7.0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Suggestions prioritaires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L'effet WOW : chaque suggestion doit soit confirmer une intuition que le DG avait déjà, soit révéler une idée qu'il n'avait pas mais reconnaît immédiatement comme juste. Émergent du croisement : données du site + personas + tendances sectorielles + best practices 2026.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En Mode B : chaque suggestion = un levier pour le prospect ET une prestation que l'agence émettrice peut exécuter. Les titres des suggestions sont aussi les items du brief interactif (section 10).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Design 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Bordure gauche : border-left: 3px solid [couleur axe]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Cercle de rang et titre : couleur de l'axe correspondant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Tag catégorie (10px) si issue de l'audit design/UX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Formulées au "vous", actionnables, ton copywriter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Proposition de plan d'actions sur 6 mois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Tableau HTML 7 colonnes : Mois | Priorité | Action | Axe | Objectif | Livrable attendu | Impact estimé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Commencer 30 jours après la date du diagnostic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 à 2 actions maximum par mois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Priorité : "🔴 Haute" / "🟡 Moyenne" / "🟢 Long terme"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Logique de timeline — OBLIGATOIRE 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Succession chronologique intelligente (dépendances entre actions)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Durée d'exécution réaliste (refonte site = 2–3 mois, campagne SEA = 2 semaines)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Mois d'absorption autorisés ("Suivi &amp; ajustements", "Consolidation [action]")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Séquence type : Mois 1–2 quick wins → Mois 2–3 fondations → Mois 3–5 déploiement → Mois 5–6 consolidation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Accroche de premier contact (JAMAIS dans le rapport HTML)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Restituer SÉPARÉMENT dans la réponse Claude, après le fichier HTML.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Mode A 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"[Prénom], nous avons analysé [Société] avant de vous écrire. [Signal WOW en 1 phrase].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Le diagnostic complet est ici : diagnostics.brainstormbi.com/[slug]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Nous serions heureux d'en discuter avec vous."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Mode B 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"[Prénom], nous avons pris le temps d'analyser [Société] avant de vous contacter. [Signal WOW en 1 phrase].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Ce diagnostic identifie les 3 à 5 actions marketing prioritaires qui auraient le plus d'impact pour [Société] dans les 6 prochains mois.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Consultez-le ici : diagnostics.brainstormbi.com/[slug]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Ce serait avec plaisir d'en discuter avec vous."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Étape 5 — Aperçu dans le widget Claude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Rendre d'abord un aperçu via show_widget pour validation visuelle. Version allégée du HTML standalone — PAS le livrable final — mais qui doit contenir tous les blocs suivants dans l'ordre 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Badge bar + header agence + score ring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Bloc "En bref"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Hero row : teaser gauche + radar Chart.js (violet actuel / orange pointillé potentiel)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Section "Votre diagnostic par axe" — 6 fiches complètes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Bloc "Ce que dirait votre cible idéale" — PLEINE LARGEUR, 3 verbatims personas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Section "Tendances sectorielles" — 2 à 3 tendances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Section "Audit design, UX &amp; image — best practices 2026" — 4 items max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Section "Suggestions prioritaires" — 6 suggestions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Plan d'actions — peut afficher les 3 premiers mois si espace contraint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CTA block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Règles de design identiques au HTML standalone 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Dark mode par défaut, fond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#0a0a12, cards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#13131f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Titres de section (section-lbl) en orange #FDCB6E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Tailles de police : jamais &lt; 12px, texte de contenu 13px minimum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Suggestions avec bordure gauche colorée selon l'axe, tags catégorie si issue de l'audit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Étape 6 — Génération du fichier HTML standalone (livrable principal)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CDN obligatoires dans le &lt;head&gt;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&lt;link rel="stylesheet" href="https://cdn.jsdelivr.net/npm/@tabler/icons-webfont@3.19.0/dist/tabler-icons.min.css"&gt;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&lt;script src="https://cdn.jsdelivr.net/npm/chart.js@4.4.1/dist/chart.umd.min.js"&gt;&lt;/script&gt;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Palettes de couleurs — dark et light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DARK (défaut)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background body   : #0a0a12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background card   : #13131f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texte primaire    : #f0f0f5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texte secondaire  : #a0a0b8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texte muted       : #6b6b88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accent violet     : #6C5CE7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accent violet clair : #9b8ff5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bordure           : rgba(255,255,255,0.07)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LIGHT (classe body.light-mode)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background body   : #f8f8fc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background card   : #ffffff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texte primaire    : #1a1a2e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texte secondaire  : #5a5a78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texte muted       : #9090a8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bordure           : rgba(0,0,0,0.08)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Bouton dark/light mode — OBLIGATOIRE dans la badge-bar, à droite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&lt;div class="badge-bar" style="display:flex;align-items:center;justify-content:space-between;"&gt;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&lt;span&gt;BrainStorm | Bi — Diagnostic New Business · [Mois Année]&lt;/span&gt;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&lt;button id="theme-toggle" onclick="toggleTheme()" title="Changer de thème"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style="background:none;border:none;cursor:pointer;color:#9b8ff5;font-size:18px;padding:0 4px;"&gt;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&lt;i class="ti ti-sun"&gt;&lt;/i&gt;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&lt;/button&gt;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CSS surcharges light-mode 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body.light-mode{background:#f8f8fc;color:#1a1a2e}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body.light-mode .axis-card,body.light-mode .en-bref,body.light-mode .trend-card,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body.light-mode .design-audit,body.light-mode .verbatim-section,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body.light-mode .reco,body.light-mode .cta-block,body.light-mode .radar-card,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body.light-mode .plan-wrap{background:#fff;border-color:rgba(0,0,0,.08)}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body.light-mode .col-txt,body.light-mode .eb-txt,body.light-mode .trend-desc,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body.light-mode .reco-detail,body.light-mode .audit-desc,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body.light-mode .suggest-block,body.light-mode .vb-txt,body.light-mode .hero-teaser{color:#5a5a78}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body.light-mode .score-lbl,body.light-mode .hero-close,body.light-mode .eb-meta,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body.light-mode .vb-lbl,body.light-mode .col-lbl-muted,body.light-mode .ax-obj,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body.light-mode .audit-label,body.light-mode .plan-muted{color:#9090a8}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body.light-mode .agency-info .name,body.light-mode .ax-score-val,body.light-mode .reco-title,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body.light-mode .audit-name,body.light-mode .trend-ttl,body.light-mode .plan-action{color:#1a1a2e}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body.light-mode .badge-bar{background:rgba(108,92,231,.08)}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body.light-mode .hero-left{background:linear-gradient(135deg,#eeeeff,#f4f4ff)}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body.light-mode .ax-bar-bg{background:rgba(0,0,0,.07)}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body.light-mode table thead tr{background:rgba(108,92,231,.1)}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body.light-mode table tbody tr:nth-child(even){background:rgba(0,0,0,.02)}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Checklist ✓ — alignement OBLIGATOIRE à gauche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&lt;div style="display:flex;align-items:flex-start;gap:8px;"&gt;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&lt;i class="ti ti-check" style="color:#00B894;flex-shrink:0;margin-top:2px;"&gt;&lt;/i&gt;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&lt;span&gt;Texte de l'item&lt;/span&gt;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CSS obligatoire 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.col-item, .check-item, .reco-item, .suggest-item, .audit-check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align-items: flex-start;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gap: 8px;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.col-item i, .check-item i, .reco-item i, .suggest-item i, .audit-check i {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flex-shrink: 0;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margin-top: 2px;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Interdits formels : justify-content: space-between avec icône en fin · flex-direction: row-reverse · position: absolute; right: sur icône check · float: right sur check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Typographie — tailles minimales STRICTES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Nom agence         : 28px / font-weight 700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Tagline            : 15px / italic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En bref (eb-txt)   : 15px / line-height 1.8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Corps de texte     : 13–15px / line-height 1.7–1.8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Labels uppercase   : 11px / letter-spacing .09em / font-weight 700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"Ce que vous faites bien" (col-lbl) : 11px / font-weight 800 / color:#f0f0f5 (blanc gras)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Texte de contenu (col-txt, reco-detail, audit-desc, trend-desc, vb-txt) : 13px minimum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Score ring chiffre : 32px / font-weight 800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Score par axe      : 22px / font-weight 700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Titres de section  : 12px uppercase / color:#FDCB6E (orange) — dark ET light mode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Titres des cards   : 15–16px / font-weight 700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Jamais &lt; 12px pour tout texte visible.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Largeur du container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.container{max-width:1160px;margin:0 auto;padding:0 32px 56px}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Responsive mobile obligatoire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@media(max-width:600px){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.hero-row,.ax-grid,.col-grid,.verbatims-grid{grid-template-columns:1fr}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.agency-header{flex-direction:column;align-items:flex-start}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.cta-block{flex-direction:column;align-items:flex-start}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.plan-wrap{overflow-x:auto}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table{min-width:640px}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.audit-item{grid-template-columns:1fr}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.audit-side{border-left:none;border-top:1px solid rgba(255,255,255,.05)}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Structure HTML complète — ordre des sections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1. BADGE BAR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Texte "BrainStorm | Bi — Diagnostic New Business · [Mois Année]"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→ Bouton toggle ☀️/🌙 aligné à droite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2. HEADER AGENCE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Nom (28px/700) + tagline (15px italic) + URL (13px violet)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Score ring (96px) + label ("À amplifier" / "Bonne dynamique" / "Avant-garde")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3. BLOC "EN BREF"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Label "En bref" + méta "[Nom société] · Audit [Mois Année]"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Texte : synthèse + signal WOW intégré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4. HERO ROW — grid-template-columns: 0.85fr 1fr; gap: 14px;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Colonne gauche : gradient sombre, eyebrow "Diagnostic personnalisé",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phrase teasing selon le mode (Mode A ou B), "Découvrir l'analyse complète ↓"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Colonne droite : canvas Chart.js min:30, SANS titre "Vue d'ensemble"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Labels : Différenciation / Ciblage / Autorité / Conversion / Image / Éditorial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5. SECTION "Votre diagnostic par axe" — 6 fiches dans cet ordre 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1. Design &amp; image de marque (#F368E0) — icône ti-brush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2. Ligne éditoriale (#E17055) — icône ti-pencil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3. Différenciation &amp; positionnement (#6C5CE7) — icône ti-sparkles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4. Ciblage acheteurs (#00CEC9) — icône ti-users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5. Autorité &amp; preuve sociale (#FDCB6E) — icône ti-award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6. Dispositif de conversion (#00B894) — icône ti-target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Chaque fiche : barre de progression + grille 2 colonnes + "Suggestion —"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5b. BLOC "Ce que dirait votre cible idéale" — PLEINE LARGEUR, après la grille des 6 axes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Fond #13131f, border rgba(0,206,201,.12), border-radius 12px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Grille 3 colonnes égales, 3 verbatims personas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Chaque verbatim : border-left 2px solid rgba(0,206,201,.3), label persona 12px/700, texte italique 13px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6. SECTION "Tendances sectorielles pertinentes pour vous"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Mode A : marketing digital, réseaux sociaux, contenu, commercialisation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Mode B : secteur métier du prospect (pas du secteur com/marketing)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2 à 3 tendances, uniquement si pertinence élevée ou très élevée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7. SECTION "Audit design, UX &amp; image — best practices 2026"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4 items max, chacun ancré dans un fait réel observé sur le site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Grille colonne principale (3fr) + colonne recommandation (1fr)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Tags : UX/Navigation · Portfolio &amp; contenu · Copywriting · Identité humaine · Architecture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8. SECTION "Suggestions prioritaires" — 6 suggestions (scoring interne)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rank circle + tag catégorie optionnel + titre 15px + détail 13px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Couleurs liées à l'axe correspondant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Au moins 1 issue de l'audit design/UX si score ≥ 7.0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9. SECTION "Plan d'actions sur 6 mois" — tableau 7 colonnes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→ Mois | Priorité (🔴/🟡/🟢) | Action | Axe | Objectif | Livrable | Impact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Mois 1 = 30 jours après la date du diagnostic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1 à 2 actions max par mois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Séquence : quick wins → fondations → déploiement → consolidation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10. BRIEF INTERACTIF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Panneau droit fixe, panier vide au départ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✓ sur suggestions (section 8) et plan (section 9) pour alimenter le panier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Doublon suggestion/plan : un ✓ synchronise les deux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✗ sur suggestions et plan pour marquer "non retenu" (dimmed)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Drag &amp; drop pour réordonner les priorités dans le panier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Bouton "Demander une évaluation" → formulaire 6 champs + opt-in RGPD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POST vers Google Apps Script (URL via localStorage 'gas_url')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BLOC 3 — constante CC_EMAILS à injecter AVANT la fonction submitBrief 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// Injecté par le skill au moment de la génération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var CC_EMAILS = []; // ou ['email1@x.com', 'email2@x.com'] si définis dans le contexte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Payload GAS v4 — COMPLET 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```js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diagnostic : '[slug].html',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timestamp  : 'ISO string',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prenom     : '...', nom: '...', email: '...',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fonction   : '...', entreprise: '...', telephone: '...',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contexte   : '...',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brief      : ['Suggestion 1 (rang 1)', 'Suggestion 2 (rang 2)', ...],  // retenues dans l'ordre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briefIds   : ['s1', 's3', ...],                                          // ids dans l'ordre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eliminees  : ['Libellé suggestion éliminée', ...],                       // marquées ✗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plan       : [                                                            // état complet des 6 lignes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{ id, label, mois, annee, priorite, elimine, planElimine },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ccEmails   : CC_EMAILS   // [] si non défini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GAS cible : BrainStormBI_GAS_v4.gs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sendEmailBruno() : récap complet (brief + eliminees + plan + coordonnées)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sendEmailCC() : envoi aux ccEmails si présents — PAS d'email au prospect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writeToSheetBriefs() : 1 ligne par soumission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writeToSheetPlan() : 6 lignes par soumission (1 par suggestion)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11. CTA BLOCK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"BrainStorm | Bi" + "La prochaine étape"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Bouton "Pour nous contacter →"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diagnostics.brainstormbi.com/[slug].html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Architecture des scripts en fin de fichier — OBLIGATOIRE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L'ordre des blocs est critique. La regex de déploiement supprime tout jusqu'au premier &lt;/script&gt; rencontré depuis le div gh-panel. Blocs 1, 2, 3 avant le div = intouchables.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Structure obligatoire juste avant &lt;/body&gt;, dans cet ordre exact 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BLOC 1 — toggleTheme() + saveGasUrl() — AVANT le div gh-panel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BLOC 2 — window.addEventListener('load', new Chart(...)) — AVANT le div gh-panel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BLOC 3 — Brief Interactif complet — AVANT le div gh-panel 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· var CC_EMAILS = [...] ou []   ← injecté selon contexte batch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· var ITEMS = { s1..s6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· var eliminated = {}, briefOrder = []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· toggleItem(), toggleEliminate(), syncEliminated(), syncButtons()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· renderBrief(), openForm(), closeForm()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· submitBrief() v4 — payload complet (brief, briefIds, eliminees, plan, ccEmails)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· window.addEventListener('DOMContentLoaded', function(){ initSelect('s1'); })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BLOC 4 — div#gh-panel + son propre script inline — EN DERNIER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La regex de déploiement : html.replace(/&lt;div id="gh-panel"[\s\S]*?&lt;\/script&gt;\s*/,'') supprime depuis le div jusqu'au premier &lt;/script&gt; suivant. Tout ce qui précède le div est intouchable.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Remplacer FILENAME_PLACEHOLDER par le vrai nom de fichier lors de la création HTML.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Nom du fichier de sortie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Mode A : [slug-cible].html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Mode B : [slug-prospect]-x-[slug-agence].html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JAMAIS de préfixe "diagnostic-". Slug = minuscules, espaces → tirets, accents supprimés.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Méthode obligatoire : bash_tool avec cat &gt; /mnt/user-data/outputs/[slug].html &lt;&lt; 'ENDOFFILE' ... ENDOFFILE. Ne jamais utiliser create_file. Vérifier avec wc -l et grep. Toujours appeler present_files après.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Psychologie &amp; ton — règles de rédaction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L'objectif : prouver qu'on a compris le marché de l'agence mieux que la plupart de ses interlocuteurs.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Registre : soutenu, écrit, professionnel. Lisible par un PDG.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Interdit</w:t>
        <w:tab/>
        <w:t xml:space="preserve">Correction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"On" (pronom)</w:t>
        <w:tab/>
        <w:t xml:space="preserve">"Nous"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"Ça", "c'est pas"</w:t>
        <w:tab/>
        <w:t xml:space="preserve">"Cela", "ce n'est pas"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"Générique", "banal"</w:t>
        <w:tab/>
        <w:t xml:space="preserve">"Encore en construction", "à affiner"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"Aucun", "zéro", "inexistant"</w:t>
        <w:tab/>
        <w:t xml:space="preserve">"Pas encore visible", "à venir"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"Vous avez un problème de conversion"</w:t>
        <w:tab/>
        <w:t xml:space="preserve">"Votre dispositif d'entrée a un fort potentiel de progression"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Structure narrative de chaque fiche axe 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1. Ce que vous faites bien — sincère, concret, basé sur un fait réel observé sur le site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2. Ce qui pourrait être davantage valorisé — jamais "ce qui manque", toujours "ce qui attend"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3. Suggestion — formulée comme un accompagnement, pas une vente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Design system du widget Claude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Le widget utilise les variables CSS de Claude. Tous les blocs du HTML standalone sont présents dans le widget — voir Étape 5 pour la liste complète.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Couleurs des axes 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Design &amp; image de marque : 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#F368E0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Ligne éditoriale :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#E17055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Différenciation &amp; positionnement :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#6C5CE7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Ciblage acheteurs : 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#00CEC9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Autorité &amp; preuve sociale :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#FDCB6E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Dispositif de conversion :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#00B894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Chart.js radar : min:30, max:100, stepSize:25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Dataset "Actuel" : violet 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#6C5CE7, trait plein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Dataset "Potentiel" : orange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#FDCB6E, borderDash:[5,4] — jamais blanc ni gris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window.addEventListener('load', function(){ new Chart(...) }) — obligatoire pour éviter le bug d'initialisation Labels : Différenciation / Ciblage / Autorité / Conversion / Image / Éditorial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Titres de section dans le widget : couleur #FDCB6E (orange) — dark ET light mode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Tailles de police dans le widget : identiques au HTML standalone — jamais &lt; 12px, contenu 13px minimum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Bloc verbatims dans le widget : 3 verbatims en grille 3 colonnes. Fond distinct, border rgba(0,206,201,.12), border-left 2px solid rgba(0,206,201,.3) sur chaque verbatim.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Suggestions dans le widget : 6 suggestions selon scoring interne. Bordure gauche colorée selon l'axe. Tag catégorie (10px) si issue de l'audit design/UX.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Gestion des cas limites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Situation</w:t>
        <w:tab/>
        <w:t xml:space="preserve">Action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Site inaccessible (403, timeout)</w:t>
        <w:tab/>
        <w:t xml:space="preserve">web_search sur le nom. Mentionner la limitation.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Site vide / one-pager</w:t>
        <w:tab/>
        <w:t xml:space="preserve">Scores bas (56–66). Signal WOW sur l'absence de contenu structuré.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URL sans https</w:t>
        <w:tab/>
        <w:t xml:space="preserve">Tenter https:// puis http://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Mode B — URL agence (URL 1) inaccessible</w:t>
        <w:tab/>
        <w:t xml:space="preserve">Générer avec catalogue générique. Logger l'anomalie.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Moins de 6 suggestions scorées ≥ 6.5</w:t>
        <w:tab/>
        <w:t xml:space="preserve">Afficher celles disponibles (min 4). Logger dans le log.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Log d'anomalies — OBLIGATOIRE en fin de réponse Claude (jamais dans le HTML)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── LOG DIAGNOSTIC ──────────────────────────────────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Mode          : A | B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Cible         : [nom] · [url]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Agence (Mode B): [nom] · [url]  ← si applicable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Slug fichier  : [nom-fichier].html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Pages crawlées: [n] / [n tentées]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Suggestions   : [n] générées (scores : [x.x] → [x.x], toutes ≥ 6.5)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Anomalies     : [liste ou "Aucune"]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