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B72A5">
      <w:pPr>
        <w:pStyle w:val="31"/>
      </w:pPr>
      <w:r>
        <w:t>WindGroove 音质博客写作拆解</w:t>
      </w:r>
    </w:p>
    <w:p w14:paraId="4D16D133">
      <w:r>
        <w:t>以 AirFi One 音质博客为例，从选题与读者、标题、摘要，到正文与 FAQ，说明一篇面向 GEO 的博客如何组织内容。</w:t>
      </w:r>
    </w:p>
    <w:p w14:paraId="59EE4E95">
      <w:pPr>
        <w:pStyle w:val="3"/>
      </w:pPr>
      <w:r>
        <w:t>1 读者与选题决定文章要回答什么</w:t>
      </w:r>
    </w:p>
    <w:p w14:paraId="2C972393">
      <w:r>
        <w:t>先明确读者正在做什么判断，再确定文章要解决的主问题。选题应有足够的讨论空间，能通过解释或比较帮助读者作出选择。</w:t>
      </w:r>
    </w:p>
    <w:p w14:paraId="3220E3E0">
      <w:r>
        <w:rPr>
          <w:b/>
        </w:rPr>
        <w:t>本篇例子：</w:t>
      </w:r>
      <w:r>
        <w:t>面向已经考虑吊扇音响、想进一步了解声音表现的人，承接购买前的音质疑问。低频、调音、声场与使用取舍共同构成一篇文章；能简短回答的功能问题则放入 FAQ。</w:t>
      </w:r>
    </w:p>
    <w:p w14:paraId="2479B3CA">
      <w:pPr>
        <w:pStyle w:val="3"/>
      </w:pPr>
      <w:r>
        <w:t>2 标题结合关键词与具体问题</w:t>
      </w:r>
    </w:p>
    <w:p w14:paraId="176FBB6F">
      <w:r>
        <w:t>取标题时，核实相关关键词的搜索需求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融合 seo</w:t>
      </w:r>
      <w:r>
        <w:rPr>
          <w:rFonts w:hint="eastAsia"/>
          <w:lang w:eastAsia="zh-CN"/>
        </w:rPr>
        <w:t>）</w:t>
      </w:r>
      <w:r>
        <w:t>，再把与文章内容匹配的词自然融入标题，让读者一眼看出文章讨论什么。</w:t>
      </w:r>
    </w:p>
    <w:p w14:paraId="44BE7DF3">
      <w:pPr>
        <w:pStyle w:val="148"/>
      </w:pPr>
      <w:r>
        <w:t>Can a Ceiling Fan with Speakers Sound Good?</w:t>
      </w:r>
    </w:p>
    <w:p w14:paraId="04A86052">
      <w:r>
        <w:rPr>
          <w:b/>
        </w:rPr>
        <w:t>本篇例子：</w:t>
      </w:r>
      <w:r>
        <w:t>我们通过 DataForSEO 查询美国英语市场，ceiling fan with speakers 的估算月搜索量为 260。标题保留这个品类词，再用 Sound Good? 明确音质问题，兼顾关键词与文章主题。</w:t>
      </w:r>
    </w:p>
    <w:p w14:paraId="5AC41121">
      <w:pPr>
        <w:pStyle w:val="3"/>
      </w:pPr>
      <w:r>
        <w:t>3 TLDR 提供整篇文章的简明答案</w:t>
      </w:r>
    </w:p>
    <w:p w14:paraId="5BF548B9">
      <w:r>
        <w:t>At a glance 就是 TLDR，放在标题之后、正文之前。它让读者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AI</w:t>
      </w:r>
      <w:r>
        <w:t>快速拿到全文结论，也集中呈现这篇文章可以提供的答案。</w:t>
      </w:r>
      <w:r>
        <w:rPr>
          <w:rFonts w:hint="eastAsia"/>
          <w:lang w:val="en-US" w:eastAsia="zh-CN"/>
        </w:rPr>
        <w:t xml:space="preserve"> 若文章太长，AI 有时候会 too long don</w:t>
      </w:r>
      <w:r>
        <w:rPr>
          <w:rFonts w:hint="default"/>
          <w:lang w:val="en-US" w:eastAsia="zh-CN"/>
        </w:rPr>
        <w:t>’t</w:t>
      </w:r>
      <w:r>
        <w:rPr>
          <w:rFonts w:hint="eastAsia"/>
          <w:lang w:val="en-US" w:eastAsia="zh-CN"/>
        </w:rPr>
        <w:t xml:space="preserve"> read（TLDR）。</w:t>
      </w:r>
    </w:p>
    <w:p w14:paraId="1883FC82">
      <w:pPr>
        <w:pStyle w:val="16"/>
      </w:pPr>
      <w:r>
        <w:rPr>
          <w:b/>
        </w:rPr>
        <w:t>直接结论：</w:t>
      </w:r>
      <w:r>
        <w:t>先回答音质问题，并点明 AirFi One 的声音设计。</w:t>
      </w:r>
    </w:p>
    <w:p w14:paraId="7D498C4D">
      <w:pPr>
        <w:pStyle w:val="16"/>
      </w:pPr>
      <w:r>
        <w:rPr>
          <w:b/>
        </w:rPr>
        <w:t>主要依据：</w:t>
      </w:r>
      <w:r>
        <w:t>概括低音单元、被动辐射器、调音与 EQ 的作用。</w:t>
      </w:r>
    </w:p>
    <w:p w14:paraId="64B8AB40">
      <w:pPr>
        <w:pStyle w:val="16"/>
      </w:pPr>
      <w:r>
        <w:rPr>
          <w:b/>
        </w:rPr>
        <w:t>关键取舍：</w:t>
      </w:r>
      <w:r>
        <w:t>说明吊装声场与前方立体声布局的区别。</w:t>
      </w:r>
    </w:p>
    <w:p w14:paraId="41A71AD7">
      <w:r>
        <w:t>本篇用三条完成摘要。每条都能在正文找到展开，读完摘要能了解结论，继续阅读能理解依据。</w:t>
      </w:r>
    </w:p>
    <w:p w14:paraId="4A0F10FB">
      <w:pPr>
        <w:pStyle w:val="3"/>
        <w:pageBreakBefore/>
      </w:pPr>
      <w:r>
        <w:t>4 正文的 GEO 组织方法</w:t>
      </w:r>
    </w:p>
    <w:p w14:paraId="61C16EDA">
      <w:r>
        <w:t>正文要让具体问题有完整答案：对象清楚，判断有依据，适用范围明确。可以从以下四个方面组织内容。</w:t>
      </w:r>
    </w:p>
    <w:p w14:paraId="4AEBE58D">
      <w:pPr>
        <w:pStyle w:val="4"/>
      </w:pPr>
      <w:r>
        <w:t>围绕主问题覆盖必要追问</w:t>
      </w:r>
    </w:p>
    <w:p w14:paraId="0CE90F1F">
      <w:r>
        <w:t>围绕一个主问题展开必要追问，让全文形成完整回答，各节也能支持相关子问题。用小标题标明各节负责的内容。</w:t>
      </w:r>
    </w:p>
    <w:p w14:paraId="2423CF26">
      <w:r>
        <w:rPr>
          <w:b/>
        </w:rPr>
        <w:t>本篇例子：</w:t>
      </w:r>
      <w:r>
        <w:t>围绕音质，依次回答低频从哪里来、各频段如何配合、上方发声有什么不同，最后讨论适合怎样的听歌方式。</w:t>
      </w:r>
    </w:p>
    <w:p w14:paraId="24124B90">
      <w:pPr>
        <w:pStyle w:val="4"/>
      </w:pPr>
      <w:r>
        <w:t>把产品信息组织成有依据的判断</w:t>
      </w:r>
    </w:p>
    <w:p w14:paraId="3058E6FD">
      <w:r>
        <w:t>把配置、作用与使用情境联系起来，说明产品为何适合某种需求。这样的解释才能支持“是否适合”的回答。</w:t>
      </w:r>
    </w:p>
    <w:p w14:paraId="447146E6">
      <w:r>
        <w:rPr>
          <w:b/>
        </w:rPr>
        <w:t>本篇例子：</w:t>
      </w:r>
      <w:r>
        <w:t>朝下和朝外的单元布局 → 面向房间内多个听音位置 → 日常共同听歌。产品事实、设计用途与适用情境，共同构成判断依据。</w:t>
      </w:r>
    </w:p>
    <w:p w14:paraId="3627B4DD">
      <w:pPr>
        <w:pStyle w:val="4"/>
      </w:pPr>
      <w:r>
        <w:t>让答案保留完整语境</w:t>
      </w:r>
    </w:p>
    <w:p w14:paraId="462EAAF7">
      <w:r>
        <w:t>相关段落保留产品、比较对象与前提，让内容被单独参考时仍能准确理解，结论也保有明确的适用范围。</w:t>
      </w:r>
    </w:p>
    <w:p w14:paraId="35B814B1">
      <w:r>
        <w:rPr>
          <w:b/>
        </w:rPr>
        <w:t>本篇例子：</w:t>
      </w:r>
      <w:r>
        <w:t>AirFi One 与独立立体声音箱的比较，重点是上方发声与前方舞台感。这里给出的是听音布局的取舍。</w:t>
      </w:r>
    </w:p>
    <w:p w14:paraId="2B698768">
      <w:pPr>
        <w:pStyle w:val="4"/>
      </w:pPr>
      <w:r>
        <w:t>提供值得引用的解释和比较</w:t>
      </w:r>
    </w:p>
    <w:p w14:paraId="62857F76">
      <w:r>
        <w:t>文章应提供通用介绍之外的解释或比较，让回答获得新增信息。比较时采用相同维度，关键解释同时保留在文字中。</w:t>
      </w:r>
    </w:p>
    <w:p w14:paraId="2655933B">
      <w:r>
        <w:rPr>
          <w:b/>
        </w:rPr>
        <w:t>本篇例子：</w:t>
      </w:r>
      <w:r>
        <w:t>先把音色与声场分开讨论，再用比较表展示两种方案在听歌方式、声源位置和房间安排上的差异。这些内容为具体选择提供依据。</w:t>
      </w:r>
    </w:p>
    <w:p w14:paraId="12E11AC6">
      <w:pPr>
        <w:pStyle w:val="3"/>
      </w:pPr>
      <w:bookmarkStart w:id="0" w:name="_GoBack"/>
      <w:bookmarkEnd w:id="0"/>
      <w:r>
        <w:t>5 FAQ 承接正文之外的具体追问</w:t>
      </w:r>
    </w:p>
    <w:p w14:paraId="65CB50DB">
      <w:r>
        <w:t>FAQ 放在主体之后，收纳能独立回答的补充问题。它把明确的问题与答案配在一起，补充全文的主题覆盖。</w:t>
      </w:r>
    </w:p>
    <w:p w14:paraId="5EF41FD7">
      <w:pPr>
        <w:pStyle w:val="16"/>
      </w:pPr>
      <w:r>
        <w:rPr>
          <w:b/>
        </w:rPr>
        <w:t>内置低音单元与独立低音炮有何区别：</w:t>
      </w:r>
      <w:r>
        <w:t>补清容易混淆的概念。</w:t>
      </w:r>
    </w:p>
    <w:p w14:paraId="4580E05E">
      <w:pPr>
        <w:pStyle w:val="16"/>
      </w:pPr>
      <w:r>
        <w:rPr>
          <w:b/>
        </w:rPr>
        <w:t>EQ 预设怎样选择：</w:t>
      </w:r>
      <w:r>
        <w:t>把正文中的功能解释延伸到使用方法。</w:t>
      </w:r>
    </w:p>
    <w:p w14:paraId="7698E085">
      <w:pPr>
        <w:pStyle w:val="16"/>
      </w:pPr>
      <w:r>
        <w:rPr>
          <w:b/>
        </w:rPr>
        <w:t>风扇和灯关闭后能否听歌：</w:t>
      </w:r>
      <w:r>
        <w:t>回答一项具体功能。</w:t>
      </w:r>
    </w:p>
    <w:p w14:paraId="114AC8BF">
      <w:r>
        <w:t>每条先给明确答案，再按需要补充条件或方法。问题数量由实际内容决定，已经充分展开的部分留在正文。</w:t>
      </w:r>
    </w:p>
    <w:p w14:paraId="7428FD76"/>
    <w:sectPr>
      <w:headerReference r:id="rId5" w:type="default"/>
      <w:footerReference r:id="rId6" w:type="default"/>
      <w:pgSz w:w="11906" w:h="16838"/>
      <w:pgMar w:top="1020" w:right="1020" w:bottom="1020" w:left="1020" w:header="720" w:footer="45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8BEDE">
    <w:pPr>
      <w:pStyle w:val="24"/>
      <w:jc w:val="right"/>
    </w:pPr>
    <w:r>
      <w:rPr>
        <w:color w:val="000000"/>
        <w:sz w:val="18"/>
      </w:rPr>
      <w:t xml:space="preserve">WindGroove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07BD1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EE74A5"/>
    <w:rsid w:val="4FF8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napToGrid w:val="0"/>
      <w:spacing w:after="80" w:line="320" w:lineRule="exact"/>
    </w:pPr>
    <w:rPr>
      <w:rFonts w:ascii="Arial" w:hAnsi="Arial" w:eastAsia="PingFang SC" w:cs="Arial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napToGrid w:val="0"/>
      <w:spacing w:before="280" w:after="120" w:line="276" w:lineRule="auto"/>
      <w:outlineLvl w:val="0"/>
    </w:pPr>
    <w:rPr>
      <w:rFonts w:ascii="Arial" w:hAnsi="Arial" w:eastAsia="PingFang SC" w:cs="Arial"/>
      <w:b/>
      <w:bCs/>
      <w:color w:val="000000"/>
      <w:sz w:val="32"/>
      <w:szCs w:val="28"/>
      <w:u w:val="none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napToGrid w:val="0"/>
      <w:spacing w:before="180" w:after="80" w:line="276" w:lineRule="auto"/>
      <w:outlineLvl w:val="1"/>
    </w:pPr>
    <w:rPr>
      <w:rFonts w:ascii="Arial" w:hAnsi="Arial" w:eastAsia="PingFang SC" w:cs="Arial"/>
      <w:b/>
      <w:bCs/>
      <w:color w:val="000000"/>
      <w:sz w:val="24"/>
      <w:szCs w:val="26"/>
      <w:u w:val="none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widowControl/>
      <w:numPr>
        <w:ilvl w:val="0"/>
        <w:numId w:val="2"/>
      </w:numPr>
      <w:spacing w:after="100" w:line="288" w:lineRule="auto"/>
      <w:contextualSpacing/>
    </w:pPr>
    <w:rPr>
      <w:rFonts w:ascii="Arial" w:hAnsi="Arial" w:eastAsia="PingFang SC" w:cs="Arial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widowControl/>
      <w:numPr>
        <w:ilvl w:val="0"/>
        <w:numId w:val="3"/>
      </w:numPr>
      <w:snapToGrid w:val="0"/>
      <w:spacing w:after="80" w:line="320" w:lineRule="exact"/>
      <w:contextualSpacing/>
    </w:pPr>
    <w:rPr>
      <w:rFonts w:ascii="Arial" w:hAnsi="Arial" w:eastAsia="PingFang SC" w:cs="Arial"/>
      <w:color w:val="000000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widowControl/>
      <w:snapToGrid w:val="0"/>
      <w:spacing w:after="200"/>
    </w:pPr>
    <w:rPr>
      <w:rFonts w:ascii="Arial" w:hAnsi="Arial" w:eastAsia="PingFang SC" w:cs="Arial"/>
      <w:iCs/>
      <w:color w:val="000000"/>
      <w:sz w:val="22"/>
      <w:szCs w:val="24"/>
      <w:u w:val="none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widowControl/>
      <w:snapToGrid w:val="0"/>
      <w:spacing w:before="0" w:after="240" w:line="276" w:lineRule="auto"/>
      <w:contextualSpacing/>
    </w:pPr>
    <w:rPr>
      <w:rFonts w:ascii="Arial" w:hAnsi="Arial" w:eastAsia="PingFang SC" w:cs="Arial"/>
      <w:b/>
      <w:color w:val="000000"/>
      <w:kern w:val="28"/>
      <w:sz w:val="50"/>
      <w:szCs w:val="52"/>
      <w:u w:val="none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pPr>
      <w:widowControl/>
      <w:snapToGrid w:val="0"/>
      <w:spacing w:before="60" w:after="80" w:line="320" w:lineRule="exact"/>
      <w:ind w:left="230" w:right="115"/>
    </w:pPr>
    <w:rPr>
      <w:rFonts w:ascii="Arial" w:hAnsi="Arial" w:eastAsia="PingFang SC" w:cs="Arial"/>
      <w:iCs/>
      <w:color w:val="000000"/>
      <w:sz w:val="22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2026-10-19T12:25:00Z</dcterms:created>
  <dc:creator>孙睿</dc:creator>
  <cp:lastModifiedBy>孙睿</cp:lastModifiedBy>
  <dcterms:modified xsi:type="dcterms:W3CDTF">2026-10-19T18:34:53Z</dcterms:modified>
  <dc:subject>选题 读者 标题 TLDR 正文 GEO 方法与 FAQ</dc:subject>
  <dc:title>WindGroove 音质博客写作拆解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C5F15B5C9A71990B41F2D56ACF87C022_42</vt:lpwstr>
  </property>
</Properties>
</file>