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700" w:leader="none"/>
        </w:tabs>
        <w:ind w:hanging="0"/>
        <w:jc w:val="center"/>
        <w:rPr>
          <w:rFonts w:cs="Times New Roman"/>
        </w:rPr>
      </w:pPr>
      <w:r>
        <w:rPr>
          <w:rFonts w:cs="Times New Roman"/>
        </w:rPr>
        <w:t>МОСКОВСКИЙ ФИЗИКО-ТЕХНИЧЕСКИЙ ИНСТИТУТ</w:t>
        <w:br/>
        <w:t>(НАЦИОНАЛЬНЫЙ ИССЛЕДОВАТЕЛЬСКИЙ УНИВЕРСИТЕТ)</w:t>
      </w:r>
    </w:p>
    <w:p>
      <w:pPr>
        <w:pStyle w:val="Normal"/>
        <w:tabs>
          <w:tab w:val="clear" w:pos="708"/>
          <w:tab w:val="left" w:pos="1700" w:leader="none"/>
        </w:tabs>
        <w:ind w:hanging="0"/>
        <w:jc w:val="center"/>
        <w:rPr>
          <w:rFonts w:cs="Times New Roman"/>
        </w:rPr>
      </w:pPr>
      <w:r>
        <w:rPr>
          <w:rFonts w:cs="Times New Roman"/>
          <w:sz w:val="24"/>
        </w:rPr>
        <w:t>Физтех-школа аэрокосмических технологий</w:t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cs="Times New Roman"/>
          <w:b/>
          <w:sz w:val="44"/>
        </w:rPr>
      </w:pPr>
      <w:r>
        <w:rPr>
          <w:rFonts w:cs="Times New Roman"/>
          <w:b/>
          <w:sz w:val="44"/>
        </w:rPr>
        <w:t>Отчёт о выполнении лабораторной работы 2.4.1</w:t>
      </w:r>
    </w:p>
    <w:p>
      <w:pPr>
        <w:pStyle w:val="Normal"/>
        <w:tabs>
          <w:tab w:val="clear" w:pos="708"/>
          <w:tab w:val="left" w:pos="1700" w:leader="none"/>
        </w:tabs>
        <w:ind w:hanging="0"/>
        <w:jc w:val="center"/>
        <w:rPr>
          <w:rFonts w:eastAsia="" w:cs="Times New Roman" w:eastAsiaTheme="minorEastAsia"/>
        </w:rPr>
      </w:pPr>
      <w:r>
        <w:rPr>
          <w:rFonts w:cs="Times New Roman"/>
        </w:rPr>
        <w:t>Определение теплоты испарения жидкости</w:t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ind w:hanging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cs="Times New Roman"/>
        </w:rPr>
      </w:pPr>
      <w:r>
        <w:rPr>
          <w:rFonts w:cs="Times New Roman"/>
        </w:rPr>
        <w:t xml:space="preserve">Автор: </w:t>
      </w:r>
    </w:p>
    <w:p>
      <w:pPr>
        <w:pStyle w:val="Normal"/>
        <w:tabs>
          <w:tab w:val="clear" w:pos="708"/>
          <w:tab w:val="left" w:pos="1700" w:leader="none"/>
        </w:tabs>
        <w:rPr>
          <w:rFonts w:cs="Times New Roman"/>
        </w:rPr>
      </w:pPr>
      <w:r>
        <w:rPr>
          <w:rFonts w:cs="Times New Roman"/>
        </w:rPr>
        <w:t xml:space="preserve">Волков Илья Александрович </w:t>
      </w:r>
    </w:p>
    <w:p>
      <w:pPr>
        <w:pStyle w:val="Normal"/>
        <w:tabs>
          <w:tab w:val="clear" w:pos="708"/>
          <w:tab w:val="left" w:pos="1700" w:leader="none"/>
        </w:tabs>
        <w:rPr>
          <w:rFonts w:cs="Times New Roman"/>
        </w:rPr>
      </w:pPr>
      <w:r>
        <w:rPr>
          <w:rFonts w:cs="Times New Roman"/>
        </w:rPr>
        <w:t>Б03-503</w:t>
      </w:r>
    </w:p>
    <w:p>
      <w:pPr>
        <w:pStyle w:val="Normal"/>
        <w:tabs>
          <w:tab w:val="clear" w:pos="708"/>
          <w:tab w:val="left" w:pos="1700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ind w:hanging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ind w:hanging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ind w:hanging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ind w:hanging="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tabs>
          <w:tab w:val="clear" w:pos="708"/>
          <w:tab w:val="left" w:pos="1700" w:leader="none"/>
        </w:tabs>
        <w:jc w:val="center"/>
        <w:rPr>
          <w:rFonts w:cs="Times New Roman"/>
        </w:rPr>
      </w:pPr>
      <w:r>
        <w:rPr>
          <w:rFonts w:cs="Times New Roman"/>
        </w:rPr>
        <w:t>Долгопрудный 2025</w:t>
      </w:r>
    </w:p>
    <w:p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Аннотация</w:t>
      </w:r>
    </w:p>
    <w:p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Теоретические сведения</w:t>
      </w:r>
    </w:p>
    <w:p>
      <w:pPr>
        <w:pStyle w:val="Normal"/>
        <w:rPr/>
      </w:pPr>
      <w:r>
        <w:rPr/>
        <w:t>Испарением называется переход вещества из жидкого в газообразное состояние на свободной поверхности. Молекулы преодолевают силы сцепления и совершают работу против внешнего давления P. Это делают только молекулы с достаточной кинетической энергией, что приводит к охлаждению жидкости. Для изотермического процесса требуется подвод тепла. Количество теплоты для изотермического испарения одного моля при давлении насыщенных паров называется молярной теплотой испарения L.</w:t>
      </w:r>
    </w:p>
    <w:p>
      <w:pPr>
        <w:pStyle w:val="Normal"/>
        <w:rPr/>
      </w:pPr>
      <w:r>
        <w:rPr/>
        <w:t>Около тройной точки теплота сублимации qs равна сумме теплоты плавления qm и испарения qe, поэтому кривая сублимации идет круче, чем линия испарения. Прямое измерение теплоты парообразования калориметром неточно из-за потерь тепла. В работе применен косвенный метод на основе уравнения Клапейрона-Клаузиуса:</w:t>
      </w:r>
    </w:p>
    <w:p>
      <w:pPr>
        <w:pStyle w:val="Normal"/>
        <w:ind w:hanging="0"/>
        <w:jc w:val="center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f>
                <m:num>
                  <m:r>
                    <w:rPr>
                      <w:rFonts w:ascii="Cambria Math" w:hAnsi="Cambria Math"/>
                    </w:rPr>
                    <m:t xml:space="preserve">dP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dT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L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,</m:t>
              </m:r>
            </m:e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e>
          </m:eqArr>
        </m:oMath>
      </m:oMathPara>
    </w:p>
    <w:p>
      <w:pPr>
        <w:pStyle w:val="Normal"/>
        <w:rPr/>
      </w:pPr>
      <w:r>
        <w:rPr/>
        <w:t>Здесь P – давление насыщенного пара при температуре T, L — теплота испарения, V</w:t>
      </w:r>
      <w:r>
        <w:rPr>
          <w:vertAlign w:val="subscript"/>
        </w:rPr>
        <w:t>2</w:t>
      </w:r>
      <w:r>
        <w:rPr/>
        <w:t xml:space="preserve"> и V</w:t>
      </w:r>
      <w:r>
        <w:rPr>
          <w:vertAlign w:val="subscript"/>
        </w:rPr>
        <w:t>1</w:t>
      </w:r>
      <w:r>
        <w:rPr/>
        <w:t xml:space="preserve"> – объемы пара и жидкости на один моль.</w:t>
      </w:r>
    </w:p>
    <w:p>
      <w:pPr>
        <w:pStyle w:val="Normal"/>
        <w:rPr/>
      </w:pPr>
      <w:r>
        <w:rPr/>
        <w:t>Так как V</w:t>
      </w:r>
      <w:r>
        <w:rPr>
          <w:vertAlign w:val="subscript"/>
        </w:rPr>
        <w:t>1</w:t>
      </w:r>
      <w:r>
        <w:rPr/>
        <w:t xml:space="preserve"> не превышает 0,5% от V</w:t>
      </w:r>
      <w:r>
        <w:rPr>
          <w:vertAlign w:val="subscript"/>
        </w:rPr>
        <w:t>2</w:t>
      </w:r>
      <w:r>
        <w:rPr/>
        <w:t>, этой величиной можно пренебречь. Объем пара V связан с давлением и температурой уравнением Ван-дер-Ваальса:</w:t>
      </w:r>
    </w:p>
    <w:p>
      <w:pPr>
        <w:pStyle w:val="Normal"/>
        <w:jc w:val="center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V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RT</m:t>
              </m:r>
              <m:r>
                <w:rPr>
                  <w:rFonts w:ascii="Cambria Math" w:hAnsi="Cambria Math"/>
                </w:rPr>
                <m:t xml:space="preserve">,</m:t>
              </m:r>
            </m:e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2</m:t>
                  </m:r>
                </m:e>
              </m:d>
            </m:e>
          </m:eqArr>
        </m:oMath>
      </m:oMathPara>
    </w:p>
    <w:p>
      <w:pPr>
        <w:pStyle w:val="Normal"/>
        <w:rPr/>
      </w:pPr>
      <w:r>
        <w:rPr/>
        <w:t>Величиной b следует пренебречь (порядок V</w:t>
      </w:r>
      <w:r>
        <w:rPr>
          <w:vertAlign w:val="subscript"/>
        </w:rPr>
        <w:t>1</w:t>
      </w:r>
      <w:r>
        <w:rPr/>
        <w:t>). Пренебрежение членом a/</w:t>
      </w:r>
      <w:r>
        <w:rPr>
          <w:lang w:val="en-US"/>
        </w:rPr>
        <w:t>V</w:t>
      </w:r>
      <w:r>
        <w:rPr>
          <w:vertAlign w:val="superscript"/>
        </w:rPr>
        <w:t>2</w:t>
      </w:r>
      <w:r>
        <w:rPr/>
        <w:t xml:space="preserve"> по сравнению с P вносит ошибку менее 3%. При давлениях ниже атмосферного уравнение Ван-дер-Ваальса мало отличается от уравнения Клапейрона:</w:t>
      </w:r>
    </w:p>
    <w:p>
      <w:pPr>
        <w:pStyle w:val="Normal"/>
        <w:jc w:val="center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r>
                <w:rPr>
                  <w:rFonts w:ascii="Cambria Math" w:hAnsi="Cambria Math"/>
                </w:rPr>
                <m:t xml:space="preserve">V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RT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P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</m:e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3</m:t>
                  </m:r>
                </m:e>
              </m:d>
            </m:e>
          </m:eqArr>
        </m:oMath>
      </m:oMathPara>
    </w:p>
    <w:p>
      <w:pPr>
        <w:pStyle w:val="Normal"/>
        <w:rPr>
          <w:shd w:fill="FFFFFF" w:val="clear"/>
        </w:rPr>
      </w:pPr>
      <w:r>
        <w:rPr>
          <w:shd w:fill="FFFFFF" w:val="clear"/>
        </w:rPr>
        <w:t>Подставляя (3) в (</w:t>
      </w:r>
      <w:r>
        <w:rPr/>
        <w:t>1</w:t>
      </w:r>
      <w:r>
        <w:rPr>
          <w:shd w:fill="FFFFFF" w:val="clear"/>
        </w:rPr>
        <w:t>), получаем окончательную формулу:</w:t>
      </w:r>
    </w:p>
    <w:p>
      <w:pPr>
        <w:pStyle w:val="Normal"/>
        <w:jc w:val="center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eqArr>
            <m:e>
              <m:r>
                <w:rPr>
                  <w:rFonts w:ascii="Cambria Math" w:hAnsi="Cambria Math"/>
                </w:rPr>
                <m:t xml:space="preserve">L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R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 xml:space="preserve">P</m:t>
                  </m:r>
                </m:den>
              </m:f>
              <m:f>
                <m:num>
                  <m:r>
                    <w:rPr>
                      <w:rFonts w:ascii="Cambria Math" w:hAnsi="Cambria Math"/>
                    </w:rPr>
                    <m:t xml:space="preserve">dP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dT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R</m:t>
              </m:r>
              <m:f>
                <m:num>
                  <m:r>
                    <w:rPr>
                      <w:rFonts w:ascii="Cambria Math" w:hAnsi="Cambria Math"/>
                    </w:rPr>
                    <m:t xml:space="preserve">d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ln</m:t>
                      </m:r>
                      <m:r>
                        <w:rPr>
                          <w:rFonts w:ascii="Cambria Math" w:hAnsi="Cambria Math"/>
                        </w:rPr>
                        <m:t xml:space="preserve">P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d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 xml:space="preserve">/</m:t>
                      </m:r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 xml:space="preserve">,</m:t>
              </m:r>
            </m:e>
            <m:e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4</m:t>
                  </m:r>
                </m:e>
              </m:d>
            </m:e>
          </m:eqArr>
        </m:oMath>
      </m:oMathPara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эксперименте T и P измеряются приборами, а производные находятся как угловой коэффициент графиков P(T) или ln(P) от 1/T.</w:t>
      </w:r>
    </w:p>
    <w:p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Экспериментальная установка</w:t>
      </w:r>
    </w:p>
    <w:p>
      <w:pPr>
        <w:pStyle w:val="Normal"/>
        <w:rPr/>
      </w:pPr>
      <w:r>
        <w:rPr/>
        <w:t xml:space="preserve">На рисунке приведена схема установки с использованием современного термостата. Установка включает термостат A, экспериментальный прибор B и отсчетный микроскоп C. Экспериментальный прибор B представляет собой емкость 12, заполненную водой. В нее погружен запаянный прибор 13 с исследуемой жидкостью 14. Перед заполнением исследуемой жидкости воздух из запаянного прибора был удален, так что над жидкостью находится только её насыщенный пар. Давление пара определяется по ртутному манометру 15, соединенному с емкостью 13. Численная величина давления измеряется по разности показаний отсчетного микроскопа 16, настраиваемого последовательно на нижний и верхний уровни </w:t>
      </w:r>
      <w:bookmarkStart w:id="0" w:name="_GoBack"/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1668780</wp:posOffset>
            </wp:positionV>
            <wp:extent cx="5684520" cy="3070860"/>
            <wp:effectExtent l="0" t="0" r="0" b="0"/>
            <wp:wrapTopAndBottom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12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52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635" distL="113665" distR="114300" simplePos="0" locked="0" layoutInCell="0" allowOverlap="1" relativeHeight="3" wp14:anchorId="107E3C86">
                <wp:simplePos x="0" y="0"/>
                <wp:positionH relativeFrom="margin">
                  <wp:align>center</wp:align>
                </wp:positionH>
                <wp:positionV relativeFrom="paragraph">
                  <wp:posOffset>4738370</wp:posOffset>
                </wp:positionV>
                <wp:extent cx="5683885" cy="173990"/>
                <wp:effectExtent l="0" t="0" r="0" b="0"/>
                <wp:wrapTopAndBottom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4040" cy="17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6" w:before="0" w:after="160"/>
                              <w:ind w:hanging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Рисунок 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  <w:r>
                              <w:rPr>
                                <w:sz w:val="24"/>
                              </w:rPr>
                              <w:t>: схема установки</w:t>
                            </w:r>
                          </w:p>
                        </w:txbxContent>
                      </wps:txbx>
                      <wps:bodyPr lIns="0" rIns="0" tIns="0" bIns="0" anchor="t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2" path="m0,0l-2147483645,0l-2147483645,-2147483646l0,-2147483646xe" fillcolor="white" stroked="f" o:allowincell="f" style="position:absolute;margin-left:27.75pt;margin-top:373.1pt;width:447.5pt;height:13.65pt;mso-wrap-style:square;v-text-anchor:top;mso-position-horizontal:center;mso-position-horizontal-relative:margin" wp14:anchorId="107E3C86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56" w:before="0" w:after="160"/>
                        <w:ind w:hanging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Рисунок 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SEQ Рисунок \* ARABIC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  <w:r>
                        <w:rPr>
                          <w:sz w:val="24"/>
                        </w:rPr>
                        <w:t>: схема установки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bookmarkEnd w:id="0"/>
      <w:r>
        <w:rPr/>
        <w:t>столбика ртути манометра. Показания микроскопа снимаются по шкале 17.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4. </w:t>
      </w:r>
      <w:r>
        <w:rPr>
          <w:b/>
          <w:bCs/>
          <w:color w:val="000000"/>
          <w:sz w:val="28"/>
          <w:szCs w:val="28"/>
        </w:rPr>
        <w:t>Обработка результатов</w:t>
      </w:r>
    </w:p>
    <w:p>
      <w:pPr>
        <w:pStyle w:val="Normal"/>
        <w:rPr>
          <w:b/>
          <w:bCs/>
          <w:color w:val="000000"/>
          <w:sz w:val="42"/>
          <w:szCs w:val="42"/>
        </w:rPr>
      </w:pPr>
      <w:r>
        <w:rPr>
          <w:b/>
          <w:bCs/>
          <w:color w:val="000000"/>
          <w:sz w:val="42"/>
          <w:szCs w:val="42"/>
        </w:rPr>
        <w:tab/>
      </w:r>
      <w:r>
        <w:rPr>
          <w:b w:val="false"/>
          <w:bCs w:val="false"/>
          <w:color w:val="000000"/>
          <w:sz w:val="24"/>
          <w:szCs w:val="24"/>
        </w:rPr>
        <w:t>Строя график зависимости температуры от давления насыщенного пара, получаем следующие картины в двух разных масштабах:</w:t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/>
          <w:bCs/>
          <w:color w:val="000000"/>
          <w:sz w:val="42"/>
          <w:szCs w:val="4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120650</wp:posOffset>
            </wp:positionV>
            <wp:extent cx="6120130" cy="435356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4473575</wp:posOffset>
            </wp:positionV>
            <wp:extent cx="6120130" cy="4476115"/>
            <wp:effectExtent l="0" t="0" r="0" b="0"/>
            <wp:wrapSquare wrapText="bothSides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color w:val="000000"/>
          <w:sz w:val="42"/>
          <w:szCs w:val="42"/>
        </w:rPr>
      </w:pPr>
      <w:r>
        <w:rPr>
          <w:b/>
          <w:bCs/>
          <w:color w:val="000000"/>
          <w:sz w:val="42"/>
          <w:szCs w:val="42"/>
        </w:rPr>
      </w:r>
    </w:p>
    <w:p>
      <w:pPr>
        <w:pStyle w:val="Normal"/>
        <w:rPr>
          <w:b/>
          <w:bCs/>
          <w:color w:val="000000"/>
          <w:sz w:val="42"/>
          <w:szCs w:val="42"/>
        </w:rPr>
      </w:pPr>
      <w:r>
        <w:rPr>
          <w:b w:val="false"/>
          <w:bCs w:val="false"/>
          <w:color w:val="000000"/>
          <w:sz w:val="24"/>
          <w:szCs w:val="24"/>
        </w:rPr>
        <w:tab/>
        <w:tab/>
        <w:t>Для второго графика мы строим в каждой точке касательную, и берем среднее значение коэффициента наклона.</w:t>
      </w:r>
    </w:p>
    <w:p>
      <w:pPr>
        <w:pStyle w:val="Normal"/>
        <w:rPr>
          <w:b/>
          <w:bCs/>
          <w:color w:val="000000"/>
          <w:sz w:val="42"/>
          <w:szCs w:val="42"/>
        </w:rPr>
      </w:pPr>
      <w:r>
        <w:rPr>
          <w:b w:val="false"/>
          <w:bCs w:val="false"/>
          <w:color w:val="000000"/>
          <w:sz w:val="24"/>
          <w:szCs w:val="24"/>
        </w:rPr>
        <w:t>Получается около 50414.54</w:t>
      </w:r>
      <w:r>
        <w:rPr>
          <w:b w:val="false"/>
          <w:bCs w:val="false"/>
          <w:color w:val="000000"/>
          <w:sz w:val="24"/>
          <w:szCs w:val="24"/>
        </w:rPr>
        <w:t>5 Дж\Моль. Для логарифмического масштаба выходит 48549.277 Дж</w:t>
      </w:r>
      <w:r>
        <w:rPr>
          <w:b w:val="false"/>
          <w:bCs w:val="false"/>
          <w:color w:val="000000"/>
          <w:sz w:val="24"/>
          <w:szCs w:val="24"/>
        </w:rPr>
        <w:t>\Моль</w:t>
      </w:r>
    </w:p>
    <w:p>
      <w:pPr>
        <w:pStyle w:val="Normal"/>
        <w:ind w:hanging="0"/>
        <w:rPr>
          <w:b/>
          <w:bCs/>
          <w:color w:val="000000"/>
          <w:sz w:val="42"/>
          <w:szCs w:val="42"/>
        </w:rPr>
      </w:pPr>
      <w:r>
        <w:rPr>
          <w:b w:val="false"/>
          <w:bCs w:val="false"/>
          <w:color w:val="000000"/>
          <w:sz w:val="24"/>
          <w:szCs w:val="24"/>
        </w:rPr>
        <w:tab/>
        <w:t>Для логарифмического масштаба стоит посчитать коэффициент наклона прямой МНК.</w:t>
      </w:r>
    </w:p>
    <w:p>
      <w:pPr>
        <w:pStyle w:val="Normal"/>
        <w:rPr>
          <w:b/>
          <w:bCs/>
          <w:color w:val="000000"/>
          <w:sz w:val="42"/>
          <w:szCs w:val="42"/>
        </w:rPr>
      </w:pPr>
      <w:r>
        <w:rPr>
          <w:b w:val="false"/>
          <w:bCs w:val="false"/>
          <w:color w:val="000000"/>
          <w:sz w:val="24"/>
          <w:szCs w:val="24"/>
        </w:rPr>
        <w:t xml:space="preserve">Посчитав методом Хи-квадрат, получаем, что Хи в нашем случае будет равен примерно </w:t>
      </w:r>
      <w:r>
        <w:rPr>
          <w:b w:val="false"/>
          <w:bCs w:val="false"/>
          <w:color w:val="000000"/>
          <w:sz w:val="24"/>
          <w:szCs w:val="24"/>
        </w:rPr>
        <w:t xml:space="preserve">7.65, тогда как </w:t>
      </w:r>
      <w:r>
        <w:rPr>
          <w:b w:val="false"/>
          <w:bCs w:val="false"/>
          <w:color w:val="000000"/>
          <w:sz w:val="24"/>
          <w:szCs w:val="24"/>
        </w:rPr>
        <w:t>19 — степень свободы. Значит, что они с очень хорошей точностью ложатся на прямую.</w:t>
      </w:r>
    </w:p>
    <w:p>
      <w:pPr>
        <w:pStyle w:val="Normal"/>
        <w:rPr>
          <w:b/>
          <w:bCs/>
          <w:color w:val="000000"/>
          <w:sz w:val="42"/>
          <w:szCs w:val="42"/>
        </w:rPr>
      </w:pPr>
      <w:r>
        <w:rPr>
          <w:b w:val="false"/>
          <w:bCs w:val="false"/>
          <w:color w:val="000000"/>
          <w:sz w:val="24"/>
          <w:szCs w:val="24"/>
        </w:rPr>
        <w:t>Теперь построим графики для обратного действия — остужения. Получаются следующие картины:</w:t>
      </w:r>
    </w:p>
    <w:p>
      <w:pPr>
        <w:pStyle w:val="Normal"/>
        <w:rPr>
          <w:b/>
          <w:bCs/>
          <w:color w:val="000000"/>
          <w:sz w:val="42"/>
          <w:szCs w:val="42"/>
        </w:rPr>
      </w:pPr>
      <w:r>
        <w:rPr>
          <w:b/>
          <w:bCs/>
          <w:color w:val="000000"/>
          <w:sz w:val="42"/>
          <w:szCs w:val="42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531495</wp:posOffset>
            </wp:positionH>
            <wp:positionV relativeFrom="paragraph">
              <wp:posOffset>118110</wp:posOffset>
            </wp:positionV>
            <wp:extent cx="4978400" cy="418401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color w:val="000000"/>
          <w:sz w:val="42"/>
          <w:szCs w:val="42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644525</wp:posOffset>
            </wp:positionH>
            <wp:positionV relativeFrom="paragraph">
              <wp:posOffset>-92710</wp:posOffset>
            </wp:positionV>
            <wp:extent cx="4998720" cy="3473450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000000"/>
          <w:sz w:val="24"/>
          <w:szCs w:val="24"/>
        </w:rPr>
        <w:t xml:space="preserve">Получается в последнем случае также, очень хорошее приближение, где Хи — </w:t>
      </w:r>
      <w:r>
        <w:rPr>
          <w:b w:val="false"/>
          <w:bCs w:val="false"/>
          <w:color w:val="000000"/>
          <w:sz w:val="24"/>
          <w:szCs w:val="24"/>
        </w:rPr>
        <w:t>7.32, а степень свободы — 11. Использовалась погрешность измерения давления — 0.01 мм.рт.ст.  При помощи охлаждения выявили следующую теплоту испарения</w:t>
      </w:r>
      <w:r>
        <w:rPr>
          <w:b w:val="false"/>
          <w:bCs w:val="false"/>
          <w:color w:val="000000"/>
          <w:sz w:val="24"/>
          <w:szCs w:val="24"/>
        </w:rPr>
        <w:t>: 48029.2976</w:t>
      </w:r>
      <w:r>
        <w:rPr>
          <w:b w:val="false"/>
          <w:bCs w:val="false"/>
          <w:color w:val="000000"/>
          <w:sz w:val="24"/>
          <w:szCs w:val="24"/>
        </w:rPr>
        <w:t>Дж/Моль</w:t>
      </w:r>
      <w:r>
        <w:rPr>
          <w:b w:val="false"/>
          <w:bCs w:val="false"/>
          <w:color w:val="000000"/>
          <w:sz w:val="24"/>
          <w:szCs w:val="24"/>
        </w:rPr>
        <w:t xml:space="preserve"> в обычном масштабе,  и 46513.1098Дж</w:t>
      </w:r>
      <w:r>
        <w:rPr>
          <w:b w:val="false"/>
          <w:bCs w:val="false"/>
          <w:color w:val="000000"/>
          <w:sz w:val="24"/>
          <w:szCs w:val="24"/>
        </w:rPr>
        <w:t>/Моль</w:t>
      </w:r>
      <w:r>
        <w:rPr>
          <w:b w:val="false"/>
          <w:bCs w:val="false"/>
          <w:color w:val="000000"/>
          <w:sz w:val="24"/>
          <w:szCs w:val="24"/>
        </w:rPr>
        <w:t xml:space="preserve"> при логарифмическом</w:t>
      </w:r>
    </w:p>
    <w:p>
      <w:pPr>
        <w:pStyle w:val="Normal"/>
        <w:rPr>
          <w:b w:val="false"/>
          <w:bCs w:val="false"/>
          <w:sz w:val="24"/>
          <w:szCs w:val="24"/>
        </w:rPr>
      </w:pPr>
      <w:r>
        <w:rPr>
          <w:b/>
          <w:bCs/>
          <w:color w:val="000000"/>
          <w:sz w:val="42"/>
          <w:szCs w:val="42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90005" cy="5179695"/>
            <wp:effectExtent l="0" t="0" r="0" b="0"/>
            <wp:wrapSquare wrapText="largest"/>
            <wp:docPr id="7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  <w:color w:val="000000"/>
          <w:sz w:val="42"/>
          <w:szCs w:val="42"/>
        </w:rPr>
      </w:pPr>
      <w:r>
        <w:rPr>
          <w:b w:val="false"/>
          <w:bCs w:val="false"/>
          <w:color w:val="000000"/>
          <w:sz w:val="24"/>
          <w:szCs w:val="24"/>
        </w:rPr>
        <w:t xml:space="preserve">Погрешности: мы считаем, что абсолютная погрешность измерения разности давлений — </w:t>
      </w:r>
      <w:r>
        <w:rPr>
          <w:b w:val="false"/>
          <w:bCs w:val="false"/>
          <w:color w:val="000000"/>
          <w:sz w:val="24"/>
          <w:szCs w:val="24"/>
        </w:rPr>
        <w:t xml:space="preserve">0.01, температуры — столько же. Тогда получается для метода с касательными погрешность одного измерения - </w:t>
      </w:r>
      <w:r>
        <w:rPr>
          <w:b w:val="false"/>
          <w:bCs w:val="false"/>
          <w:color w:val="000000"/>
          <w:sz w:val="24"/>
          <w:szCs w:val="24"/>
        </w:rPr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σ</m:t>
            </m:r>
            <m:r>
              <w:rPr>
                <w:rFonts w:ascii="Cambria Math" w:hAnsi="Cambria Math"/>
              </w:rPr>
              <m:t xml:space="preserve">k</m:t>
            </m:r>
          </m:num>
          <m:den>
            <m:r>
              <w:rPr>
                <w:rFonts w:ascii="Cambria Math" w:hAnsi="Cambria Math"/>
              </w:rPr>
              <m:t xml:space="preserve">k</m:t>
            </m:r>
          </m:den>
        </m:f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sSup>
              <m:e>
                <m:r>
                  <w:rPr>
                    <w:rFonts w:ascii="Cambria Math" w:hAnsi="Cambria Math"/>
                  </w:rPr>
                  <m:t xml:space="preserve">2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σ</m:t>
                        </m:r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p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sSup>
              <m:e>
                <m:r>
                  <w:rPr>
                    <w:rFonts w:ascii="Cambria Math" w:hAnsi="Cambria Math"/>
                  </w:rPr>
                  <m:t xml:space="preserve">3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sSup>
              <m:e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σ</m:t>
                        </m:r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4</m:t>
            </m:r>
            <m:sSup>
              <m:e>
                <m:f>
                  <m:num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0.01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 xml:space="preserve">390</m:t>
                    </m:r>
                  </m:den>
                </m:f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9</m:t>
            </m:r>
            <m:sSup>
              <m:e>
                <m:f>
                  <m:num>
                    <m:r>
                      <w:rPr>
                        <w:rFonts w:ascii="Cambria Math" w:hAnsi="Cambria Math"/>
                      </w:rPr>
                      <m:t xml:space="preserve">0.01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290</m:t>
                    </m:r>
                  </m:den>
                </m:f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rad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0.01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</m:oMath>
      <w:r>
        <w:rPr>
          <w:b w:val="false"/>
          <w:bCs w:val="false"/>
          <w:color w:val="000000"/>
          <w:sz w:val="24"/>
          <w:szCs w:val="24"/>
        </w:rPr>
        <w:t xml:space="preserve"> , совсем маленькая.</w:t>
      </w:r>
    </w:p>
    <w:p>
      <w:pPr>
        <w:pStyle w:val="Normal"/>
        <w:spacing w:before="0" w:after="160"/>
        <w:rPr>
          <w:b/>
          <w:bCs/>
          <w:color w:val="000000"/>
          <w:sz w:val="42"/>
          <w:szCs w:val="42"/>
        </w:rPr>
      </w:pPr>
      <w:r>
        <w:rPr>
          <w:b w:val="false"/>
          <w:bCs w:val="false"/>
          <w:color w:val="000000"/>
          <w:sz w:val="24"/>
          <w:szCs w:val="24"/>
        </w:rPr>
        <w:t xml:space="preserve">Для метода с логарифмическим масштабом </w:t>
      </w:r>
      <w:r>
        <w:rPr>
          <w:b w:val="false"/>
          <w:bCs w:val="false"/>
          <w:color w:val="000000"/>
          <w:sz w:val="24"/>
          <w:szCs w:val="24"/>
        </w:rPr>
        <w:t xml:space="preserve">по МНК составляют около 2% </w:t>
      </w:r>
    </w:p>
    <w:sectPr>
      <w:type w:val="nextPage"/>
      <w:pgSz w:w="11906" w:h="16838"/>
      <w:pgMar w:left="993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4156a"/>
    <w:pPr>
      <w:widowControl/>
      <w:bidi w:val="0"/>
      <w:spacing w:lineRule="auto" w:line="254" w:before="0" w:after="16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4156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04156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04156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04156a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04156a"/>
    <w:rPr>
      <w:color w:val="808080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04156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0" w:customStyle="1">
    <w:name w:val="Заголовок Знак"/>
    <w:basedOn w:val="DefaultParagraphFont"/>
    <w:link w:val="Title"/>
    <w:uiPriority w:val="10"/>
    <w:qFormat/>
    <w:rsid w:val="0004156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04156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04156a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04156a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3f361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04156a"/>
    <w:pPr>
      <w:widowControl/>
      <w:bidi w:val="0"/>
      <w:spacing w:lineRule="auto" w:line="240" w:before="0" w:after="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10"/>
    <w:uiPriority w:val="10"/>
    <w:qFormat/>
    <w:rsid w:val="0004156a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04156a"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Application>LibreOffice/24.2.7.2$Linux_X86_64 LibreOffice_project/420$Build-2</Application>
  <AppVersion>15.0000</AppVersion>
  <Pages>6</Pages>
  <Words>490</Words>
  <Characters>3304</Characters>
  <CharactersWithSpaces>3781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2026-03-09T12:27:00Z</dcterms:created>
  <dc:creator>OatmealCracker</dc:creator>
  <dc:description/>
  <dc:language>ru-RU</dc:language>
  <cp:lastModifiedBy/>
  <dcterms:modified xsi:type="dcterms:W3CDTF">2026-03-13T00:43:46Z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