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700" w:leader="none"/>
        </w:tabs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МОСКОВСКИЙ ФИЗИКО-ТЕХНИЧЕСКИЙ ИНСТИТУТ</w:t>
        <w:br/>
        <w:t>(НАЦИОНАЛЬНЫЙ ИССЛЕДОВАТЕЛЬСКИЙ УНИВЕРСИТЕТ)</w:t>
      </w:r>
    </w:p>
    <w:p>
      <w:pPr>
        <w:pStyle w:val="Normal"/>
        <w:tabs>
          <w:tab w:val="clear" w:pos="708"/>
          <w:tab w:val="left" w:pos="1700" w:leader="none"/>
        </w:tabs>
        <w:ind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4"/>
        </w:rPr>
        <w:t>Физтех-школа аэрокосмических технологий</w:t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ascii="Times New Roman" w:hAnsi="Times New Roman" w:cs="Times New Roman"/>
          <w:b/>
          <w:sz w:val="44"/>
        </w:rPr>
      </w:pPr>
      <w:r>
        <w:rPr>
          <w:rFonts w:cs="Times New Roman" w:ascii="Times New Roman" w:hAnsi="Times New Roman"/>
          <w:b/>
          <w:sz w:val="44"/>
        </w:rPr>
        <w:t>Отчёт о выполнении лабораторной работы 2.1.1</w:t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Измерение вязкости воздуха по течению в тонких трубках</w:t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left" w:pos="1700" w:leader="none"/>
        </w:tabs>
        <w:ind w:hanging="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Авторы: </w:t>
      </w:r>
    </w:p>
    <w:p>
      <w:pPr>
        <w:pStyle w:val="Normal"/>
        <w:tabs>
          <w:tab w:val="clear" w:pos="708"/>
          <w:tab w:val="left" w:pos="1700" w:leader="none"/>
        </w:tabs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Волков Илья Александрович </w:t>
      </w:r>
    </w:p>
    <w:p>
      <w:pPr>
        <w:pStyle w:val="Normal"/>
        <w:tabs>
          <w:tab w:val="clear" w:pos="708"/>
          <w:tab w:val="left" w:pos="1700" w:leader="none"/>
        </w:tabs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Королёв Дмитрий Алексеевич</w:t>
      </w:r>
    </w:p>
    <w:p>
      <w:pPr>
        <w:pStyle w:val="Normal"/>
        <w:tabs>
          <w:tab w:val="clear" w:pos="708"/>
          <w:tab w:val="left" w:pos="1700" w:leader="none"/>
        </w:tabs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Б03-503</w:t>
      </w:r>
    </w:p>
    <w:p>
      <w:pPr>
        <w:pStyle w:val="Normal"/>
        <w:tabs>
          <w:tab w:val="clear" w:pos="708"/>
          <w:tab w:val="left" w:pos="1700" w:leader="none"/>
        </w:tabs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left" w:pos="1700" w:leader="none"/>
        </w:tabs>
        <w:ind w:hanging="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Долгопрудный 2025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Аннотация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bookmarkStart w:id="0" w:name="_GoBack_Copy_1"/>
      <w:bookmarkStart w:id="1" w:name="_GoBack"/>
      <w:bookmarkEnd w:id="0"/>
      <w:bookmarkEnd w:id="1"/>
      <w:r>
        <w:rPr>
          <w:rFonts w:ascii="Times New Roman" w:hAnsi="Times New Roman"/>
          <w:color w:val="0F1115"/>
          <w:sz w:val="28"/>
          <w:szCs w:val="28"/>
          <w:shd w:fill="FFFFFF" w:val="clear"/>
        </w:rPr>
        <w:t xml:space="preserve">В работе экспериментально определён коэффициент взаимной диффузии гелия и воздуха методом выравнивания концентраций в двух сосудах, соединённых капилляром. Разность концентраций регистрируется по напряжению мостовой схемы с датчиками теплопроводности, напряжение экспоненциально убывает с характерным временем τ = VL/(2SD). Коэффициент диффузии D найден из наклона зависимости ln U(t) для рабочих давлений 40–300 торр; подтверждена обратная пропорциональность D </w:t>
      </w:r>
      <w:r>
        <w:rPr>
          <w:rFonts w:cs="Cambria Math" w:ascii="Times New Roman" w:hAnsi="Times New Roman"/>
          <w:color w:val="0F1115"/>
          <w:sz w:val="28"/>
          <w:szCs w:val="28"/>
          <w:shd w:fill="FFFFFF" w:val="clear"/>
        </w:rPr>
        <w:t>∝</w:t>
      </w:r>
      <w:r>
        <w:rPr>
          <w:rFonts w:ascii="Times New Roman" w:hAnsi="Times New Roman"/>
          <w:color w:val="0F1115"/>
          <w:sz w:val="28"/>
          <w:szCs w:val="28"/>
          <w:shd w:fill="FFFFFF" w:val="clear"/>
        </w:rPr>
        <w:t xml:space="preserve"> 1/P. Экстраполяцией к атмосферному давлению получено D₀ = (</w:t>
      </w:r>
      <w:r>
        <w:rPr>
          <w:rFonts w:ascii="Times New Roman" w:hAnsi="Times New Roman"/>
          <w:color w:val="0F1115"/>
          <w:sz w:val="28"/>
          <w:szCs w:val="28"/>
          <w:shd w:fill="FFFFFF" w:val="clear"/>
        </w:rPr>
        <w:t>1</w:t>
      </w:r>
      <w:r>
        <w:rPr>
          <w:rFonts w:ascii="Times New Roman" w:hAnsi="Times New Roman"/>
          <w:color w:val="0F1115"/>
          <w:sz w:val="28"/>
          <w:szCs w:val="28"/>
          <w:shd w:fill="FFFFFF" w:val="clear"/>
        </w:rPr>
        <w:t>,</w:t>
      </w:r>
      <w:r>
        <w:rPr>
          <w:rFonts w:ascii="Times New Roman" w:hAnsi="Times New Roman"/>
          <w:color w:val="0F1115"/>
          <w:sz w:val="28"/>
          <w:szCs w:val="28"/>
          <w:shd w:fill="FFFFFF" w:val="clear"/>
        </w:rPr>
        <w:t>02</w:t>
      </w:r>
      <w:r>
        <w:rPr>
          <w:rFonts w:ascii="Times New Roman" w:hAnsi="Times New Roman"/>
          <w:color w:val="0F1115"/>
          <w:sz w:val="28"/>
          <w:szCs w:val="28"/>
          <w:shd w:fill="FFFFFF" w:val="clear"/>
        </w:rPr>
        <w:t xml:space="preserve"> ± 0,0</w:t>
      </w:r>
      <w:r>
        <w:rPr>
          <w:rFonts w:ascii="Times New Roman" w:hAnsi="Times New Roman"/>
          <w:color w:val="0F1115"/>
          <w:sz w:val="28"/>
          <w:szCs w:val="28"/>
          <w:shd w:fill="FFFFFF" w:val="clear"/>
        </w:rPr>
        <w:t>2</w:t>
      </w:r>
      <w:r>
        <w:rPr>
          <w:rFonts w:ascii="Times New Roman" w:hAnsi="Times New Roman"/>
          <w:color w:val="0F1115"/>
          <w:sz w:val="28"/>
          <w:szCs w:val="28"/>
          <w:shd w:fill="FFFFFF" w:val="clear"/>
        </w:rPr>
        <w:t xml:space="preserve">) см²/с, что согласуется с табличным значением. Погрешности обусловлены ошибками измерения давления (≈1%), температуры (≈0,5%). По D оценены длина свободного пробега λ ≈ </w:t>
      </w:r>
      <w:r>
        <w:rPr>
          <w:rFonts w:ascii="Times New Roman" w:hAnsi="Times New Roman"/>
          <w:color w:val="0F1115"/>
          <w:sz w:val="28"/>
          <w:szCs w:val="28"/>
          <w:shd w:fill="FFFFFF" w:val="clear"/>
        </w:rPr>
        <w:t>4</w:t>
      </w:r>
      <w:r>
        <w:rPr>
          <w:rFonts w:ascii="Times New Roman" w:hAnsi="Times New Roman"/>
          <w:color w:val="0F1115"/>
          <w:sz w:val="28"/>
          <w:szCs w:val="28"/>
          <w:shd w:fill="FFFFFF" w:val="clear"/>
        </w:rPr>
        <w:t>,</w:t>
      </w:r>
      <w:r>
        <w:rPr>
          <w:rFonts w:ascii="Times New Roman" w:hAnsi="Times New Roman"/>
          <w:color w:val="0F1115"/>
          <w:sz w:val="28"/>
          <w:szCs w:val="28"/>
          <w:shd w:fill="FFFFFF" w:val="clear"/>
        </w:rPr>
        <w:t>97</w:t>
      </w:r>
      <w:r>
        <w:rPr>
          <w:rFonts w:ascii="Times New Roman" w:hAnsi="Times New Roman"/>
          <w:color w:val="0F1115"/>
          <w:sz w:val="28"/>
          <w:szCs w:val="28"/>
          <w:shd w:fill="FFFFFF" w:val="clear"/>
        </w:rPr>
        <w:t xml:space="preserve"> мкм и сечение столкновений σ ≈ </w:t>
      </w:r>
      <w:r>
        <w:rPr>
          <w:rFonts w:ascii="Times New Roman" w:hAnsi="Times New Roman"/>
          <w:color w:val="0F1115"/>
          <w:sz w:val="28"/>
          <w:szCs w:val="28"/>
          <w:shd w:fill="FFFFFF" w:val="clear"/>
        </w:rPr>
        <w:t>1.52</w:t>
      </w:r>
      <w:r>
        <w:rPr>
          <w:rFonts w:ascii="Times New Roman" w:hAnsi="Times New Roman"/>
          <w:color w:val="0F1115"/>
          <w:sz w:val="28"/>
          <w:szCs w:val="28"/>
          <w:shd w:fill="FFFFFF" w:val="clear"/>
        </w:rPr>
        <w:t>·10⁻¹⁹ м².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Теоретические сведения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Диффузия – самопроизвольное взаимное проникновение веществ друг в друга, происходящее вследствие хаотичного теплового движения молекул. При перемешивании молекул разного сорта говорят о взаимной (или  концентрационной) диффузии. В системе, состоящей из двух компонентов, плотность потока вещества в результате взаимной диффузии описывается законом Фика: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j</m:t>
              </m:r>
            </m:e>
            <m:sub>
              <m:r>
                <w:rPr>
                  <w:rFonts w:ascii="Cambria Math" w:hAnsi="Cambria Math"/>
                </w:rPr>
                <m:t xml:space="preserve">a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ab</m:t>
              </m:r>
            </m:sub>
          </m:sSub>
          <m:f>
            <m:num>
              <m:r>
                <w:rPr>
                  <w:rFonts w:ascii="Cambria Math" w:hAnsi="Cambria Math"/>
                </w:rPr>
                <m:t xml:space="preserve">∂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j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ba</m:t>
              </m:r>
            </m:sub>
          </m:sSub>
          <m:f>
            <m:num>
              <m:r>
                <w:rPr>
                  <w:rFonts w:ascii="Cambria Math" w:hAnsi="Cambria Math"/>
                </w:rPr>
                <m:t xml:space="preserve">∂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∂</m:t>
              </m:r>
              <m:r>
                <w:rPr>
                  <w:rFonts w:ascii="Cambria Math" w:hAnsi="Cambria Math"/>
                </w:rPr>
                <m:t xml:space="preserve">x</m:t>
              </m:r>
            </m:den>
          </m:f>
        </m:oMath>
      </m:oMathPara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 xml:space="preserve">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b</m:t>
                </m:r>
              </m:sub>
            </m:sSub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a</m:t>
                </m:r>
              </m:sub>
            </m:sSub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D</m:t>
        </m:r>
      </m:oMath>
      <w:r>
        <w:rPr>
          <w:rFonts w:eastAsia="" w:cs="Times New Roman" w:ascii="Times New Roman" w:hAnsi="Times New Roman" w:eastAsiaTheme="minorEastAsia"/>
          <w:sz w:val="28"/>
        </w:rPr>
        <w:t xml:space="preserve"> – коэффициент взаимной диффузии компонентов,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j</m:t>
            </m:r>
          </m:e>
          <m:sub>
            <m:r>
              <w:rPr>
                <w:rFonts w:ascii="Cambria Math" w:hAnsi="Cambria Math"/>
              </w:rPr>
              <m:t xml:space="preserve">ab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> равно плотности потока частиц соответствующего сорта (количество частиц, пересекающих единичную площадку в единицу времени).</w:t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>В работе исследуется диффузия примеси лёгкого газа (гелия) на фоне воздуха, поэтому концентрация воздуха в опыте значительно больше концентрации гелия, и её относительное изменение незначительно. В процессе работы будет описываться только диффузия примеси гелия на стационарном фоне воздуха.</w:t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>Проведём теоретическую оценку величины коэффициента взаимной диффузии. В работах мала концентрация гелия, более того, масса атомов гелия много меньше массы молекул, составляющих воздух. При таких условиях перемешивание газов в эксперименте можно рассматривать как диффузию гелия на стационарном фоне воздуха. Тогда коэффициент диффузии приблизительно равен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r>
            <w:rPr>
              <w:rFonts w:ascii="Cambria Math" w:hAnsi="Cambria Math"/>
            </w:rPr>
            <m:t xml:space="preserve">λ</m:t>
          </m:r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 xml:space="preserve">v</m:t>
              </m:r>
            </m:e>
          </m:ba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 xml:space="preserve">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</m:oMath>
      <w:r>
        <w:rPr>
          <w:rFonts w:eastAsia="" w:cs="Times New Roman" w:ascii="Times New Roman" w:hAnsi="Times New Roman" w:eastAsiaTheme="minorEastAsia"/>
          <w:sz w:val="28"/>
        </w:rPr>
        <w:t xml:space="preserve"> – длина свободного пробега частиц гелия, 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v</m:t>
            </m:r>
          </m:e>
        </m:bar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 xml:space="preserve">8</m:t>
                </m:r>
                <m:r>
                  <w:rPr>
                    <w:rFonts w:ascii="Cambria Math" w:hAnsi="Cambria Math"/>
                  </w:rPr>
                  <m:t xml:space="preserve">kT</m:t>
                </m:r>
              </m:num>
              <m:den>
                <m:r>
                  <w:rPr>
                    <w:rFonts w:ascii="Cambria Math" w:hAnsi="Cambria Math"/>
                  </w:rPr>
                  <m:t xml:space="preserve">πm</m:t>
                </m:r>
              </m:den>
            </m:f>
          </m:e>
        </m:rad>
      </m:oMath>
      <w:r>
        <w:rPr>
          <w:rFonts w:eastAsia="" w:cs="Times New Roman" w:ascii="Times New Roman" w:hAnsi="Times New Roman" w:eastAsiaTheme="minorEastAsia"/>
          <w:sz w:val="28"/>
        </w:rPr>
        <w:t xml:space="preserve"> – их средняя тепловая скорость. В общем случае необходимо считать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Σ</m:t>
                </m:r>
              </m:sub>
            </m:sSub>
            <m:r>
              <w:rPr>
                <w:rFonts w:ascii="Cambria Math" w:hAnsi="Cambria Math"/>
              </w:rPr>
              <m:t xml:space="preserve">σ</m:t>
            </m:r>
          </m:den>
        </m:f>
      </m:oMath>
      <w:r>
        <w:rPr>
          <w:rFonts w:eastAsia="" w:cs="Times New Roman" w:ascii="Times New Roman" w:hAnsi="Times New Roman" w:eastAsiaTheme="minorEastAsia"/>
          <w:sz w:val="28"/>
        </w:rPr>
        <w:t xml:space="preserve">, 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Σ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He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B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Σ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kT</m:t>
            </m:r>
          </m:den>
        </m:f>
      </m:oMath>
      <w:r>
        <w:rPr>
          <w:rFonts w:eastAsia="" w:cs="Times New Roman" w:ascii="Times New Roman" w:hAnsi="Times New Roman" w:eastAsiaTheme="minorEastAsia"/>
          <w:sz w:val="28"/>
        </w:rPr>
        <w:t xml:space="preserve"> – полная концентрация частиц,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</m:oMath>
      <w:r>
        <w:rPr>
          <w:rFonts w:eastAsia="" w:cs="Times New Roman" w:ascii="Times New Roman" w:hAnsi="Times New Roman" w:eastAsiaTheme="minorEastAsia"/>
          <w:sz w:val="28"/>
        </w:rPr>
        <w:t xml:space="preserve"> – среднее сечение столкновения частиц гелия с воздухом. Также </w:t>
      </w:r>
      <w:r>
        <w:rPr/>
      </w:r>
      <m:oMath xmlns:m="http://schemas.openxmlformats.org/officeDocument/2006/math"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v</m:t>
            </m:r>
          </m:e>
        </m:bar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 xml:space="preserve">8</m:t>
                </m:r>
                <m:r>
                  <w:rPr>
                    <w:rFonts w:ascii="Cambria Math" w:hAnsi="Cambria Math"/>
                  </w:rPr>
                  <m:t xml:space="preserve">kT</m:t>
                </m:r>
              </m:num>
              <m:den>
                <m:r>
                  <w:rPr>
                    <w:rFonts w:ascii="Cambria Math" w:hAnsi="Cambria Math"/>
                  </w:rPr>
                  <m:t xml:space="preserve">πμ</m:t>
                </m:r>
              </m:den>
            </m:f>
          </m:e>
        </m:rad>
      </m:oMath>
      <w:r>
        <w:rPr>
          <w:rFonts w:eastAsia="" w:cs="Times New Roman" w:ascii="Times New Roman" w:hAnsi="Times New Roman" w:eastAsiaTheme="minorEastAsia"/>
          <w:sz w:val="28"/>
        </w:rPr>
        <w:t xml:space="preserve"> – средняя относительная скорость. Таким образом, теоретическая оценка предполагает, что коэффициент диффузии не зависит от пропорций компонентов, а обратно пропорционален давлению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∝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Σ</m:t>
                </m:r>
              </m:sub>
            </m:sSub>
          </m:den>
        </m:f>
      </m:oMath>
      <w:r>
        <w:rPr>
          <w:rFonts w:eastAsia="" w:cs="Times New Roman" w:ascii="Times New Roman" w:hAnsi="Times New Roman" w:eastAsiaTheme="minorEastAsia"/>
          <w:sz w:val="28"/>
        </w:rPr>
        <w:t>.</w:t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eastAsiaTheme="minorEastAsia" w:ascii="Times New Roman" w:hAnsi="Times New Roman"/>
          <w:sz w:val="28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 xml:space="preserve">Рассмотрим процесс выравнивания концентрации в установке, она зависит от координат и времени во всей установке. Объём соединительной трубки мал по сравнению с объёмами сосудов. Поэтому концентрации газов можно считать постоянными по всему объёму сосудов; считаем, что процесс выравнивания происходит только за счёт диффузии в трубке и является стационарным (так как считаем стационарным поток частиц). Величина этого стационарного потока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J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DS</m:t>
        </m:r>
        <m:f>
          <m:num>
            <m:r>
              <w:rPr>
                <w:rFonts w:ascii="Cambria Math" w:hAnsi="Cambria Math"/>
              </w:rPr>
              <m:t xml:space="preserve">∂</m:t>
            </m:r>
            <m:r>
              <w:rPr>
                <w:rFonts w:ascii="Cambria Math" w:hAnsi="Cambria Math"/>
              </w:rPr>
              <m:t xml:space="preserve">n</m:t>
            </m:r>
          </m:num>
          <m:den>
            <m:r>
              <w:rPr>
                <w:rFonts w:ascii="Cambria Math" w:hAnsi="Cambria Math"/>
              </w:rPr>
              <m:t xml:space="preserve">∂</m:t>
            </m:r>
            <m:r>
              <w:rPr>
                <w:rFonts w:ascii="Cambria Math" w:hAnsi="Cambria Math"/>
              </w:rPr>
              <m:t xml:space="preserve">x</m:t>
            </m:r>
          </m:den>
        </m:f>
      </m:oMath>
      <w:r>
        <w:rPr>
          <w:rFonts w:eastAsia="" w:cs="Times New Roman" w:ascii="Times New Roman" w:hAnsi="Times New Roman" w:eastAsiaTheme="minorEastAsia"/>
          <w:sz w:val="28"/>
        </w:rPr>
        <w:t xml:space="preserve">, и он одинаков во всём сечении трубки, тогда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>
          <w:rFonts w:eastAsia="" w:cs="Times New Roman" w:ascii="Times New Roman" w:hAnsi="Times New Roman" w:eastAsiaTheme="minorEastAsia"/>
          <w:sz w:val="28"/>
        </w:rPr>
        <w:t xml:space="preserve"> – линейная функция координаты и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dn</m:t>
            </m:r>
          </m:num>
          <m:den>
            <m:r>
              <w:rPr>
                <w:rFonts w:ascii="Cambria Math" w:hAnsi="Cambria Math"/>
              </w:rPr>
              <m:t xml:space="preserve">dx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Δn</m:t>
            </m:r>
          </m:num>
          <m:den>
            <m:r>
              <w:rPr>
                <w:rFonts w:ascii="Cambria Math" w:hAnsi="Cambria Math"/>
              </w:rPr>
              <m:t xml:space="preserve">l</m:t>
            </m:r>
          </m:den>
        </m:f>
      </m:oMath>
      <w:r>
        <w:rPr>
          <w:rFonts w:eastAsia="" w:cs="Times New Roman" w:ascii="Times New Roman" w:hAnsi="Times New Roman" w:eastAsiaTheme="minorEastAsia"/>
          <w:sz w:val="28"/>
        </w:rPr>
        <w:t xml:space="preserve"> (</w:t>
      </w:r>
      <w:r>
        <w:rPr>
          <w:rFonts w:eastAsia="" w:cs="Times New Roman" w:ascii="Times New Roman" w:hAnsi="Times New Roman" w:eastAsiaTheme="minorEastAsia"/>
          <w:i/>
          <w:sz w:val="28"/>
          <w:lang w:val="en-US"/>
        </w:rPr>
        <w:t>l</w:t>
      </w:r>
      <w:r>
        <w:rPr>
          <w:rFonts w:eastAsia="" w:cs="Times New Roman" w:ascii="Times New Roman" w:hAnsi="Times New Roman" w:eastAsiaTheme="minorEastAsia"/>
          <w:sz w:val="28"/>
        </w:rPr>
        <w:t xml:space="preserve"> – длина трубки), получаем: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8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J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DS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l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 xml:space="preserve">Предположим, что установился линейный профиль концентрации и полученное соотношение справедливо в любой момент времени. Получаем квазистационарное приближение зависимости концентраций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 xml:space="preserve"> от времени.</w:t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eastAsiaTheme="minorEastAsia" w:ascii="Times New Roman" w:hAnsi="Times New Roman"/>
          <w:sz w:val="28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 xml:space="preserve">Через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 xml:space="preserve"> 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 xml:space="preserve"> обозначим изменения концентрации в объёмах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</w:p>
    <w:p>
      <w:pPr>
        <w:pStyle w:val="Normal"/>
        <w:ind w:hanging="0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 xml:space="preserve">за время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Δt</m:t>
        </m:r>
      </m:oMath>
      <w:r>
        <w:rPr>
          <w:rFonts w:eastAsia="" w:cs="Times New Roman" w:ascii="Times New Roman" w:hAnsi="Times New Roman" w:eastAsiaTheme="minorEastAsia"/>
          <w:sz w:val="28"/>
        </w:rPr>
        <w:t xml:space="preserve">. Тогда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 xml:space="preserve"> – изменение количества компонента в объёме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 xml:space="preserve">, 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 xml:space="preserve"> – изменение количества этого компонента в объёме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 xml:space="preserve">. По закону сохранения вещества следует, что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const</m:t>
        </m:r>
      </m:oMath>
      <w:r>
        <w:rPr>
          <w:rFonts w:eastAsia="" w:cs="Times New Roman" w:ascii="Times New Roman" w:hAnsi="Times New Roman" w:eastAsiaTheme="minorEastAsia"/>
          <w:sz w:val="28"/>
        </w:rPr>
        <w:t xml:space="preserve">, поэтому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>. Эти изменения происходят вследствие диффузии, поэтому</w:t>
      </w:r>
    </w:p>
    <w:p>
      <w:pPr>
        <w:pStyle w:val="Normal"/>
        <w:ind w:hanging="0"/>
        <w:jc w:val="center"/>
        <w:rPr>
          <w:rFonts w:ascii="Times New Roman" w:hAnsi="Times New Roman" w:eastAsia="" w:cs="Times New Roman" w:eastAsiaTheme="minorEastAsia"/>
          <w:sz w:val="28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J</m:t>
          </m:r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DS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l</m:t>
              </m:r>
            </m:den>
          </m:f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 xml:space="preserve">Делим равенство на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Δt</m:t>
        </m:r>
      </m:oMath>
      <w:r>
        <w:rPr>
          <w:rFonts w:eastAsia="" w:cs="Times New Roman" w:ascii="Times New Roman" w:hAnsi="Times New Roman" w:eastAsiaTheme="minorEastAsia"/>
          <w:sz w:val="28"/>
        </w:rPr>
        <w:t>: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f>
            <m:num>
              <m: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dt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DS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l</m:t>
              </m:r>
            </m:den>
          </m:f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f>
            <m:num>
              <m: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dt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DS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l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 xml:space="preserve">Делим первое уравнение на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 xml:space="preserve">, второе на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>, вычтем равенства друг из друга: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dt</m:t>
              </m:r>
            </m:den>
          </m:f>
          <m:r>
            <w:rPr>
              <w:rFonts w:ascii="Cambria Math" w:hAnsi="Cambria Math"/>
            </w:rPr>
            <m:t xml:space="preserve">−</m:t>
          </m:r>
          <m:f>
            <m:num>
              <m: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dt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l</m:t>
              </m:r>
            </m:den>
          </m:f>
          <m:r>
            <w:rPr>
              <w:rFonts w:ascii="Cambria Math" w:hAnsi="Cambria Math"/>
            </w:rPr>
            <m:t xml:space="preserve">DS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 xml:space="preserve">Введём новую переменную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>, проинтегрируем уравнение, получим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8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Δ</m:t>
          </m:r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τ</m:t>
              </m:r>
            </m:sup>
          </m:sSup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Normal"/>
        <w:rPr>
          <w:rFonts w:ascii="Times New Roman" w:hAnsi="Times New Roman" w:eastAsia="" w:cs="Times New Roman" w:eastAsiaTheme="minorEastAsia"/>
          <w:sz w:val="28"/>
          <w:lang w:val="en-US"/>
        </w:rPr>
      </w:pPr>
      <w:r>
        <w:rPr>
          <w:rFonts w:eastAsia="" w:cs="Times New Roman" w:eastAsiaTheme="minorEastAsia" w:ascii="Times New Roman" w:hAnsi="Times New Roman"/>
          <w:sz w:val="28"/>
          <w:lang w:val="en-US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 xml:space="preserve">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 xml:space="preserve"> – разность концентраций примеси в начальный момент времени, а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τ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den>
          </m:f>
          <m:f>
            <m:num>
              <m:r>
                <w:rPr>
                  <w:rFonts w:ascii="Cambria Math" w:hAnsi="Cambria Math"/>
                </w:rPr>
                <m:t xml:space="preserve">l</m:t>
              </m:r>
            </m:num>
            <m:den>
              <m:r>
                <w:rPr>
                  <w:rFonts w:ascii="Cambria Math" w:hAnsi="Cambria Math"/>
                </w:rPr>
                <m:t xml:space="preserve">SD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 xml:space="preserve">Видим, что разность концентраций убывает по экспоненциальному закону и тем быстрее, чем меньше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</m:oMath>
      <w:r>
        <w:rPr>
          <w:rFonts w:eastAsia="" w:cs="Times New Roman" w:ascii="Times New Roman" w:hAnsi="Times New Roman" w:eastAsiaTheme="minorEastAsia"/>
          <w:sz w:val="28"/>
        </w:rPr>
        <w:t xml:space="preserve"> – величина, определяющаяся геометрическими параметрами установки и величиной коэффициента диффузии.</w:t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 xml:space="preserve">Для проверки применимости квазистационарного течения убедимся, что время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</m:oMath>
      <w:r>
        <w:rPr>
          <w:rFonts w:eastAsia="" w:cs="Times New Roman" w:ascii="Times New Roman" w:hAnsi="Times New Roman" w:eastAsiaTheme="minorEastAsia"/>
          <w:sz w:val="28"/>
        </w:rPr>
        <w:t xml:space="preserve"> много больше характерного времени диффузии одной частицы вдоль трубки длиной </w:t>
      </w:r>
      <w:r>
        <w:rPr>
          <w:rFonts w:cs="Times New Roman" w:ascii="Times New Roman" w:hAnsi="Times New Roman"/>
          <w:i/>
          <w:sz w:val="28"/>
          <w:lang w:val="en-US"/>
        </w:rPr>
        <w:t>l</w:t>
      </w:r>
      <w:r>
        <w:rPr>
          <w:rFonts w:eastAsia="" w:cs="Times New Roman" w:ascii="Times New Roman" w:hAnsi="Times New Roman" w:eastAsiaTheme="minorEastAsia"/>
          <w:sz w:val="28"/>
        </w:rPr>
        <w:t>: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diff</m:t>
            </m:r>
          </m:sub>
        </m:sSub>
        <m:r>
          <w:rPr>
            <w:rFonts w:ascii="Cambria Math" w:hAnsi="Cambria Math"/>
          </w:rPr>
          <m:t xml:space="preserve">∼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l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D</m:t>
            </m:r>
          </m:den>
        </m:f>
        <m:r>
          <w:rPr>
            <w:rFonts w:ascii="Cambria Math" w:hAnsi="Cambria Math"/>
          </w:rPr>
          <m:t xml:space="preserve">≪</m:t>
        </m:r>
        <m:r>
          <w:rPr>
            <w:rFonts w:ascii="Cambria Math" w:hAnsi="Cambria Math"/>
          </w:rPr>
          <m:t xml:space="preserve">τ</m:t>
        </m:r>
      </m:oMath>
      <w:r>
        <w:rPr>
          <w:rFonts w:eastAsia="" w:cs="Times New Roman" w:ascii="Times New Roman" w:hAnsi="Times New Roman" w:eastAsiaTheme="minorEastAsia"/>
          <w:sz w:val="28"/>
        </w:rPr>
        <w:t>.</w:t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 xml:space="preserve">Для измерения концентраций применяются датчики теплопроводности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 xml:space="preserve"> (см. рис.~1) и используется зависимость теплопроводности газовой смеси от её состава. Тонкая проволока радиуса </w:t>
      </w:r>
      <w:r>
        <w:rPr>
          <w:rFonts w:eastAsia="" w:cs="Times New Roman" w:ascii="Times New Roman" w:hAnsi="Times New Roman" w:eastAsiaTheme="minorEastAsia"/>
          <w:i/>
          <w:sz w:val="28"/>
          <w:lang w:val="en-US"/>
        </w:rPr>
        <w:t>r</w:t>
      </w:r>
      <w:r>
        <w:rPr>
          <w:rFonts w:eastAsia="" w:cs="Times New Roman" w:ascii="Times New Roman" w:hAnsi="Times New Roman" w:eastAsiaTheme="minorEastAsia"/>
          <w:sz w:val="28"/>
        </w:rPr>
        <w:t xml:space="preserve">, протянутая вдоль оси цилиндра радиуса </w:t>
      </w:r>
      <w:r>
        <w:rPr>
          <w:rFonts w:eastAsia="" w:cs="Times New Roman" w:ascii="Times New Roman" w:hAnsi="Times New Roman" w:eastAsiaTheme="minorEastAsia"/>
          <w:i/>
          <w:sz w:val="28"/>
        </w:rPr>
        <w:t>R</w:t>
      </w:r>
      <w:r>
        <w:rPr>
          <w:rFonts w:eastAsia="" w:cs="Times New Roman" w:ascii="Times New Roman" w:hAnsi="Times New Roman" w:eastAsiaTheme="minorEastAsia"/>
          <w:sz w:val="28"/>
        </w:rPr>
        <w:t>, нагревается током. Тепло от проволоки к стенке цилиндра передаётся главным образом вследствие теплопроводности газа, находящегося внутри цилиндра. Количество тепла, переданного стенке цилиндра в единицу времени, определяется по формуле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8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κ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  <m:r>
                <w:rPr>
                  <w:rFonts w:ascii="Cambria Math" w:hAnsi="Cambria Math"/>
                </w:rPr>
                <m:t xml:space="preserve">L</m:t>
              </m:r>
            </m:num>
            <m:den>
              <m:r>
                <w:rPr>
                  <w:rFonts w:ascii="Cambria Math" w:hAnsi="Cambria Math"/>
                </w:rPr>
                <m:t xml:space="preserve">ln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/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e>
              </m:d>
            </m:den>
          </m:f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 xml:space="preserve">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κ</m:t>
        </m:r>
      </m:oMath>
      <w:r>
        <w:rPr>
          <w:rFonts w:eastAsia="" w:cs="Times New Roman" w:ascii="Times New Roman" w:hAnsi="Times New Roman" w:eastAsiaTheme="minorEastAsia"/>
          <w:sz w:val="28"/>
        </w:rPr>
        <w:t xml:space="preserve"> – теплопроводность,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>
          <w:rFonts w:eastAsia="" w:cs="Times New Roman" w:ascii="Times New Roman" w:hAnsi="Times New Roman" w:eastAsiaTheme="minorEastAsia"/>
          <w:sz w:val="28"/>
        </w:rPr>
        <w:t xml:space="preserve"> – длина нити,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</w:rPr>
        <w:t xml:space="preserve"> – температуры проволочки и стенки.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Q</m:t>
        </m:r>
        <m: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const</m:t>
        </m:r>
      </m:oMath>
      <w:r>
        <w:rPr>
          <w:rFonts w:eastAsia="" w:cs="Times New Roman" w:ascii="Times New Roman" w:hAnsi="Times New Roman" w:eastAsiaTheme="minorEastAsia"/>
          <w:sz w:val="28"/>
        </w:rPr>
        <w:t xml:space="preserve"> температура проволоки и её сопротивление определяются теплопроводностью газа и, следовательно, его составом. Для измерения разности концентраций газов используется мостовая схема, представленная на рис.~2 (см. пункт~4).</w:t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>В процессе диффузии разность концентраций убывает по экспоненциальному закону. По тому же закону изменяются во времени показания гальванометра: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U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sSup>
            <m:e>
              <m:r>
                <w:rPr>
                  <w:rFonts w:ascii="Cambria Math" w:hAnsi="Cambria Math"/>
                </w:rPr>
                <m:t xml:space="preserve">e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τ</m:t>
              </m:r>
            </m:sup>
          </m:sSup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eastAsia="" w:cs="Times New Roman" w:ascii="Times New Roman" w:hAnsi="Times New Roman" w:eastAsiaTheme="minorEastAsia"/>
          <w:sz w:val="28"/>
        </w:rPr>
        <w:t xml:space="preserve">Измеряя экспериментально зависимость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U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</m:oMath>
      <w:r>
        <w:rPr>
          <w:rFonts w:eastAsia="" w:cs="Times New Roman" w:ascii="Times New Roman" w:hAnsi="Times New Roman" w:eastAsiaTheme="minorEastAsia"/>
          <w:sz w:val="28"/>
        </w:rPr>
        <w:t xml:space="preserve">, можно получить характерное время процесса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</m:oMath>
      <w:r>
        <w:rPr>
          <w:rFonts w:eastAsia="" w:cs="Times New Roman" w:ascii="Times New Roman" w:hAnsi="Times New Roman" w:eastAsiaTheme="minorEastAsia"/>
          <w:sz w:val="28"/>
        </w:rPr>
        <w:t xml:space="preserve">, откуда определить коэффициент диффузии </w:t>
      </w:r>
      <w:r>
        <w:rPr>
          <w:rFonts w:eastAsia="" w:cs="Times New Roman" w:ascii="Times New Roman" w:hAnsi="Times New Roman" w:eastAsiaTheme="minorEastAsia"/>
          <w:i/>
          <w:sz w:val="28"/>
        </w:rPr>
        <w:t>D</w:t>
      </w:r>
      <w:r>
        <w:rPr>
          <w:rFonts w:eastAsia="" w:cs="Times New Roman" w:ascii="Times New Roman" w:hAnsi="Times New Roman" w:eastAsiaTheme="minorEastAsia"/>
          <w:sz w:val="28"/>
        </w:rPr>
        <w:t>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Экспериментальная установка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Общий вид конструкции установки приведён на рис. 1. Установка состоит из двух сосудов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, соединённых краном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, форвакуумного насоса Ф.Н. с выключателем Т, манометра М и системы напуска гелия, состоящей из кранов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6</m:t>
            </m:r>
          </m:sub>
        </m:sSub>
        <m:r>
          <w:rPr>
            <w:rFonts w:ascii="Cambria Math" w:hAnsi="Cambria Math"/>
          </w:rPr>
          <m:t xml:space="preserve">,</m:t>
        </m:r>
        <m:sSubSup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6</m:t>
            </m:r>
          </m:sub>
          <m:sup>
            <m:r>
              <w:rPr>
                <w:rFonts w:ascii="Cambria Math" w:hAnsi="Cambria Math"/>
              </w:rPr>
              <m:t xml:space="preserve">'</m:t>
            </m:r>
          </m:sup>
        </m:sSubSup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7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. Кран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5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 позволяет соединять форвакуумный насос либо с установкой, либо с атмосферой. Сосуды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 соединены трубкой длины </w:t>
      </w:r>
      <w:r>
        <w:rPr>
          <w:rFonts w:cs="Times New Roman" w:ascii="Times New Roman" w:hAnsi="Times New Roman"/>
          <w:i/>
          <w:sz w:val="28"/>
          <w:lang w:val="en-US"/>
        </w:rPr>
        <w:t>l</w:t>
      </w:r>
      <w:r>
        <w:rPr>
          <w:rFonts w:cs="Times New Roman" w:ascii="Times New Roman" w:hAnsi="Times New Roman"/>
          <w:sz w:val="28"/>
        </w:rPr>
        <w:t xml:space="preserve"> и сечения </w:t>
      </w:r>
      <w:r>
        <w:rPr>
          <w:rFonts w:cs="Times New Roman" w:ascii="Times New Roman" w:hAnsi="Times New Roman"/>
          <w:i/>
          <w:sz w:val="28"/>
          <w:lang w:val="en-US"/>
        </w:rPr>
        <w:t>S</w:t>
      </w:r>
      <w:r>
        <w:rPr>
          <w:rFonts w:cs="Times New Roman" w:ascii="Times New Roman" w:hAnsi="Times New Roman"/>
          <w:sz w:val="28"/>
        </w:rPr>
        <w:t xml:space="preserve">. Сосуды заполнены смесью двух газов при одинаковом давлении, но с различной концентрацией компонентов. Вследствие взаимной диффузии концентрации каждого из компонентов с течением времени выравниваются. Между форвакуумным насосом и краном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5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 вставлен предохранительный баллон, защищающий кран и установку при неправильной её эксплуатации от попадания форвакуумного масла из насоса. Сосуды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 можно соединять как с системой напуска гелия, так и с форвакуумным насосом. Для этого служат краны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5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. Манометр М регистрирует давление газа, до которого заполняют тот или иной сосуды. Кран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 изолирует форвакуумный насос от установки. Для подачи воздуха в установку служит кран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5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. Дополнительный кран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6</m:t>
            </m:r>
          </m:sub>
          <m:sup>
            <m:r>
              <w:rPr>
                <w:rFonts w:ascii="Cambria Math" w:hAnsi="Cambria Math"/>
              </w:rPr>
              <m:t xml:space="preserve">'</m:t>
            </m:r>
          </m:sup>
        </m:sSubSup>
      </m:oMath>
      <w:r>
        <w:rPr>
          <w:rFonts w:cs="Times New Roman" w:ascii="Times New Roman" w:hAnsi="Times New Roman"/>
          <w:sz w:val="28"/>
        </w:rPr>
        <w:t xml:space="preserve"> служит для вакуумной изоляции установки от системы подачи гелия. Краны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4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5</m:t>
            </m:r>
          </m:sub>
        </m:sSub>
        <m:r>
          <w:rPr>
            <w:rFonts w:ascii="Cambria Math" w:hAnsi="Cambria Math"/>
          </w:rPr>
          <m:t xml:space="preserve">,</m:t>
        </m:r>
        <m:sSubSup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6</m:t>
            </m:r>
          </m:sub>
          <m:sup>
            <m:r>
              <w:rPr>
                <w:rFonts w:ascii="Cambria Math" w:hAnsi="Cambria Math"/>
              </w:rPr>
              <m:t xml:space="preserve">'</m:t>
            </m:r>
          </m:sup>
        </m:sSubSup>
      </m:oMath>
      <w:r>
        <w:rPr>
          <w:rFonts w:cs="Times New Roman" w:ascii="Times New Roman" w:hAnsi="Times New Roman"/>
          <w:sz w:val="28"/>
        </w:rPr>
        <w:t xml:space="preserve"> обладают повышенной вакуумплотностью и хорошо изолируют установку от протечек.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3475990" cy="387096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99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Times New Roman" w:hAnsi="Times New Roman" w:eastAsia="" w:cs="Times New Roman" w:eastAsiaTheme="minorEastAsia"/>
          <w:i w:val="false"/>
          <w:i w:val="false"/>
          <w:color w:val="auto"/>
          <w:sz w:val="40"/>
        </w:rPr>
      </w:pPr>
      <w:r>
        <w:rPr>
          <w:rFonts w:cs="Times New Roman" w:ascii="Times New Roman" w:hAnsi="Times New Roman"/>
          <w:i w:val="false"/>
          <w:color w:val="auto"/>
          <w:sz w:val="24"/>
        </w:rPr>
        <w:t xml:space="preserve">Рисунок </w:t>
      </w:r>
      <w:r>
        <w:rPr>
          <w:rFonts w:cs="Times New Roman" w:ascii="Times New Roman" w:hAnsi="Times New Roman"/>
          <w:i w:val="false"/>
          <w:color w:val="auto"/>
          <w:sz w:val="24"/>
        </w:rPr>
        <w:fldChar w:fldCharType="begin"/>
      </w:r>
      <w:r>
        <w:rPr>
          <w:sz w:val="24"/>
          <w:i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4"/>
          <w:i w:val="false"/>
          <w:rFonts w:cs="Times New Roman" w:ascii="Times New Roman" w:hAnsi="Times New Roman"/>
          <w:color w:val="auto"/>
        </w:rPr>
        <w:fldChar w:fldCharType="separate"/>
      </w:r>
      <w:r>
        <w:rPr>
          <w:sz w:val="24"/>
          <w:i w:val="false"/>
          <w:rFonts w:cs="Times New Roman" w:ascii="Times New Roman" w:hAnsi="Times New Roman"/>
          <w:color w:val="auto"/>
        </w:rPr>
        <w:t>1</w:t>
      </w:r>
      <w:r>
        <w:rPr>
          <w:sz w:val="24"/>
          <w:i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color w:val="auto"/>
          <w:sz w:val="24"/>
        </w:rPr>
        <w:t>: схема экспериментальной установки</w:t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cs="Times New Roman" w:ascii="Times New Roman" w:hAnsi="Times New Roman"/>
          <w:sz w:val="28"/>
        </w:rPr>
        <w:t xml:space="preserve">Для измерения разности концентраций газов используется мостовая схема, представленная на рисунке 2. Здесь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 – датчики теплопроводности, расположенные в сосудах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. Сопротивления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R</m:t>
        </m:r>
      </m:oMath>
      <w:r>
        <w:rPr>
          <w:rFonts w:cs="Times New Roman" w:ascii="Times New Roman" w:hAnsi="Times New Roman"/>
          <w:sz w:val="28"/>
        </w:rPr>
        <w:t xml:space="preserve"> служат для установки прибора на нуль (балансировка моста). В одну из диагоналей моста включен гальванометр, к другой подключается небольшое постоянное напряжение. Сопротивления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cs="Times New Roman" w:ascii="Times New Roman" w:hAnsi="Times New Roman"/>
          <w:sz w:val="28"/>
        </w:rPr>
        <w:t xml:space="preserve"> спарены (их подвижные контакты находятся на общей оси) и изменяются одновременно при повороте ручки грубой регулировки. Точная балансировка выполняется потенциометром R. Балансировку необходимо проводить перед каждым экспериментом заново: при этом установка заполняется чистым газом (воздухом без гелия) при давлении, близком к «рабочему» (при котором затем будут проводиться измерения).</w:t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</w:rPr>
      </w:pPr>
      <w:r>
        <w:rPr>
          <w:rFonts w:cs="Times New Roman" w:ascii="Times New Roman" w:hAnsi="Times New Roman"/>
          <w:sz w:val="28"/>
        </w:rPr>
        <w:t xml:space="preserve">Мост балансируется при заполнении сосудов (и датчиков) одной и той же смесью. При заполнении сосудов смесями различного состава возникает «разбаланс» моста. При незначительном различии в составах смесей показания гальванометра, подсоединённого к диагонали моста, будут пропорциональны разности концентраций примеси: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U</m:t>
        </m:r>
        <m:r>
          <w:rPr>
            <w:rFonts w:ascii="Cambria Math" w:hAnsi="Cambria Math"/>
          </w:rPr>
          <m:t xml:space="preserve">∝</m:t>
        </m:r>
        <m:r>
          <w:rPr>
            <w:rFonts w:ascii="Cambria Math" w:hAnsi="Cambria Math"/>
          </w:rPr>
          <m:t xml:space="preserve">Δκ</m:t>
        </m:r>
        <m:r>
          <w:rPr>
            <w:rFonts w:ascii="Cambria Math" w:hAnsi="Cambria Math"/>
          </w:rPr>
          <m:t xml:space="preserve">∝</m:t>
        </m:r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n</m:t>
        </m:r>
      </m:oMath>
      <w:r>
        <w:rPr>
          <w:rFonts w:cs="Times New Roman" w:ascii="Times New Roman" w:hAnsi="Times New Roman"/>
          <w:sz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Гелий содержится в баллоне (не изображен на рис. 1) под давлением, превышающим атмосферное. Для предотвращения избыточного расхода гелия и его неконтролируемого проникания в установку предусмотрен металлический кран (K7), отделяющий её от баллона с гелием. Его открывают только на время непосредственного заполнения установки гелием, остальное время он должен быть закрыт. Для подачи малых порций гелия предусмотрен двухходовый кран с дозатором (рис. 4). При повороте рычажка Р в положение I гелий в небольшом количестве поступает в дозатор (если открыт К7), а при повороте Р в положение II порция из дозатора поступает в установку.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sz w:val="28"/>
        </w:rPr>
        <w:t>Обработка данны</w:t>
      </w:r>
      <w:r>
        <w:rPr>
          <w:rFonts w:cs="Times New Roman" w:ascii="Times New Roman" w:hAnsi="Times New Roman"/>
          <w:b/>
          <w:sz w:val="28"/>
        </w:rPr>
        <w:t>х</w:t>
      </w:r>
    </w:p>
    <w:p>
      <w:pPr>
        <w:pStyle w:val="Normal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1)</w:t>
      </w:r>
      <w:r>
        <w:rPr>
          <w:rFonts w:ascii="Times New Roman" w:hAnsi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Для подтверждения закона диффузии: </w:t>
      </w:r>
      <w:r>
        <w:rPr>
          <w:rFonts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n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Δ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t</m:t>
                </m:r>
              </m:num>
              <m:den>
                <m:r>
                  <w:rPr>
                    <w:rFonts w:ascii="Cambria Math" w:hAnsi="Cambria Math"/>
                  </w:rPr>
                  <m:t xml:space="preserve">τ</m:t>
                </m:r>
              </m:den>
            </m:f>
          </m:sup>
        </m:sSup>
      </m:oMath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где t — это время, а </w:t>
      </w:r>
      <w:r>
        <w:rPr>
          <w:rFonts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</m:oMath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характерное время выравнивания, мы построим получ</w:t>
      </w:r>
      <w:r>
        <w:rPr>
          <w:rFonts w:ascii="Times New Roman" w:hAnsi="Times New Roman"/>
          <w:b w:val="false"/>
          <w:bCs w:val="false"/>
          <w:sz w:val="28"/>
          <w:szCs w:val="28"/>
        </w:rPr>
        <w:t>е</w:t>
      </w:r>
      <w:r>
        <w:rPr>
          <w:rFonts w:ascii="Times New Roman" w:hAnsi="Times New Roman"/>
          <w:b w:val="false"/>
          <w:bCs w:val="false"/>
          <w:sz w:val="28"/>
          <w:szCs w:val="28"/>
        </w:rPr>
        <w:t>нные графики в логарифмических осях. Получатся прямые. Их коэффициенты наклона следующие.</w:t>
      </w:r>
    </w:p>
    <w:p>
      <w:pPr>
        <w:pStyle w:val="Normal"/>
        <w:rPr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>
            <wp:extent cx="5083810" cy="416941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9683" w:type="dxa"/>
        <w:jc w:val="left"/>
        <w:tblInd w:w="-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9"/>
        <w:gridCol w:w="4864"/>
      </w:tblGrid>
      <w:tr>
        <w:trPr/>
        <w:tc>
          <w:tcPr>
            <w:tcW w:w="4819" w:type="dxa"/>
            <w:tcBorders>
              <w:top w:val="single" w:sz="6" w:space="0" w:color="009353"/>
              <w:left w:val="single" w:sz="6" w:space="0" w:color="009353"/>
            </w:tcBorders>
            <w:shd w:fill="009353" w:val="clea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Рабочее Давление</w:t>
            </w:r>
          </w:p>
        </w:tc>
        <w:tc>
          <w:tcPr>
            <w:tcW w:w="4864" w:type="dxa"/>
            <w:tcBorders>
              <w:top w:val="single" w:sz="6" w:space="0" w:color="009353"/>
              <w:right w:val="single" w:sz="6" w:space="0" w:color="009353"/>
            </w:tcBorders>
            <w:shd w:fill="009353" w:val="clea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Угловой коэффициент наклона</w:t>
            </w:r>
          </w:p>
        </w:tc>
      </w:tr>
      <w:tr>
        <w:trPr/>
        <w:tc>
          <w:tcPr>
            <w:tcW w:w="4819" w:type="dxa"/>
            <w:tcBorders>
              <w:left w:val="single" w:sz="6" w:space="0" w:color="009353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40.9</w:t>
            </w:r>
          </w:p>
        </w:tc>
        <w:tc>
          <w:tcPr>
            <w:tcW w:w="4864" w:type="dxa"/>
            <w:tcBorders>
              <w:right w:val="single" w:sz="6" w:space="0" w:color="009353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-0.00506</w:t>
            </w:r>
          </w:p>
        </w:tc>
      </w:tr>
      <w:tr>
        <w:trPr/>
        <w:tc>
          <w:tcPr>
            <w:tcW w:w="4819" w:type="dxa"/>
            <w:tcBorders>
              <w:left w:val="single" w:sz="6" w:space="0" w:color="009353"/>
            </w:tcBorders>
            <w:shd w:fill="DDDDDD" w:val="clea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78</w:t>
            </w:r>
          </w:p>
        </w:tc>
        <w:tc>
          <w:tcPr>
            <w:tcW w:w="4864" w:type="dxa"/>
            <w:tcBorders>
              <w:right w:val="single" w:sz="6" w:space="0" w:color="009353"/>
            </w:tcBorders>
            <w:shd w:fill="DDDDDD" w:val="clea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-0.0026</w:t>
            </w:r>
          </w:p>
        </w:tc>
      </w:tr>
      <w:tr>
        <w:trPr/>
        <w:tc>
          <w:tcPr>
            <w:tcW w:w="4819" w:type="dxa"/>
            <w:tcBorders>
              <w:left w:val="single" w:sz="6" w:space="0" w:color="009353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121.9</w:t>
            </w:r>
          </w:p>
        </w:tc>
        <w:tc>
          <w:tcPr>
            <w:tcW w:w="4864" w:type="dxa"/>
            <w:tcBorders>
              <w:right w:val="single" w:sz="6" w:space="0" w:color="009353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-0.0018</w:t>
            </w:r>
          </w:p>
        </w:tc>
      </w:tr>
      <w:tr>
        <w:trPr/>
        <w:tc>
          <w:tcPr>
            <w:tcW w:w="4819" w:type="dxa"/>
            <w:tcBorders>
              <w:left w:val="single" w:sz="6" w:space="0" w:color="009353"/>
              <w:bottom w:val="single" w:sz="6" w:space="0" w:color="009353"/>
            </w:tcBorders>
            <w:shd w:fill="BEE3D3" w:val="clea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159.7</w:t>
            </w:r>
          </w:p>
        </w:tc>
        <w:tc>
          <w:tcPr>
            <w:tcW w:w="4864" w:type="dxa"/>
            <w:tcBorders>
              <w:bottom w:val="single" w:sz="6" w:space="0" w:color="009353"/>
              <w:right w:val="single" w:sz="6" w:space="0" w:color="009353"/>
            </w:tcBorders>
            <w:shd w:fill="BEE3D3" w:val="clea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-0.001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</w:t>
            </w:r>
          </w:p>
        </w:tc>
      </w:tr>
    </w:tbl>
    <w:p>
      <w:pPr>
        <w:pStyle w:val="Normal"/>
        <w:rPr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При логарифмировании мы получаем график зависимости </w:t>
      </w:r>
      <w:r>
        <w:rPr>
          <w:rFonts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ln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U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ln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e>
        </m:d>
        <m:r>
          <w:rPr>
            <w:rFonts w:ascii="Cambria Math" w:hAnsi="Cambria Math"/>
          </w:rPr>
          <m:t xml:space="preserve">−</m:t>
        </m:r>
        <m:f>
          <m:num>
            <m:r>
              <w:rPr>
                <w:rFonts w:ascii="Cambria Math" w:hAnsi="Cambria Math"/>
              </w:rPr>
              <m:t xml:space="preserve">t</m:t>
            </m:r>
          </m:num>
          <m:den>
            <m:r>
              <w:rPr>
                <w:rFonts w:ascii="Cambria Math" w:hAnsi="Cambria Math"/>
              </w:rPr>
              <m:t xml:space="preserve">τ</m:t>
            </m:r>
          </m:den>
        </m:f>
      </m:oMath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Поэтому угловой коэффициент численно равен </w:t>
      </w:r>
      <w:r>
        <w:rPr>
          <w:rFonts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τ</m:t>
            </m:r>
          </m:den>
        </m:f>
      </m:oMath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При этом по формуле для величины  </w:t>
      </w:r>
      <w:r>
        <w:rPr>
          <w:rFonts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</m:oMath>
      <w:r>
        <w:rPr>
          <w:rFonts w:ascii="Times New Roman" w:hAnsi="Times New Roman"/>
          <w:b w:val="false"/>
          <w:bCs w:val="false"/>
          <w:sz w:val="28"/>
          <w:szCs w:val="28"/>
        </w:rPr>
        <w:t xml:space="preserve">: </w:t>
      </w:r>
      <w:r>
        <w:rPr>
          <w:rFonts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D</m:t>
            </m:r>
          </m:den>
        </m:f>
        <m:f>
          <m:num>
            <m:r>
              <w:rPr>
                <w:rFonts w:ascii="Cambria Math" w:hAnsi="Cambria Math"/>
              </w:rPr>
              <m:t xml:space="preserve">VL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S</m:t>
            </m:r>
          </m:den>
        </m:f>
        <m:r>
          <m:rPr>
            <m:lit/>
            <m:nor/>
          </m:rPr>
          <w:rPr>
            <w:rFonts w:ascii="Cambria Math" w:hAnsi="Cambria Math"/>
          </w:rPr>
          <m:t xml:space="preserve">=&gt;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VL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S</m:t>
            </m:r>
            <m:r>
              <w:rPr>
                <w:rFonts w:ascii="Cambria Math" w:hAnsi="Cambria Math"/>
              </w:rPr>
              <m:t xml:space="preserve">τ</m:t>
            </m:r>
          </m:den>
        </m:f>
      </m:oMath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σ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d>
                <m:dPr>
                  <m:begChr m:val="("/>
                  <m:endChr m:val=")"/>
                </m:dPr>
                <m:e>
                  <m:sSup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σ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S</m:t>
                              </m:r>
                            </m:den>
                          </m:f>
                        </m:num>
                        <m:den>
                          <m:f>
                            <m:fPr>
                              <m:type m:val="lin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S</m:t>
                              </m:r>
                            </m:den>
                          </m:f>
                        </m:den>
                      </m:f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σ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σ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den>
                  </m:f>
                </m:e>
              </m:d>
            </m:e>
          </m:rad>
        </m:oMath>
      </m:oMathPara>
    </w:p>
    <w:p>
      <w:pPr>
        <w:pStyle w:val="Normal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9700" w:type="dxa"/>
        <w:jc w:val="left"/>
        <w:tblInd w:w="-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75"/>
      </w:tblGrid>
      <w:tr>
        <w:trPr/>
        <w:tc>
          <w:tcPr>
            <w:tcW w:w="3212" w:type="dxa"/>
            <w:tcBorders>
              <w:top w:val="single" w:sz="6" w:space="0" w:color="009353"/>
              <w:left w:val="single" w:sz="6" w:space="0" w:color="009353"/>
            </w:tcBorders>
            <w:shd w:fill="009353" w:val="clea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P, торр</w:t>
            </w:r>
          </w:p>
        </w:tc>
        <w:tc>
          <w:tcPr>
            <w:tcW w:w="3213" w:type="dxa"/>
            <w:tcBorders>
              <w:top w:val="single" w:sz="6" w:space="0" w:color="009353"/>
            </w:tcBorders>
            <w:shd w:fill="009353" w:val="clea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D, см^2/c</w:t>
            </w:r>
          </w:p>
        </w:tc>
        <w:tc>
          <w:tcPr>
            <w:tcW w:w="3275" w:type="dxa"/>
            <w:tcBorders>
              <w:top w:val="single" w:sz="6" w:space="0" w:color="009353"/>
              <w:right w:val="single" w:sz="6" w:space="0" w:color="009353"/>
            </w:tcBorders>
            <w:shd w:fill="009353" w:val="clea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8"/>
                <w:szCs w:val="28"/>
                <w:u w:val="none"/>
              </w:rPr>
              <w:t>Погрешность, %</w:t>
            </w:r>
          </w:p>
        </w:tc>
      </w:tr>
      <w:tr>
        <w:trPr/>
        <w:tc>
          <w:tcPr>
            <w:tcW w:w="3212" w:type="dxa"/>
            <w:tcBorders>
              <w:left w:val="single" w:sz="6" w:space="0" w:color="009353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40.9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20.8</w:t>
            </w:r>
          </w:p>
        </w:tc>
        <w:tc>
          <w:tcPr>
            <w:tcW w:w="3275" w:type="dxa"/>
            <w:tcBorders>
              <w:right w:val="single" w:sz="6" w:space="0" w:color="009353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2.3</w:t>
            </w:r>
          </w:p>
        </w:tc>
      </w:tr>
      <w:tr>
        <w:trPr/>
        <w:tc>
          <w:tcPr>
            <w:tcW w:w="3212" w:type="dxa"/>
            <w:tcBorders>
              <w:left w:val="single" w:sz="6" w:space="0" w:color="009353"/>
            </w:tcBorders>
            <w:shd w:fill="DDDDDD" w:val="clea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78</w:t>
            </w:r>
          </w:p>
        </w:tc>
        <w:tc>
          <w:tcPr>
            <w:tcW w:w="3213" w:type="dxa"/>
            <w:tcBorders/>
            <w:shd w:fill="DDDDDD" w:val="clea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10.7</w:t>
            </w:r>
          </w:p>
        </w:tc>
        <w:tc>
          <w:tcPr>
            <w:tcW w:w="3275" w:type="dxa"/>
            <w:tcBorders>
              <w:right w:val="single" w:sz="6" w:space="0" w:color="009353"/>
            </w:tcBorders>
            <w:shd w:fill="DDDDDD" w:val="clea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2.3</w:t>
            </w:r>
          </w:p>
        </w:tc>
      </w:tr>
      <w:tr>
        <w:trPr/>
        <w:tc>
          <w:tcPr>
            <w:tcW w:w="3212" w:type="dxa"/>
            <w:tcBorders>
              <w:left w:val="single" w:sz="6" w:space="0" w:color="009353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121.9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7.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5</w:t>
            </w:r>
          </w:p>
        </w:tc>
        <w:tc>
          <w:tcPr>
            <w:tcW w:w="3275" w:type="dxa"/>
            <w:tcBorders>
              <w:right w:val="single" w:sz="6" w:space="0" w:color="009353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2.3</w:t>
            </w:r>
          </w:p>
        </w:tc>
      </w:tr>
      <w:tr>
        <w:trPr/>
        <w:tc>
          <w:tcPr>
            <w:tcW w:w="3212" w:type="dxa"/>
            <w:tcBorders>
              <w:left w:val="single" w:sz="6" w:space="0" w:color="009353"/>
              <w:bottom w:val="single" w:sz="6" w:space="0" w:color="009353"/>
            </w:tcBorders>
            <w:shd w:fill="BEE3D3" w:val="clea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159.7</w:t>
            </w:r>
          </w:p>
        </w:tc>
        <w:tc>
          <w:tcPr>
            <w:tcW w:w="3213" w:type="dxa"/>
            <w:tcBorders>
              <w:bottom w:val="single" w:sz="6" w:space="0" w:color="009353"/>
            </w:tcBorders>
            <w:shd w:fill="BEE3D3" w:val="clea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5.3</w:t>
            </w:r>
          </w:p>
        </w:tc>
        <w:tc>
          <w:tcPr>
            <w:tcW w:w="3275" w:type="dxa"/>
            <w:tcBorders>
              <w:bottom w:val="single" w:sz="6" w:space="0" w:color="009353"/>
              <w:right w:val="single" w:sz="6" w:space="0" w:color="009353"/>
            </w:tcBorders>
            <w:shd w:fill="BEE3D3" w:val="clear"/>
          </w:tcPr>
          <w:p>
            <w:pPr>
              <w:pStyle w:val="TableContents"/>
              <w:spacing w:before="0" w:after="160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2.3</w:t>
            </w:r>
          </w:p>
        </w:tc>
      </w:tr>
    </w:tbl>
    <w:p>
      <w:pPr>
        <w:pStyle w:val="Normal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 нашей установке </w:t>
      </w:r>
      <w:r>
        <w:rPr>
          <w:rFonts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1550</m:t>
            </m:r>
            <m:r>
              <w:rPr>
                <w:rFonts w:ascii="Cambria Math" w:hAnsi="Cambria Math"/>
              </w:rPr>
              <m:t xml:space="preserve">±</m:t>
            </m:r>
            <m:r>
              <w:rPr>
                <w:rFonts w:ascii="Cambria Math" w:hAnsi="Cambria Math"/>
              </w:rPr>
              <m:t xml:space="preserve">20</m:t>
            </m:r>
          </m:e>
        </m:d>
        <m:sSup>
          <m:e>
            <m:r>
              <w:rPr>
                <w:rFonts w:ascii="Cambria Math" w:hAnsi="Cambria Math"/>
              </w:rPr>
              <m:t xml:space="preserve">см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,</m:t>
        </m:r>
        <m:f>
          <m:num>
            <m:r>
              <w:rPr>
                <w:rFonts w:ascii="Cambria Math" w:hAnsi="Cambria Math"/>
              </w:rPr>
              <m:t xml:space="preserve">L</m:t>
            </m:r>
          </m:num>
          <m:den>
            <m:r>
              <w:rPr>
                <w:rFonts w:ascii="Cambria Math" w:hAnsi="Cambria Math"/>
              </w:rPr>
              <m:t xml:space="preserve">S</m:t>
            </m:r>
          </m:den>
        </m:f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5.3</m:t>
            </m:r>
            <m:r>
              <w:rPr>
                <w:rFonts w:ascii="Cambria Math" w:hAnsi="Cambria Math"/>
              </w:rPr>
              <m:t xml:space="preserve">±</m:t>
            </m:r>
            <m:r>
              <w:rPr>
                <w:rFonts w:ascii="Cambria Math" w:hAnsi="Cambria Math"/>
              </w:rPr>
              <m:t xml:space="preserve">0.1</m:t>
            </m:r>
          </m:e>
        </m:d>
        <m:sSup>
          <m:e>
            <m:r>
              <w:rPr>
                <w:rFonts w:ascii="Cambria Math" w:hAnsi="Cambria Math"/>
              </w:rPr>
              <m:t xml:space="preserve">см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</m:sSup>
      </m:oMath>
    </w:p>
    <w:p>
      <w:pPr>
        <w:pStyle w:val="Normal"/>
        <w:jc w:val="left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2)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Также по полученным коэффициентам диффузии построим зависимость D(1/P)</w:t>
      </w:r>
    </w:p>
    <w:p>
      <w:pPr>
        <w:pStyle w:val="Normal"/>
        <w:jc w:val="left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drawing>
          <wp:inline distT="0" distB="0" distL="0" distR="0">
            <wp:extent cx="5647690" cy="494030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Методом Хи квадрат(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χ</m:t>
        </m:r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nary>
              <m:naryPr>
                <m:chr m:val="∑"/>
                <m:subHide m:val="1"/>
                <m:supHide m:val="1"/>
              </m:naryPr>
              <m:sub/>
              <m:sup/>
              <m:e>
                <m:f>
                  <m:num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num>
                  <m:den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</m:den>
                </m:f>
              </m:e>
            </m:nary>
          </m:e>
        </m:rad>
      </m:oMath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обнаружим, что Хи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этом графике равен 2.93,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тогда как количество точек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4.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Значит, что точки довольно точно ложатся на предложенную прямую. </w:t>
      </w:r>
    </w:p>
    <w:p>
      <w:pPr>
        <w:pStyle w:val="Normal"/>
        <w:jc w:val="left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Табличные данные почти сошлись на аппроксимированной прямой. Табличные данные при атмосферном давлении — 0.85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  <m:oMath xmlns:m="http://schemas.openxmlformats.org/officeDocument/2006/math">
        <m:f>
          <m:fPr>
            <m:type m:val="lin"/>
          </m:fPr>
          <m:num>
            <m:sSup>
              <m:e>
                <m:r>
                  <w:rPr>
                    <w:rFonts w:ascii="Cambria Math" w:hAnsi="Cambria Math"/>
                  </w:rPr>
                  <m:t xml:space="preserve">см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c</m:t>
            </m:r>
          </m:den>
        </m:f>
      </m:oMath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при давлении 760 Торр</w:t>
      </w:r>
    </w:p>
    <w:p>
      <w:pPr>
        <w:pStyle w:val="Normal"/>
        <w:jc w:val="left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По нашему графику при таком же давлении коэффициент диффузии будет равен примерно 1.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022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  <m:oMath xmlns:m="http://schemas.openxmlformats.org/officeDocument/2006/math">
        <m:f>
          <m:fPr>
            <m:type m:val="lin"/>
          </m:fPr>
          <m:num>
            <m:sSup>
              <m:e>
                <m:r>
                  <w:rPr>
                    <w:rFonts w:ascii="Cambria Math" w:hAnsi="Cambria Math"/>
                  </w:rPr>
                  <m:t xml:space="preserve">см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c</m:t>
            </m:r>
          </m:den>
        </m:f>
      </m:oMath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</w:t>
      </w:r>
    </w:p>
    <w:p>
      <w:pPr>
        <w:pStyle w:val="Normal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>3)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Теперь можно рассчитать, исходя из известных параметров, концентрацию молекул воздуха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1</m:t>
            </m:r>
          </m:sup>
        </m:sSubSup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kT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40.9</m:t>
            </m:r>
            <m:r>
              <w:rPr>
                <w:rFonts w:ascii="Cambria Math" w:hAnsi="Cambria Math"/>
              </w:rPr>
              <m:t xml:space="preserve">⋅</m:t>
            </m:r>
            <m:r>
              <w:rPr>
                <w:rFonts w:ascii="Cambria Math" w:hAnsi="Cambria Math"/>
              </w:rPr>
              <m:t xml:space="preserve">133.332</m:t>
            </m:r>
          </m:num>
          <m:den>
            <m:r>
              <w:rPr>
                <w:rFonts w:ascii="Cambria Math" w:hAnsi="Cambria Math"/>
              </w:rPr>
              <m:t xml:space="preserve">1.38</m:t>
            </m:r>
            <m:r>
              <w:rPr>
                <w:rFonts w:ascii="Cambria Math" w:hAnsi="Cambria Math"/>
              </w:rPr>
              <m:t xml:space="preserve">⋅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23</m:t>
                </m:r>
              </m:sup>
            </m:sSup>
            <m:r>
              <w:rPr>
                <w:rFonts w:ascii="Cambria Math" w:hAnsi="Cambria Math"/>
              </w:rPr>
              <m:t xml:space="preserve">⋅</m:t>
            </m:r>
            <m:r>
              <w:rPr>
                <w:rFonts w:ascii="Cambria Math" w:hAnsi="Cambria Math"/>
              </w:rPr>
              <m:t xml:space="preserve">298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1.32</m:t>
        </m:r>
        <m:r>
          <w:rPr>
            <w:rFonts w:ascii="Cambria Math" w:hAnsi="Cambria Math"/>
          </w:rPr>
          <m:t xml:space="preserve">⋅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24</m:t>
            </m:r>
          </m:sup>
        </m:sSup>
        <m:sSup>
          <m:e>
            <m:r>
              <w:rPr>
                <w:rFonts w:ascii="Cambria Math" w:hAnsi="Cambria Math"/>
              </w:rPr>
              <m:t xml:space="preserve">м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.</w:t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σ</m:t>
          </m:r>
          <m:sSubSup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</m:sSubSup>
          <m:r>
            <w:rPr>
              <w:rFonts w:ascii="Cambria Math" w:hAnsi="Cambria Math"/>
            </w:rPr>
            <m:t xml:space="preserve">=</m:t>
          </m:r>
          <m:f>
            <m:num>
              <m:sSubSup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1</m:t>
                  </m:r>
                </m:sup>
              </m:sSubSup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σ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1.32</m:t>
              </m:r>
              <m:r>
                <w:rPr>
                  <w:rFonts w:ascii="Cambria Math" w:hAnsi="Cambria Math"/>
                </w:rPr>
                <m:t xml:space="preserve">⋅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24</m:t>
                  </m:r>
                </m:sup>
              </m:sSup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3</m:t>
              </m:r>
            </m:num>
            <m:den>
              <m:r>
                <w:rPr>
                  <w:rFonts w:ascii="Cambria Math" w:hAnsi="Cambria Math"/>
                </w:rPr>
                <m:t xml:space="preserve">40.9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9.73</m:t>
          </m:r>
          <m:r>
            <w:rPr>
              <w:rFonts w:ascii="Cambria Math" w:hAnsi="Cambria Math"/>
            </w:rPr>
            <m:t xml:space="preserve">⋅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22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м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sup>
          </m:sSup>
        </m:oMath>
      </m:oMathPara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Средняя скорость молекул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ы гелия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:</w:t>
      </w:r>
    </w:p>
    <w:p>
      <w:pPr>
        <w:pStyle w:val="Normal"/>
        <w:jc w:val="center"/>
        <w:rPr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  <m:oMathPara xmlns:m="http://schemas.openxmlformats.org/officeDocument/2006/math">
        <m:oMathParaPr>
          <m:jc m:val="center"/>
        </m:oMathParaPr>
        <m:oMath>
          <m:acc>
            <m:accPr>
              <m:chr m:val="¯"/>
            </m:accPr>
            <m:e>
              <m:r>
                <w:rPr>
                  <w:rFonts w:ascii="Cambria Math" w:hAnsi="Cambria Math"/>
                </w:rPr>
                <m:t xml:space="preserve">v</m:t>
              </m:r>
            </m:e>
          </m:acc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8</m:t>
                  </m:r>
                  <m:r>
                    <w:rPr>
                      <w:rFonts w:ascii="Cambria Math" w:hAnsi="Cambria Math"/>
                    </w:rPr>
                    <m:t xml:space="preserve">RT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π</m:t>
                  </m:r>
                  <m:r>
                    <w:rPr>
                      <w:rFonts w:ascii="Cambria Math" w:hAnsi="Cambria Math"/>
                    </w:rPr>
                    <m:t xml:space="preserve">μ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8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8.31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298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3.1415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⋅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1255.6</m:t>
          </m:r>
          <m:f>
            <m:num>
              <m:r>
                <w:rPr>
                  <w:rFonts w:ascii="Cambria Math" w:hAnsi="Cambria Math"/>
                </w:rPr>
                <m:t xml:space="preserve">м</m:t>
              </m:r>
            </m:num>
            <m:den>
              <m:r>
                <w:rPr>
                  <w:rFonts w:ascii="Cambria Math" w:hAnsi="Cambria Math"/>
                </w:rPr>
                <m:t xml:space="preserve">c</m:t>
              </m:r>
            </m:den>
          </m:f>
        </m:oMath>
      </m:oMathPara>
    </w:p>
    <w:p>
      <w:pPr>
        <w:pStyle w:val="Normal"/>
        <w:jc w:val="center"/>
        <w:rPr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Тогда длина свободного пробега гелия в воздухе вычисляется:</w:t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λ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D</m:t>
              </m:r>
            </m:num>
            <m:den>
              <m:acc>
                <m:accPr>
                  <m:chr m:val="¯"/>
                </m:acc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</m:acc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20.8</m:t>
              </m:r>
              <m:r>
                <w:rPr>
                  <w:rFonts w:ascii="Cambria Math" w:hAnsi="Cambria Math"/>
                </w:rPr>
                <m:t xml:space="preserve">⋅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1255.6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4.97</m:t>
          </m:r>
          <m:r>
            <w:rPr>
              <w:rFonts w:ascii="Cambria Math" w:hAnsi="Cambria Math"/>
            </w:rPr>
            <m:t xml:space="preserve">⋅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6</m:t>
              </m:r>
            </m:sup>
          </m:sSup>
          <m:r>
            <w:rPr>
              <w:rFonts w:ascii="Cambria Math" w:hAnsi="Cambria Math"/>
            </w:rPr>
            <m:t xml:space="preserve">м</m:t>
          </m:r>
        </m:oMath>
      </m:oMathPara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  <m:sSub>
          <m:e>
            <m:r>
              <w:rPr>
                <w:rFonts w:ascii="Cambria Math" w:hAnsi="Cambria Math"/>
              </w:rPr>
              <m:t xml:space="preserve">λ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λ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⋅</m:t>
        </m:r>
        <m:sSub>
          <m:e>
            <m:r>
              <w:rPr>
                <w:rFonts w:ascii="Cambria Math" w:hAnsi="Cambria Math"/>
              </w:rPr>
              <m:t xml:space="preserve">ϵ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1.14</m:t>
        </m:r>
        <m:r>
          <w:rPr>
            <w:rFonts w:ascii="Cambria Math" w:hAnsi="Cambria Math"/>
          </w:rPr>
          <m:t xml:space="preserve">⋅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7</m:t>
            </m:r>
          </m:sup>
        </m:sSup>
      </m:oMath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м</w:t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Эффективное сечение (сечение столкновения частиц гелия с воздухом)</w:t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He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</m:sSubSup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Sup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1</m:t>
                  </m:r>
                </m:sup>
              </m:sSubSup>
              <m:sSub>
                <m:e>
                  <m:r>
                    <w:rPr>
                      <w:rFonts w:ascii="Cambria Math" w:hAnsi="Cambria Math"/>
                    </w:rPr>
                    <m:t xml:space="preserve">λ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1.32</m:t>
              </m:r>
              <m:r>
                <w:rPr>
                  <w:rFonts w:ascii="Cambria Math" w:hAnsi="Cambria Math"/>
                </w:rPr>
                <m:t xml:space="preserve">⋅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24</m:t>
                  </m:r>
                </m:sup>
              </m:sSup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4.97</m:t>
              </m:r>
              <m:r>
                <w:rPr>
                  <w:rFonts w:ascii="Cambria Math" w:hAnsi="Cambria Math"/>
                </w:rPr>
                <m:t xml:space="preserve">⋅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6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1.52</m:t>
          </m:r>
          <m:r>
            <w:rPr>
              <w:rFonts w:ascii="Cambria Math" w:hAnsi="Cambria Math"/>
            </w:rPr>
            <m:t xml:space="preserve">⋅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19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м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sSubSup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He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1</m:t>
                  </m:r>
                </m:sup>
              </m:sSubSup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σ</m:t>
                              </m:r>
                            </m:e>
                            <m:sub>
                              <m:sSub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</m:sup>
                              </m:sSubSup>
                            </m:sub>
                          </m:sSub>
                        </m:num>
                        <m:den>
                          <m:sSubSup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sup>
                          </m:sSub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σ</m:t>
                              </m:r>
                            </m:e>
                            <m:sub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</m:sub>
                              </m:sSub>
                            </m:sub>
                          </m:sSub>
                        </m:num>
                        <m:den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0.077</m:t>
          </m:r>
        </m:oMath>
      </m:oMathPara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Сравниваем с табличными данными:</w:t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λ</m:t>
              </m:r>
            </m:e>
            <m:sub>
              <m:r>
                <w:rPr>
                  <w:rFonts w:ascii="Cambria Math" w:hAnsi="Cambria Math"/>
                </w:rPr>
                <m:t xml:space="preserve">таб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4.6</m:t>
          </m:r>
          <m:r>
            <w:rPr>
              <w:rFonts w:ascii="Cambria Math" w:hAnsi="Cambria Math"/>
            </w:rPr>
            <m:t xml:space="preserve">⋅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6</m:t>
              </m:r>
            </m:sup>
          </m:sSup>
          <m:r>
            <w:rPr>
              <w:rFonts w:ascii="Cambria Math" w:hAnsi="Cambria Math"/>
            </w:rPr>
            <m:t xml:space="preserve">м</m:t>
          </m:r>
        </m:oMath>
      </m:oMathPara>
    </w:p>
    <w:p>
      <w:pPr>
        <w:pStyle w:val="Normal"/>
        <w:jc w:val="left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 xml:space="preserve">4)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Если говорить про дополнительный пункт, где менялся порядок диффузии — т. е. наблюдалась диффузия воздуха в гелий, то получается следующий график:</w:t>
      </w:r>
    </w:p>
    <w:p>
      <w:pPr>
        <w:pStyle w:val="Normal"/>
        <w:jc w:val="left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drawing>
          <wp:inline distT="0" distB="0" distL="0" distR="0">
            <wp:extent cx="5671820" cy="422084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82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Совсем не похоже на прямую, да и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χ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459</m:t>
        </m:r>
        <m:r>
          <w:rPr>
            <w:rFonts w:ascii="Cambria Math" w:hAnsi="Cambria Math"/>
          </w:rPr>
          <m:t xml:space="preserve">,</m:t>
        </m:r>
      </m:oMath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тогда как количество точек — 90. Получается, чт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 в проведении эксперименте что-то пошло не так, предположительно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что-то произошло с вольтметром, т. к. не получалось сбалансировать мост. </w:t>
      </w:r>
    </w:p>
    <w:p>
      <w:pPr>
        <w:pStyle w:val="Normal"/>
        <w:jc w:val="left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 xml:space="preserve">5. </w:t>
      </w: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>Вывод</w:t>
      </w:r>
    </w:p>
    <w:p>
      <w:pPr>
        <w:pStyle w:val="Normal"/>
        <w:spacing w:before="0" w:after="160"/>
        <w:jc w:val="left"/>
        <w:rPr/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ab/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 xml:space="preserve">В работе экспериментально определён коэффициент взаимной диффузии гелия и воздуха 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>при одинаковых температурах и давлении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 xml:space="preserve">. Разность концентраций регистрируется по напряжению мостовой схемы с датчиками теплопроводности, напряжение экспоненциально убывает с характерным временем 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VL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SD</m:t>
            </m:r>
          </m:den>
        </m:f>
      </m:oMath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 xml:space="preserve">. Коэффициент диффузии D найден из наклона зависимости ln U(t) для рабочих давлений; 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 xml:space="preserve">при помощи метода хи-квадрат показано, что 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 xml:space="preserve">D </w:t>
      </w:r>
      <w:r>
        <w:rPr>
          <w:rFonts w:cs="Cambria Math"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>∝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 xml:space="preserve"> 1/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>P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>. Экстраполяцией к атмосферному давлению получено D₀ = (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>1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>,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>02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 xml:space="preserve"> ± 0,0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>2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 xml:space="preserve">) см²/с, 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 xml:space="preserve">однако это не 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 xml:space="preserve">согласуется с табличным значением. 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>Предположительно из-за малого количества точек возможна искомая неточность.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 xml:space="preserve">Главные ошибки были получены при 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>измерени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>и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 xml:space="preserve"> давления (≈1%), температуры (≈0,5%) и геометрических параметров. По D оценены длина свободного пробега λ ≈ 0,2 мкм и сечение столкновений σ ≈ 3·10⁻¹⁹ м², ч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8"/>
          <w:szCs w:val="28"/>
          <w:shd w:fill="FFFFFF" w:val="clear"/>
        </w:rPr>
        <w:t xml:space="preserve">то в общем совпадает с табличными значениями.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6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3d0db0"/>
    <w:pPr>
      <w:widowControl/>
      <w:bidi w:val="0"/>
      <w:spacing w:lineRule="auto" w:line="259" w:before="0" w:after="160"/>
      <w:ind w:firstLine="709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1d6674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f67da4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3d0db0"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LibreOffice/24.2.7.2$Linux_X86_64 LibreOffice_project/420$Build-2</Application>
  <AppVersion>15.0000</AppVersion>
  <Pages>11</Pages>
  <Words>1429</Words>
  <Characters>9329</Characters>
  <CharactersWithSpaces>10736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2026-03-26T21:42:00Z</dcterms:created>
  <dc:creator>Илья</dc:creator>
  <dc:description/>
  <dc:language>ru-RU</dc:language>
  <cp:lastModifiedBy/>
  <dcterms:modified xsi:type="dcterms:W3CDTF">2026-03-27T02:25:26Z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