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" w:line="245" w:lineRule="auto"/>
      </w:pPr>
      <w:r>
        <w:rPr>
          <w:rFonts w:ascii="PingFang SC" w:hAnsi="PingFang SC" w:eastAsia="PingFang SC"/>
        </w:rPr>
        <w:t>陪训 PetCoach · AI 宠物行为训练教练</w:t>
      </w:r>
    </w:p>
    <w:p>
      <w:pPr>
        <w:spacing w:after="24" w:line="245" w:lineRule="auto"/>
      </w:pPr>
      <w:r>
        <w:rPr>
          <w:rFonts w:ascii="PingFang SC" w:hAnsi="PingFang SC" w:eastAsia="PingFang SC"/>
          <w:b/>
          <w:sz w:val="14"/>
        </w:rPr>
        <w:t>一句话：免费教程很多，但新手养狗人坚持不到训练见效；PetCoach 用 AI 把口语描述转成诊断、分级、分周计划和每日任务，并用本地打卡/次日提示演示“陪主人坚持”的最小闭环。</w:t>
      </w:r>
    </w:p>
    <w:p>
      <w:pPr>
        <w:pStyle w:val="Heading1"/>
        <w:spacing w:after="24" w:line="245" w:lineRule="auto"/>
      </w:pPr>
      <w:r>
        <w:rPr>
          <w:rFonts w:ascii="PingFang SC" w:hAnsi="PingFang SC" w:eastAsia="PingFang SC"/>
        </w:rPr>
        <w:t>① 机会判断</w:t>
      </w:r>
    </w:p>
    <w:p>
      <w:pPr>
        <w:spacing w:after="14"/>
        <w:ind w:left="125" w:hanging="79"/>
      </w:pPr>
      <w:r>
        <w:rPr>
          <w:rFonts w:ascii="PingFang SC" w:hAnsi="PingFang SC" w:eastAsia="PingFang SC"/>
          <w:sz w:val="14"/>
        </w:rPr>
        <w:t>• 目标用户：城市 90/00 后新手养狗人（狗 0-3 岁），被拆家、分离焦虑、乱尿、乱叫击穿。白皮书报道 90 后宠主 42.7%、00 后 26.3%。</w:t>
      </w:r>
    </w:p>
    <w:p>
      <w:pPr>
        <w:spacing w:after="14"/>
        <w:ind w:left="125" w:hanging="79"/>
      </w:pPr>
      <w:r>
        <w:rPr>
          <w:rFonts w:ascii="PingFang SC" w:hAnsi="PingFang SC" w:eastAsia="PingFang SC"/>
          <w:sz w:val="14"/>
        </w:rPr>
        <w:t>• 核心痛点：缺的不是方法，是坚持与反馈；训练常要数周至数月，线下训练动辄几千元，免费视频不个性化、无反馈。</w:t>
      </w:r>
    </w:p>
    <w:p>
      <w:pPr>
        <w:spacing w:after="14"/>
        <w:ind w:left="125" w:hanging="79"/>
      </w:pPr>
      <w:r>
        <w:rPr>
          <w:rFonts w:ascii="PingFang SC" w:hAnsi="PingFang SC" w:eastAsia="PingFang SC"/>
          <w:sz w:val="14"/>
        </w:rPr>
        <w:t>• 为什么现在：2025 城镇犬猫消费 3126 亿元，服务占比仅 6.5%；多模态 LLM 未来可做视频反馈，当前 Demo 先用文本模型跑通主线。核心风险：打卡 App 本身留存也差，必须用真实 D14 留存验证。</w:t>
      </w:r>
    </w:p>
    <w:p>
      <w:pPr>
        <w:pStyle w:val="Heading1"/>
        <w:spacing w:after="24" w:line="245" w:lineRule="auto"/>
      </w:pPr>
      <w:r>
        <w:rPr>
          <w:rFonts w:ascii="PingFang SC" w:hAnsi="PingFang SC" w:eastAsia="PingFang SC"/>
        </w:rPr>
        <w:t>② 用户证据（可核查链接 + 社群观察）</w:t>
      </w:r>
    </w:p>
    <w:p>
      <w:pPr>
        <w:spacing w:after="14"/>
        <w:ind w:left="125" w:hanging="79"/>
      </w:pPr>
      <w:r>
        <w:rPr>
          <w:rFonts w:ascii="PingFang SC" w:hAnsi="PingFang SC" w:eastAsia="PingFang SC"/>
          <w:sz w:val="14"/>
        </w:rPr>
        <w:t>• 公开链接：知乎分离焦虑讨论反复出现嚎叫、刨门、破坏等求助；央视网/CBNData/羊城晚报报道线下训练几千到上万元，基础服从普遍高于 3000 元，也有机构 5800 元/月；央视网白皮书报道 2025 城镇犬猫消费 3126 亿元、单犬年均 3006 元、服务占比 6.5%。</w:t>
      </w:r>
    </w:p>
    <w:p>
      <w:pPr>
        <w:spacing w:after="14"/>
        <w:ind w:left="125" w:hanging="79"/>
      </w:pPr>
      <w:r>
        <w:rPr>
          <w:rFonts w:ascii="PingFang SC" w:hAnsi="PingFang SC" w:eastAsia="PingFang SC"/>
          <w:sz w:val="14"/>
        </w:rPr>
        <w:t>• 小红书/淘宝真实评论（社群观察）：小红书用户“出门练习这个点，要等狗不叫了再回来，还是就是出门两分钟就回来，不管它叫不叫”；淘宝训犬课买家“之前还花了快一万块把他送去训狗基地，原本有好转了但是一出门还是被打回原形，疯狂拆家，有吃的也不吃，已经被投诉好几次了，讲真的这种狗已经想弃养了”。截图见仓库 evidence/ 目录。</w:t>
      </w:r>
    </w:p>
    <w:p>
      <w:pPr>
        <w:spacing w:after="14"/>
        <w:ind w:left="125" w:hanging="79"/>
      </w:pPr>
      <w:r>
        <w:rPr>
          <w:rFonts w:ascii="PingFang SC" w:hAnsi="PingFang SC" w:eastAsia="PingFang SC"/>
          <w:sz w:val="14"/>
        </w:rPr>
        <w:t>• 证据强度自陈：以上主要是公开网络资料/桌面调研和社群观察，尚未做一手访谈；“3-7 天放弃”仍是待验证假设。</w:t>
      </w:r>
    </w:p>
    <w:p>
      <w:pPr>
        <w:pStyle w:val="Heading1"/>
        <w:spacing w:after="24" w:line="245" w:lineRule="auto"/>
      </w:pPr>
      <w:r>
        <w:rPr>
          <w:rFonts w:ascii="PingFang SC" w:hAnsi="PingFang SC" w:eastAsia="PingFang SC"/>
        </w:rPr>
        <w:t>③ MVP 样例（可运行 Demo）</w:t>
      </w:r>
    </w:p>
    <w:p>
      <w:pPr>
        <w:spacing w:after="14"/>
        <w:ind w:left="125" w:hanging="79"/>
      </w:pPr>
      <w:r>
        <w:rPr>
          <w:rFonts w:ascii="PingFang SC" w:hAnsi="PingFang SC" w:eastAsia="PingFang SC"/>
          <w:sz w:val="14"/>
        </w:rPr>
        <w:t>• 三段式工作流：Stage1 结构化口语描述 -&gt; Stage2 行为根因诊断/严重度/医疗边界 -&gt; Stage3 生成 4-8 周训练计划、每日任务、成功标准、道具和安全红线。</w:t>
      </w:r>
    </w:p>
    <w:p>
      <w:pPr>
        <w:spacing w:after="14"/>
        <w:ind w:left="125" w:hanging="79"/>
      </w:pPr>
      <w:r>
        <w:rPr>
          <w:rFonts w:ascii="PingFang SC" w:hAnsi="PingFang SC" w:eastAsia="PingFang SC"/>
          <w:sz w:val="14"/>
        </w:rPr>
        <w:t>• 已完成：文本模型主线、mock/live 双模式、Zod 结构校验兜底、诊断卡、6 周计划、本地打卡、localStorage、基于完成率的规则化次日提示。</w:t>
      </w:r>
    </w:p>
    <w:p>
      <w:pPr>
        <w:spacing w:after="14"/>
        <w:ind w:left="125" w:hanging="79"/>
      </w:pPr>
      <w:r>
        <w:rPr>
          <w:rFonts w:ascii="PingFang SC" w:hAnsi="PingFang SC" w:eastAsia="PingFang SC"/>
          <w:sz w:val="14"/>
        </w:rPr>
        <w:t>• 诚实边界：当前“次日提示”是前端规则演示，不是 AI 视频反馈闭环；deepseek-chat 不读取图片/视频。</w:t>
      </w:r>
    </w:p>
    <w:p>
      <w:pPr>
        <w:pStyle w:val="Heading1"/>
        <w:spacing w:after="24" w:line="245" w:lineRule="auto"/>
      </w:pPr>
      <w:r>
        <w:rPr>
          <w:rFonts w:ascii="PingFang SC" w:hAnsi="PingFang SC" w:eastAsia="PingFang SC"/>
        </w:rPr>
        <w:t>④ 商业判断</w:t>
      </w:r>
    </w:p>
    <w:p>
      <w:pPr>
        <w:spacing w:after="14"/>
        <w:ind w:left="125" w:hanging="79"/>
      </w:pPr>
      <w:r>
        <w:rPr>
          <w:rFonts w:ascii="PingFang SC" w:hAnsi="PingFang SC" w:eastAsia="PingFang SC"/>
          <w:sz w:val="14"/>
        </w:rPr>
        <w:t>• 谁付费：愿为狗花钱（2025 单只犬年均消费 3006 元）、习惯线上服务、被线下“贵且不确定”劝退的新手养狗人。</w:t>
      </w:r>
    </w:p>
    <w:p>
      <w:pPr>
        <w:spacing w:after="14"/>
        <w:ind w:left="125" w:hanging="79"/>
      </w:pPr>
      <w:r>
        <w:rPr>
          <w:rFonts w:ascii="PingFang SC" w:hAnsi="PingFang SC" w:eastAsia="PingFang SC"/>
          <w:sz w:val="14"/>
        </w:rPr>
        <w:t>• 为什么付费：买的不是知识，而是坚持执行 + 持续反馈；99 元六周训练营相对线下 1000+ 足够低，后续可叠加围栏/漏食球/零食 CPS。</w:t>
      </w:r>
    </w:p>
    <w:p>
      <w:pPr>
        <w:spacing w:after="14"/>
        <w:ind w:left="125" w:hanging="79"/>
      </w:pPr>
      <w:r>
        <w:rPr>
          <w:rFonts w:ascii="PingFang SC" w:hAnsi="PingFang SC" w:eastAsia="PingFang SC"/>
          <w:sz w:val="14"/>
        </w:rPr>
        <w:t>• 诚实标注：付费意愿目前只有间接证据；真实付费要用 waitlist 和假付费按钮实测，before-after 传播不能在验证前当作已成立。</w:t>
      </w:r>
    </w:p>
    <w:p>
      <w:pPr>
        <w:pStyle w:val="Heading1"/>
        <w:spacing w:after="24" w:line="245" w:lineRule="auto"/>
      </w:pPr>
      <w:r>
        <w:rPr>
          <w:rFonts w:ascii="PingFang SC" w:hAnsi="PingFang SC" w:eastAsia="PingFang SC"/>
        </w:rPr>
        <w:t>⑤ 2 周验证计划（go/no-go）</w:t>
      </w:r>
    </w:p>
    <w:p>
      <w:pPr>
        <w:spacing w:after="14"/>
        <w:ind w:left="125" w:hanging="79"/>
      </w:pPr>
      <w:r>
        <w:rPr>
          <w:rFonts w:ascii="PingFang SC" w:hAnsi="PingFang SC" w:eastAsia="PingFang SC"/>
          <w:sz w:val="14"/>
        </w:rPr>
        <w:t>• Week 1：深访 10 位新手狗主 + Landing Page + 200-500 元投放；成功阈值：留资率 &gt;=10%，且 &gt;=6/10 能说出明确放弃时点或卡住原因。</w:t>
      </w:r>
    </w:p>
    <w:p>
      <w:pPr>
        <w:spacing w:after="14"/>
        <w:ind w:left="125" w:hanging="79"/>
      </w:pPr>
      <w:r>
        <w:rPr>
          <w:rFonts w:ascii="PingFang SC" w:hAnsi="PingFang SC" w:eastAsia="PingFang SC"/>
          <w:sz w:val="14"/>
        </w:rPr>
        <w:t>• Week 2：10 人真实试用 14 天；核心指标 D7/D14 留存、每日打卡完成率、连续 3 天完成占比、假付费点击转化。go/no-go：D14 留存 &gt;=40% 且连续 3 天打卡完成率 &gt;=50% 且假付费点击转化 &gt;=15% -&gt; 继续，否则回炉。n=10 只取定性信号。</w:t>
      </w:r>
    </w:p>
    <w:p>
      <w:pPr>
        <w:spacing w:before="20" w:after="0"/>
      </w:pPr>
      <w:r>
        <w:rPr>
          <w:rFonts w:ascii="PingFang SC" w:hAnsi="PingFang SC" w:eastAsia="PingFang SC"/>
          <w:b/>
          <w:sz w:val="14"/>
        </w:rPr>
        <w:t>在线 Demo：</w:t>
      </w:r>
      <w:hyperlink r:id="rId9">
        <w:r>
          <w:rPr>
            <w:color w:val="0563C1"/>
            <w:u w:val="single"/>
          </w:rPr>
          <w:t>https://pet-coach-mvp.vercel.app/</w:t>
        </w:r>
      </w:hyperlink>
      <w:r>
        <w:rPr>
          <w:rFonts w:ascii="PingFang SC" w:hAnsi="PingFang SC" w:eastAsia="PingFang SC"/>
          <w:b/>
          <w:sz w:val="14"/>
        </w:rPr>
        <w:t xml:space="preserve"> ｜ 代码仓库：</w:t>
      </w:r>
      <w:hyperlink r:id="rId10">
        <w:r>
          <w:rPr>
            <w:color w:val="0563C1"/>
            <w:u w:val="single"/>
          </w:rPr>
          <w:t>github.com/bbainthug/pet-coach-mvp</w:t>
        </w:r>
      </w:hyperlink>
      <w:r>
        <w:rPr>
          <w:rFonts w:ascii="PingFang SC" w:hAnsi="PingFang SC" w:eastAsia="PingFang SC"/>
          <w:sz w:val="14"/>
        </w:rPr>
        <w:t xml:space="preserve"> ｜ 本产品定位行为训练辅助，不替代兽医诊疗。</w:t>
      </w:r>
    </w:p>
    <w:sectPr w:rsidR="00FC693F" w:rsidRPr="0006063C" w:rsidSect="00034616">
      <w:pgSz w:w="11906" w:h="16838"/>
      <w:pgMar w:top="425" w:right="482" w:bottom="425" w:left="48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5" w:lineRule="auto"/>
    </w:pPr>
    <w:rPr>
      <w:rFonts w:ascii="PingFang SC" w:hAnsi="PingFang SC" w:eastAsia="PingFang SC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0" w:line="240" w:lineRule="auto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65F91" w:themeColor="accent1" w:themeShade="BF"/>
      <w:sz w:val="1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40" w:line="240" w:lineRule="auto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  <w:sz w:val="1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41414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t-coach-mvp.vercel.app/" TargetMode="External"/><Relationship Id="rId10" Type="http://schemas.openxmlformats.org/officeDocument/2006/relationships/hyperlink" Target="https://github.com/bbainthug/pet-coach-mv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