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76" w:type="dxa"/>
        <w:tblLayout w:type="fixed"/>
        <w:tblLook w:val="0000" w:firstRow="0" w:lastRow="0" w:firstColumn="0" w:lastColumn="0" w:noHBand="0" w:noVBand="0"/>
      </w:tblPr>
      <w:tblGrid>
        <w:gridCol w:w="6696"/>
        <w:gridCol w:w="2880"/>
      </w:tblGrid>
      <w:tr w:rsidR="0073371E" w14:paraId="5FA45740" w14:textId="77777777" w:rsidTr="0073371E">
        <w:tblPrEx>
          <w:tblCellMar>
            <w:top w:w="0" w:type="dxa"/>
            <w:bottom w:w="0" w:type="dxa"/>
          </w:tblCellMar>
        </w:tblPrEx>
        <w:trPr>
          <w:trHeight w:val="691"/>
        </w:trPr>
        <w:tc>
          <w:tcPr>
            <w:tcW w:w="6696" w:type="dxa"/>
            <w:shd w:val="clear" w:color="auto" w:fill="12355B"/>
            <w:vAlign w:val="center"/>
          </w:tcPr>
          <w:p w14:paraId="310141FB" w14:textId="3EB41B99" w:rsidR="0073371E" w:rsidRPr="0073371E" w:rsidRDefault="0073371E">
            <w:pPr>
              <w:rPr>
                <w:rFonts w:ascii="Aptos Display" w:hAnsi="Aptos Display"/>
                <w:b/>
                <w:color w:val="FFFFFF"/>
                <w:sz w:val="30"/>
              </w:rPr>
            </w:pPr>
            <w:r w:rsidRPr="0073371E">
              <w:rPr>
                <w:rFonts w:ascii="Aptos Display" w:hAnsi="Aptos Display"/>
                <w:b/>
                <w:color w:val="FFFFFF"/>
                <w:sz w:val="30"/>
              </w:rPr>
              <w:t>TYPE A UNCERTAINTY</w:t>
            </w:r>
          </w:p>
        </w:tc>
        <w:tc>
          <w:tcPr>
            <w:tcW w:w="2880" w:type="dxa"/>
            <w:shd w:val="clear" w:color="auto" w:fill="12355B"/>
            <w:vAlign w:val="center"/>
          </w:tcPr>
          <w:p w14:paraId="184D117B" w14:textId="1E93A542" w:rsidR="0073371E" w:rsidRPr="0073371E" w:rsidRDefault="0073371E" w:rsidP="0073371E">
            <w:pPr>
              <w:jc w:val="right"/>
              <w:rPr>
                <w:rFonts w:ascii="Aptos Display" w:hAnsi="Aptos Display"/>
                <w:b/>
                <w:color w:val="FFFFFF"/>
                <w:sz w:val="16"/>
              </w:rPr>
            </w:pPr>
            <w:r w:rsidRPr="0073371E">
              <w:rPr>
                <w:rFonts w:ascii="Aptos Display" w:hAnsi="Aptos Display"/>
                <w:b/>
                <w:color w:val="FFFFFF"/>
                <w:sz w:val="16"/>
              </w:rPr>
              <w:t>VALIDATION EMAIL DRAFT</w:t>
            </w:r>
          </w:p>
        </w:tc>
      </w:tr>
    </w:tbl>
    <w:p w14:paraId="41F2E8FA" w14:textId="77777777" w:rsidR="00256148" w:rsidRDefault="00256148"/>
    <w:tbl>
      <w:tblPr>
        <w:tblW w:w="0" w:type="auto"/>
        <w:tblLayout w:type="fixed"/>
        <w:tblLook w:val="0000" w:firstRow="0" w:lastRow="0" w:firstColumn="0" w:lastColumn="0" w:noHBand="0" w:noVBand="0"/>
      </w:tblPr>
      <w:tblGrid>
        <w:gridCol w:w="1037"/>
        <w:gridCol w:w="8539"/>
      </w:tblGrid>
      <w:tr w:rsidR="0073371E" w14:paraId="7E2F3771" w14:textId="77777777" w:rsidTr="0073371E">
        <w:tblPrEx>
          <w:tblCellMar>
            <w:top w:w="0" w:type="dxa"/>
            <w:bottom w:w="0" w:type="dxa"/>
          </w:tblCellMar>
        </w:tblPrEx>
        <w:tc>
          <w:tcPr>
            <w:tcW w:w="1037" w:type="dxa"/>
          </w:tcPr>
          <w:p w14:paraId="36FB0635" w14:textId="1C71DD64" w:rsidR="0073371E" w:rsidRPr="0073371E" w:rsidRDefault="0073371E">
            <w:pPr>
              <w:rPr>
                <w:b/>
                <w:color w:val="667085"/>
                <w:sz w:val="16"/>
              </w:rPr>
            </w:pPr>
            <w:r w:rsidRPr="0073371E">
              <w:rPr>
                <w:b/>
                <w:color w:val="667085"/>
                <w:sz w:val="16"/>
              </w:rPr>
              <w:t>TO</w:t>
            </w:r>
          </w:p>
        </w:tc>
        <w:tc>
          <w:tcPr>
            <w:tcW w:w="8539" w:type="dxa"/>
          </w:tcPr>
          <w:p w14:paraId="5729EB28" w14:textId="5746F8F4" w:rsidR="0073371E" w:rsidRPr="0073371E" w:rsidRDefault="0073371E">
            <w:pPr>
              <w:rPr>
                <w:sz w:val="20"/>
              </w:rPr>
            </w:pPr>
            <w:r w:rsidRPr="0073371E">
              <w:rPr>
                <w:sz w:val="20"/>
              </w:rPr>
              <w:t>[Recipient(s)]</w:t>
            </w:r>
          </w:p>
        </w:tc>
      </w:tr>
      <w:tr w:rsidR="0073371E" w14:paraId="4AF7B89B" w14:textId="77777777" w:rsidTr="0073371E">
        <w:tblPrEx>
          <w:tblCellMar>
            <w:top w:w="0" w:type="dxa"/>
            <w:bottom w:w="0" w:type="dxa"/>
          </w:tblCellMar>
        </w:tblPrEx>
        <w:tc>
          <w:tcPr>
            <w:tcW w:w="1037" w:type="dxa"/>
          </w:tcPr>
          <w:p w14:paraId="746EE90D" w14:textId="58C9883F" w:rsidR="0073371E" w:rsidRPr="0073371E" w:rsidRDefault="0073371E">
            <w:pPr>
              <w:rPr>
                <w:b/>
                <w:color w:val="667085"/>
                <w:sz w:val="16"/>
              </w:rPr>
            </w:pPr>
            <w:r w:rsidRPr="0073371E">
              <w:rPr>
                <w:b/>
                <w:color w:val="667085"/>
                <w:sz w:val="16"/>
              </w:rPr>
              <w:t>SUBJECT</w:t>
            </w:r>
          </w:p>
        </w:tc>
        <w:tc>
          <w:tcPr>
            <w:tcW w:w="8539" w:type="dxa"/>
          </w:tcPr>
          <w:p w14:paraId="5DEF936E" w14:textId="467CD066" w:rsidR="0073371E" w:rsidRPr="0073371E" w:rsidRDefault="0073371E">
            <w:pPr>
              <w:rPr>
                <w:sz w:val="20"/>
              </w:rPr>
            </w:pPr>
            <w:r w:rsidRPr="0073371E">
              <w:rPr>
                <w:sz w:val="20"/>
              </w:rPr>
              <w:t>Validation of Type A uncertainty and expanded reporting</w:t>
            </w:r>
          </w:p>
        </w:tc>
      </w:tr>
    </w:tbl>
    <w:p w14:paraId="6ECD4A05" w14:textId="77777777" w:rsidR="0073371E" w:rsidRDefault="0073371E"/>
    <w:p w14:paraId="4D61FF9D" w14:textId="43981987" w:rsidR="0073371E" w:rsidRDefault="0073371E">
      <w:r>
        <w:t>Hi [Name],</w:t>
      </w:r>
    </w:p>
    <w:p w14:paraId="64A98226" w14:textId="77777777" w:rsidR="0073371E" w:rsidRDefault="0073371E"/>
    <w:p w14:paraId="6091BA36" w14:textId="3E9E55C2" w:rsidR="0073371E" w:rsidRDefault="0073371E">
      <w:r>
        <w:t>We reviewed the AC-Shunt Type A calculation and its user-facing uncertainty reporting against the GUM and NIST Technical Note 1297. The implemented approach is correct and keeps the quantities used for uncertainty propagation distinct from the value presented as expanded uncertainty.</w:t>
      </w:r>
    </w:p>
    <w:p w14:paraId="2DA99FE0" w14:textId="77777777" w:rsidR="0073371E" w:rsidRDefault="0073371E"/>
    <w:p w14:paraId="0FA1FC7D" w14:textId="54600F6A" w:rsidR="0073371E" w:rsidRDefault="0073371E">
      <w:r>
        <w:rPr>
          <w:b/>
          <w:color w:val="12355B"/>
        </w:rPr>
        <w:t>Calculation approach</w:t>
      </w:r>
    </w:p>
    <w:p w14:paraId="17247626" w14:textId="16B3DEA1" w:rsidR="0073371E" w:rsidRDefault="0073371E" w:rsidP="0073371E">
      <w:pPr>
        <w:pStyle w:val="ListParagraph"/>
        <w:numPr>
          <w:ilvl w:val="0"/>
          <w:numId w:val="1"/>
        </w:numPr>
      </w:pPr>
      <w:r>
        <w:t>The paired cycle deltas are treated as repeated observations of the measurand.</w:t>
      </w:r>
    </w:p>
    <w:p w14:paraId="2DDBB7B9" w14:textId="72A4FCFE" w:rsidR="0073371E" w:rsidRDefault="0073371E" w:rsidP="0073371E">
      <w:pPr>
        <w:pStyle w:val="ListParagraph"/>
        <w:numPr>
          <w:ilvl w:val="0"/>
          <w:numId w:val="1"/>
        </w:numPr>
      </w:pPr>
      <w:r>
        <w:t>Their sample standard deviation uses the unbiased N - 1 denominator.</w:t>
      </w:r>
    </w:p>
    <w:p w14:paraId="66A4A5DC" w14:textId="12088E8D" w:rsidR="0073371E" w:rsidRDefault="0073371E" w:rsidP="0073371E">
      <w:pPr>
        <w:pStyle w:val="ListParagraph"/>
        <w:numPr>
          <w:ilvl w:val="0"/>
          <w:numId w:val="1"/>
        </w:numPr>
      </w:pPr>
      <w:r>
        <w:t>The Type A standard uncertainty of the reported mean is u_A = s / sqrt(N). This k = 1 value is retained for uncertainty propagation.</w:t>
      </w:r>
    </w:p>
    <w:p w14:paraId="66F8AC63" w14:textId="49220152" w:rsidR="0073371E" w:rsidRDefault="0073371E" w:rsidP="0073371E">
      <w:pPr>
        <w:pStyle w:val="ListParagraph"/>
        <w:numPr>
          <w:ilvl w:val="0"/>
          <w:numId w:val="1"/>
        </w:numPr>
      </w:pPr>
      <w:r>
        <w:t>For concise reporting, the conventional expanded value is U_A = 2u_A. This is an approximate 95% coverage statement under the usual assumptions; it is not labeled as an exact finite-sample confidence interval.</w:t>
      </w:r>
    </w:p>
    <w:p w14:paraId="76DF5004" w14:textId="77777777" w:rsidR="0073371E" w:rsidRDefault="0073371E" w:rsidP="0073371E"/>
    <w:p w14:paraId="1699EC7F" w14:textId="2A1292AA" w:rsidR="0073371E" w:rsidRDefault="0073371E" w:rsidP="0073371E">
      <w:r>
        <w:rPr>
          <w:b/>
          <w:color w:val="12355B"/>
        </w:rPr>
        <w:t>Run example (N = 15)</w:t>
      </w:r>
    </w:p>
    <w:tbl>
      <w:tblPr>
        <w:tblW w:w="9576" w:type="dxa"/>
        <w:tblLayout w:type="fixed"/>
        <w:tblLook w:val="0000" w:firstRow="0" w:lastRow="0" w:firstColumn="0" w:lastColumn="0" w:noHBand="0" w:noVBand="0"/>
      </w:tblPr>
      <w:tblGrid>
        <w:gridCol w:w="5112"/>
        <w:gridCol w:w="4464"/>
      </w:tblGrid>
      <w:tr w:rsidR="0073371E" w14:paraId="4CF84986" w14:textId="77777777" w:rsidTr="0073371E">
        <w:tblPrEx>
          <w:tblCellMar>
            <w:top w:w="0" w:type="dxa"/>
            <w:bottom w:w="0" w:type="dxa"/>
          </w:tblCellMar>
        </w:tblPrEx>
        <w:tc>
          <w:tcPr>
            <w:tcW w:w="5112" w:type="dxa"/>
            <w:shd w:val="clear" w:color="auto" w:fill="EAF2FB"/>
          </w:tcPr>
          <w:p w14:paraId="22365694" w14:textId="6C68F7C1" w:rsidR="0073371E" w:rsidRPr="0073371E" w:rsidRDefault="0073371E" w:rsidP="0073371E">
            <w:pPr>
              <w:spacing w:after="0"/>
              <w:rPr>
                <w:b/>
                <w:sz w:val="19"/>
              </w:rPr>
            </w:pPr>
            <w:r w:rsidRPr="0073371E">
              <w:rPr>
                <w:b/>
                <w:sz w:val="19"/>
              </w:rPr>
              <w:t>Sample standard deviation, s</w:t>
            </w:r>
          </w:p>
        </w:tc>
        <w:tc>
          <w:tcPr>
            <w:tcW w:w="4464" w:type="dxa"/>
            <w:shd w:val="clear" w:color="auto" w:fill="EAF2FB"/>
          </w:tcPr>
          <w:p w14:paraId="19A43E57" w14:textId="11F58C0B" w:rsidR="0073371E" w:rsidRPr="0073371E" w:rsidRDefault="0073371E" w:rsidP="0073371E">
            <w:pPr>
              <w:spacing w:after="0"/>
              <w:jc w:val="right"/>
              <w:rPr>
                <w:b/>
                <w:color w:val="1F6FEB"/>
                <w:sz w:val="19"/>
              </w:rPr>
            </w:pPr>
            <w:r w:rsidRPr="0073371E">
              <w:rPr>
                <w:b/>
                <w:color w:val="1F6FEB"/>
                <w:sz w:val="19"/>
              </w:rPr>
              <w:t>3.9797 ppm</w:t>
            </w:r>
          </w:p>
        </w:tc>
      </w:tr>
      <w:tr w:rsidR="0073371E" w14:paraId="2D60E486" w14:textId="77777777" w:rsidTr="0073371E">
        <w:tblPrEx>
          <w:tblCellMar>
            <w:top w:w="0" w:type="dxa"/>
            <w:bottom w:w="0" w:type="dxa"/>
          </w:tblCellMar>
        </w:tblPrEx>
        <w:tc>
          <w:tcPr>
            <w:tcW w:w="5112" w:type="dxa"/>
            <w:shd w:val="clear" w:color="auto" w:fill="F3F5F7"/>
          </w:tcPr>
          <w:p w14:paraId="6C29832D" w14:textId="140A4F40" w:rsidR="0073371E" w:rsidRPr="0073371E" w:rsidRDefault="0073371E" w:rsidP="0073371E">
            <w:pPr>
              <w:spacing w:after="0"/>
              <w:rPr>
                <w:b/>
                <w:sz w:val="19"/>
              </w:rPr>
            </w:pPr>
            <w:r w:rsidRPr="0073371E">
              <w:rPr>
                <w:b/>
                <w:sz w:val="19"/>
              </w:rPr>
              <w:t>Type A standard uncertainty, u_A</w:t>
            </w:r>
          </w:p>
        </w:tc>
        <w:tc>
          <w:tcPr>
            <w:tcW w:w="4464" w:type="dxa"/>
            <w:shd w:val="clear" w:color="auto" w:fill="F3F5F7"/>
          </w:tcPr>
          <w:p w14:paraId="0F9A4BF6" w14:textId="6A8F0823" w:rsidR="0073371E" w:rsidRPr="0073371E" w:rsidRDefault="0073371E" w:rsidP="0073371E">
            <w:pPr>
              <w:spacing w:after="0"/>
              <w:jc w:val="right"/>
              <w:rPr>
                <w:b/>
                <w:color w:val="1F6FEB"/>
                <w:sz w:val="19"/>
              </w:rPr>
            </w:pPr>
            <w:r w:rsidRPr="0073371E">
              <w:rPr>
                <w:b/>
                <w:color w:val="1F6FEB"/>
                <w:sz w:val="19"/>
              </w:rPr>
              <w:t>1.0276 ppm</w:t>
            </w:r>
          </w:p>
        </w:tc>
      </w:tr>
      <w:tr w:rsidR="0073371E" w14:paraId="58C082DB" w14:textId="77777777" w:rsidTr="0073371E">
        <w:tblPrEx>
          <w:tblCellMar>
            <w:top w:w="0" w:type="dxa"/>
            <w:bottom w:w="0" w:type="dxa"/>
          </w:tblCellMar>
        </w:tblPrEx>
        <w:tc>
          <w:tcPr>
            <w:tcW w:w="5112" w:type="dxa"/>
            <w:shd w:val="clear" w:color="auto" w:fill="EAF2FB"/>
          </w:tcPr>
          <w:p w14:paraId="792BBF72" w14:textId="0C382845" w:rsidR="0073371E" w:rsidRPr="0073371E" w:rsidRDefault="0073371E" w:rsidP="0073371E">
            <w:pPr>
              <w:spacing w:after="0"/>
              <w:rPr>
                <w:b/>
                <w:sz w:val="19"/>
              </w:rPr>
            </w:pPr>
            <w:r w:rsidRPr="0073371E">
              <w:rPr>
                <w:b/>
                <w:sz w:val="19"/>
              </w:rPr>
              <w:t>Expanded Type A uncertainty, U_A (k = 2)</w:t>
            </w:r>
          </w:p>
        </w:tc>
        <w:tc>
          <w:tcPr>
            <w:tcW w:w="4464" w:type="dxa"/>
            <w:shd w:val="clear" w:color="auto" w:fill="EAF2FB"/>
          </w:tcPr>
          <w:p w14:paraId="1E5C5F4B" w14:textId="616D94B7" w:rsidR="0073371E" w:rsidRPr="0073371E" w:rsidRDefault="0073371E" w:rsidP="0073371E">
            <w:pPr>
              <w:spacing w:after="0"/>
              <w:jc w:val="right"/>
              <w:rPr>
                <w:b/>
                <w:color w:val="1F6FEB"/>
                <w:sz w:val="19"/>
              </w:rPr>
            </w:pPr>
            <w:r w:rsidRPr="0073371E">
              <w:rPr>
                <w:b/>
                <w:color w:val="1F6FEB"/>
                <w:sz w:val="19"/>
              </w:rPr>
              <w:t>2.0551 ppm</w:t>
            </w:r>
          </w:p>
        </w:tc>
      </w:tr>
    </w:tbl>
    <w:p w14:paraId="5111B2AC" w14:textId="77777777" w:rsidR="0073371E" w:rsidRDefault="0073371E" w:rsidP="0073371E"/>
    <w:p w14:paraId="44BC39D7" w14:textId="1FD744E2" w:rsidR="0073371E" w:rsidRDefault="0073371E" w:rsidP="0073371E">
      <w:pPr>
        <w:rPr>
          <w:color w:val="667085"/>
          <w:sz w:val="19"/>
        </w:rPr>
      </w:pPr>
      <w:r>
        <w:rPr>
          <w:color w:val="667085"/>
          <w:sz w:val="19"/>
        </w:rPr>
        <w:t>Qualification: if an exact two-sided 95% confidence interval for a small sample is required, use the Student-t factor. For N = 15 (14 degrees of freedom), t = 2.1448 and the half-width is 2.2039 ppm. That interval answers a different reporting question from the conventional k = 2 expanded uncertainty used here.</w:t>
      </w:r>
    </w:p>
    <w:p w14:paraId="0E280C4D" w14:textId="77777777" w:rsidR="0073371E" w:rsidRDefault="0073371E" w:rsidP="0073371E">
      <w:pPr>
        <w:rPr>
          <w:color w:val="667085"/>
          <w:sz w:val="19"/>
        </w:rPr>
      </w:pPr>
    </w:p>
    <w:p w14:paraId="31723DFB" w14:textId="06C09456" w:rsidR="0073371E" w:rsidRDefault="0073371E" w:rsidP="0073371E">
      <w:pPr>
        <w:rPr>
          <w:color w:val="12355B"/>
        </w:rPr>
      </w:pPr>
      <w:r>
        <w:rPr>
          <w:b/>
          <w:color w:val="12355B"/>
        </w:rPr>
        <w:t>Authoritative references</w:t>
      </w:r>
    </w:p>
    <w:p w14:paraId="28C818A5" w14:textId="1078558F" w:rsidR="0073371E" w:rsidRDefault="0073371E" w:rsidP="0073371E">
      <w:pPr>
        <w:pStyle w:val="ListParagraph"/>
        <w:numPr>
          <w:ilvl w:val="0"/>
          <w:numId w:val="2"/>
        </w:numPr>
        <w:rPr>
          <w:color w:val="12355B"/>
        </w:rPr>
      </w:pPr>
      <w:hyperlink r:id="rId7" w:history="1">
        <w:r>
          <w:rPr>
            <w:rStyle w:val="Hyperlink"/>
          </w:rPr>
          <w:t>JCGM 100:2008 (GUM), sections 4.2.2-4.2.3</w:t>
        </w:r>
      </w:hyperlink>
    </w:p>
    <w:p w14:paraId="3A87AB89" w14:textId="2F1264AC" w:rsidR="0073371E" w:rsidRDefault="0073371E" w:rsidP="0073371E">
      <w:pPr>
        <w:pStyle w:val="ListParagraph"/>
        <w:numPr>
          <w:ilvl w:val="0"/>
          <w:numId w:val="2"/>
        </w:numPr>
        <w:rPr>
          <w:color w:val="12355B"/>
        </w:rPr>
      </w:pPr>
      <w:hyperlink r:id="rId8" w:history="1">
        <w:r>
          <w:rPr>
            <w:rStyle w:val="Hyperlink"/>
          </w:rPr>
          <w:t>NIST TN 1297, Section 3 - Type A Evaluation</w:t>
        </w:r>
      </w:hyperlink>
    </w:p>
    <w:p w14:paraId="565A2606" w14:textId="0556C36E" w:rsidR="0073371E" w:rsidRDefault="0073371E" w:rsidP="0073371E">
      <w:pPr>
        <w:pStyle w:val="ListParagraph"/>
        <w:numPr>
          <w:ilvl w:val="0"/>
          <w:numId w:val="2"/>
        </w:numPr>
        <w:rPr>
          <w:color w:val="12355B"/>
        </w:rPr>
      </w:pPr>
      <w:hyperlink r:id="rId9" w:history="1">
        <w:r>
          <w:rPr>
            <w:rStyle w:val="Hyperlink"/>
          </w:rPr>
          <w:t>NIST TN 1297, Section 6 - Expanded Uncertainty</w:t>
        </w:r>
      </w:hyperlink>
    </w:p>
    <w:p w14:paraId="02F928B2" w14:textId="1D9C2DFD" w:rsidR="0073371E" w:rsidRDefault="0073371E" w:rsidP="0073371E">
      <w:pPr>
        <w:pStyle w:val="ListParagraph"/>
        <w:numPr>
          <w:ilvl w:val="0"/>
          <w:numId w:val="2"/>
        </w:numPr>
        <w:rPr>
          <w:color w:val="12355B"/>
        </w:rPr>
      </w:pPr>
      <w:hyperlink r:id="rId10" w:history="1">
        <w:r>
          <w:rPr>
            <w:rStyle w:val="Hyperlink"/>
          </w:rPr>
          <w:t>NIST/SEMATECH e-Handbook - t-based confidence interval</w:t>
        </w:r>
      </w:hyperlink>
    </w:p>
    <w:p w14:paraId="2187EFEA" w14:textId="77777777" w:rsidR="0073371E" w:rsidRDefault="0073371E" w:rsidP="0073371E"/>
    <w:p w14:paraId="4366F3F8" w14:textId="5FAA37C0" w:rsidR="0073371E" w:rsidRDefault="0073371E" w:rsidP="0073371E">
      <w:r>
        <w:t>Accordingly, the application should display both values in one Type A summary: the standard uncertainty (k = 1) used by the engine and the expanded uncertainty (k = 2) used for concise reporting.</w:t>
      </w:r>
    </w:p>
    <w:p w14:paraId="78C2F183" w14:textId="77777777" w:rsidR="0073371E" w:rsidRDefault="0073371E" w:rsidP="0073371E"/>
    <w:p w14:paraId="5B0A465B" w14:textId="3439F038" w:rsidR="0073371E" w:rsidRDefault="0073371E" w:rsidP="0073371E">
      <w:r>
        <w:t>Regards,</w:t>
      </w:r>
    </w:p>
    <w:p w14:paraId="6EDB27B2" w14:textId="688EC07D" w:rsidR="0073371E" w:rsidRPr="0073371E" w:rsidRDefault="0073371E" w:rsidP="0073371E">
      <w:r>
        <w:t>[Your Name]</w:t>
      </w:r>
    </w:p>
    <w:sectPr w:rsidR="0073371E" w:rsidRPr="0073371E" w:rsidSect="0073371E">
      <w:headerReference w:type="even" r:id="rId11"/>
      <w:headerReference w:type="default" r:id="rId12"/>
      <w:footerReference w:type="even" r:id="rId13"/>
      <w:footerReference w:type="default" r:id="rId14"/>
      <w:headerReference w:type="first" r:id="rId15"/>
      <w:footerReference w:type="first" r:id="rId16"/>
      <w:pgSz w:w="12240" w:h="15840"/>
      <w:pgMar w:top="893" w:right="1037" w:bottom="835"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D36CE" w14:textId="77777777" w:rsidR="008C151E" w:rsidRDefault="008C151E" w:rsidP="0073371E">
      <w:pPr>
        <w:spacing w:after="0"/>
      </w:pPr>
      <w:r>
        <w:separator/>
      </w:r>
    </w:p>
  </w:endnote>
  <w:endnote w:type="continuationSeparator" w:id="0">
    <w:p w14:paraId="0EE8198C" w14:textId="77777777" w:rsidR="008C151E" w:rsidRDefault="008C151E" w:rsidP="0073371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A7E5E" w14:textId="77777777" w:rsidR="0073371E" w:rsidRDefault="007337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AD5AD" w14:textId="21C7BFFD" w:rsidR="0073371E" w:rsidRPr="0073371E" w:rsidRDefault="0073371E" w:rsidP="0073371E">
    <w:pPr>
      <w:pStyle w:val="Footer"/>
      <w:jc w:val="center"/>
      <w:rPr>
        <w:color w:val="667085"/>
        <w:sz w:val="15"/>
      </w:rPr>
    </w:pPr>
    <w:r w:rsidRPr="0073371E">
      <w:rPr>
        <w:color w:val="667085"/>
        <w:sz w:val="15"/>
      </w:rPr>
      <w:t>AC-SHUNT  |  TYPE A VALIDATION  |  30 JULY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78861" w14:textId="77777777" w:rsidR="0073371E" w:rsidRDefault="007337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F5126" w14:textId="77777777" w:rsidR="008C151E" w:rsidRDefault="008C151E" w:rsidP="0073371E">
      <w:pPr>
        <w:spacing w:after="0"/>
      </w:pPr>
      <w:r>
        <w:separator/>
      </w:r>
    </w:p>
  </w:footnote>
  <w:footnote w:type="continuationSeparator" w:id="0">
    <w:p w14:paraId="5FE415B3" w14:textId="77777777" w:rsidR="008C151E" w:rsidRDefault="008C151E" w:rsidP="0073371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0ABCD" w14:textId="77777777" w:rsidR="0073371E" w:rsidRDefault="007337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0BF8B" w14:textId="77777777" w:rsidR="0073371E" w:rsidRDefault="007337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6AA34" w14:textId="77777777" w:rsidR="0073371E" w:rsidRDefault="007337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137AE"/>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71E666EF"/>
    <w:multiLevelType w:val="singleLevel"/>
    <w:tmpl w:val="04090001"/>
    <w:lvl w:ilvl="0">
      <w:start w:val="1"/>
      <w:numFmt w:val="bullet"/>
      <w:lvlText w:val=""/>
      <w:lvlJc w:val="left"/>
      <w:pPr>
        <w:ind w:left="720" w:hanging="360"/>
      </w:pPr>
      <w:rPr>
        <w:rFonts w:ascii="Symbol" w:hAnsi="Symbol" w:hint="default"/>
      </w:rPr>
    </w:lvl>
  </w:abstractNum>
  <w:num w:numId="1" w16cid:durableId="1121193039">
    <w:abstractNumId w:val="1"/>
  </w:num>
  <w:num w:numId="2" w16cid:durableId="1056391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71E"/>
    <w:rsid w:val="00256148"/>
    <w:rsid w:val="0073371E"/>
    <w:rsid w:val="008C0183"/>
    <w:rsid w:val="008C151E"/>
    <w:rsid w:val="00BC07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BF049"/>
  <w15:chartTrackingRefBased/>
  <w15:docId w15:val="{FA733CCE-29CA-4042-ADEE-2DB6CB264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Aptos" w:hAnsi="Aptos"/>
      <w:color w:val="172033"/>
      <w:sz w:val="21"/>
    </w:rPr>
  </w:style>
  <w:style w:type="paragraph" w:styleId="Heading1">
    <w:name w:val="heading 1"/>
    <w:basedOn w:val="Normal"/>
    <w:next w:val="Normal"/>
    <w:link w:val="Heading1Char"/>
    <w:uiPriority w:val="9"/>
    <w:qFormat/>
    <w:rsid w:val="007337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37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37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37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37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37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7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7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7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7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37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37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37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7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7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7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7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71E"/>
    <w:rPr>
      <w:rFonts w:eastAsiaTheme="majorEastAsia" w:cstheme="majorBidi"/>
      <w:color w:val="272727" w:themeColor="text1" w:themeTint="D8"/>
    </w:rPr>
  </w:style>
  <w:style w:type="paragraph" w:styleId="Title">
    <w:name w:val="Title"/>
    <w:basedOn w:val="Normal"/>
    <w:next w:val="Normal"/>
    <w:link w:val="TitleChar"/>
    <w:uiPriority w:val="10"/>
    <w:qFormat/>
    <w:rsid w:val="0073371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7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7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7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71E"/>
    <w:pPr>
      <w:spacing w:before="160"/>
      <w:jc w:val="center"/>
    </w:pPr>
    <w:rPr>
      <w:i/>
      <w:iCs/>
      <w:color w:val="404040" w:themeColor="text1" w:themeTint="BF"/>
    </w:rPr>
  </w:style>
  <w:style w:type="character" w:customStyle="1" w:styleId="QuoteChar">
    <w:name w:val="Quote Char"/>
    <w:basedOn w:val="DefaultParagraphFont"/>
    <w:link w:val="Quote"/>
    <w:uiPriority w:val="29"/>
    <w:rsid w:val="0073371E"/>
    <w:rPr>
      <w:i/>
      <w:iCs/>
      <w:color w:val="404040" w:themeColor="text1" w:themeTint="BF"/>
    </w:rPr>
  </w:style>
  <w:style w:type="paragraph" w:styleId="ListParagraph">
    <w:name w:val="List Paragraph"/>
    <w:basedOn w:val="Normal"/>
    <w:uiPriority w:val="34"/>
    <w:qFormat/>
    <w:rsid w:val="0073371E"/>
    <w:pPr>
      <w:ind w:left="720"/>
      <w:contextualSpacing/>
    </w:pPr>
  </w:style>
  <w:style w:type="character" w:styleId="IntenseEmphasis">
    <w:name w:val="Intense Emphasis"/>
    <w:basedOn w:val="DefaultParagraphFont"/>
    <w:uiPriority w:val="21"/>
    <w:qFormat/>
    <w:rsid w:val="0073371E"/>
    <w:rPr>
      <w:i/>
      <w:iCs/>
      <w:color w:val="0F4761" w:themeColor="accent1" w:themeShade="BF"/>
    </w:rPr>
  </w:style>
  <w:style w:type="paragraph" w:styleId="IntenseQuote">
    <w:name w:val="Intense Quote"/>
    <w:basedOn w:val="Normal"/>
    <w:next w:val="Normal"/>
    <w:link w:val="IntenseQuoteChar"/>
    <w:uiPriority w:val="30"/>
    <w:qFormat/>
    <w:rsid w:val="007337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71E"/>
    <w:rPr>
      <w:i/>
      <w:iCs/>
      <w:color w:val="0F4761" w:themeColor="accent1" w:themeShade="BF"/>
    </w:rPr>
  </w:style>
  <w:style w:type="character" w:styleId="IntenseReference">
    <w:name w:val="Intense Reference"/>
    <w:basedOn w:val="DefaultParagraphFont"/>
    <w:uiPriority w:val="32"/>
    <w:qFormat/>
    <w:rsid w:val="0073371E"/>
    <w:rPr>
      <w:b/>
      <w:bCs/>
      <w:smallCaps/>
      <w:color w:val="0F4761" w:themeColor="accent1" w:themeShade="BF"/>
      <w:spacing w:val="5"/>
    </w:rPr>
  </w:style>
  <w:style w:type="character" w:styleId="Hyperlink">
    <w:name w:val="Hyperlink"/>
    <w:basedOn w:val="DefaultParagraphFont"/>
    <w:uiPriority w:val="99"/>
    <w:unhideWhenUsed/>
    <w:rsid w:val="0073371E"/>
    <w:rPr>
      <w:color w:val="467886" w:themeColor="hyperlink"/>
      <w:u w:val="single"/>
    </w:rPr>
  </w:style>
  <w:style w:type="character" w:styleId="UnresolvedMention">
    <w:name w:val="Unresolved Mention"/>
    <w:basedOn w:val="DefaultParagraphFont"/>
    <w:uiPriority w:val="99"/>
    <w:semiHidden/>
    <w:unhideWhenUsed/>
    <w:rsid w:val="0073371E"/>
    <w:rPr>
      <w:color w:val="605E5C"/>
      <w:shd w:val="clear" w:color="auto" w:fill="E1DFDD"/>
    </w:rPr>
  </w:style>
  <w:style w:type="paragraph" w:styleId="Header">
    <w:name w:val="header"/>
    <w:basedOn w:val="Normal"/>
    <w:link w:val="HeaderChar"/>
    <w:uiPriority w:val="99"/>
    <w:unhideWhenUsed/>
    <w:rsid w:val="0073371E"/>
    <w:pPr>
      <w:tabs>
        <w:tab w:val="center" w:pos="4680"/>
        <w:tab w:val="right" w:pos="9360"/>
      </w:tabs>
      <w:spacing w:after="0"/>
    </w:pPr>
  </w:style>
  <w:style w:type="character" w:customStyle="1" w:styleId="HeaderChar">
    <w:name w:val="Header Char"/>
    <w:basedOn w:val="DefaultParagraphFont"/>
    <w:link w:val="Header"/>
    <w:uiPriority w:val="99"/>
    <w:rsid w:val="0073371E"/>
    <w:rPr>
      <w:rFonts w:ascii="Aptos" w:hAnsi="Aptos"/>
      <w:color w:val="172033"/>
      <w:sz w:val="21"/>
    </w:rPr>
  </w:style>
  <w:style w:type="paragraph" w:styleId="Footer">
    <w:name w:val="footer"/>
    <w:basedOn w:val="Normal"/>
    <w:link w:val="FooterChar"/>
    <w:uiPriority w:val="99"/>
    <w:unhideWhenUsed/>
    <w:rsid w:val="0073371E"/>
    <w:pPr>
      <w:tabs>
        <w:tab w:val="center" w:pos="4680"/>
        <w:tab w:val="right" w:pos="9360"/>
      </w:tabs>
      <w:spacing w:after="0"/>
    </w:pPr>
  </w:style>
  <w:style w:type="character" w:customStyle="1" w:styleId="FooterChar">
    <w:name w:val="Footer Char"/>
    <w:basedOn w:val="DefaultParagraphFont"/>
    <w:link w:val="Footer"/>
    <w:uiPriority w:val="99"/>
    <w:rsid w:val="0073371E"/>
    <w:rPr>
      <w:rFonts w:ascii="Aptos" w:hAnsi="Aptos"/>
      <w:color w:val="172033"/>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ist.gov/pml/nist-technical-note-1297/nist-tn-1297-3-type-evaluation-standard-uncertainty"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bipm.org/documents/20126/2071204/JCGM_100_2008_E.pdf"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www.itl.nist.gov/div898/handbook/eda/section3/eda352.htm" TargetMode="External"/><Relationship Id="rId4" Type="http://schemas.openxmlformats.org/officeDocument/2006/relationships/webSettings" Target="webSettings.xml"/><Relationship Id="rId9" Type="http://schemas.openxmlformats.org/officeDocument/2006/relationships/hyperlink" Target="https://www.nist.gov/pml/nist-technical-note-1297/nist-tn-1297-6-expanded-uncertainty"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332</Words>
  <Characters>1893</Characters>
  <Application>Microsoft Office Word</Application>
  <DocSecurity>0</DocSecurity>
  <Lines>15</Lines>
  <Paragraphs>4</Paragraphs>
  <ScaleCrop>false</ScaleCrop>
  <Company/>
  <LinksUpToDate>false</LinksUpToDate>
  <CharactersWithSpaces>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Baker</dc:creator>
  <cp:keywords/>
  <dc:description/>
  <cp:lastModifiedBy>Barry Baker</cp:lastModifiedBy>
  <cp:revision>1</cp:revision>
  <dcterms:created xsi:type="dcterms:W3CDTF">2026-07-30T18:15:00Z</dcterms:created>
  <dcterms:modified xsi:type="dcterms:W3CDTF">2026-07-30T18:15:00Z</dcterms:modified>
</cp:coreProperties>
</file>