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인재 채용 전략</w:t>
      </w:r>
    </w:p>
    <w:p>
      <w:r>
        <w:t>부서: 디자인팀</w:t>
      </w:r>
    </w:p>
    <w:p>
      <w:r>
        <w:t>프로젝트: 글로벌 시장 진출 전략</w:t>
      </w:r>
    </w:p>
    <w:p>
      <w:r>
        <w:t>작성자: 정수진</w:t>
      </w:r>
    </w:p>
    <w:p>
      <w:r>
        <w:t>작성일: 2025-09-08</w:t>
      </w:r>
    </w:p>
    <w:p/>
    <w:p>
      <w:pPr>
        <w:pStyle w:val="Heading1"/>
      </w:pPr>
      <w:r>
        <w:t>본문</w:t>
      </w:r>
    </w:p>
    <w:p>
      <w:r>
        <w:t>디자인팀의 글로벌 시장 진출 전략 진행 보고서</w:t>
        <w:br/>
        <w:br/>
        <w:t>작성일: 2025-09-08</w:t>
        <w:br/>
        <w:t>작성자: 정수진</w:t>
        <w:br/>
        <w:br/>
        <w:t>주요 내용:</w:t>
        <w:br/>
        <w:t>- 인재 채용 전략에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