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EB6" w:rsidRDefault="002A7EB6">
      <w:pPr>
        <w:spacing w:before="1600"/>
      </w:pPr>
    </w:p>
    <w:p w:rsidR="002A7EB6" w:rsidRDefault="007C0410">
      <w:pPr>
        <w:jc w:val="center"/>
      </w:pPr>
      <w:r>
        <w:rPr>
          <w:b/>
          <w:bCs/>
          <w:color w:val="993C1D"/>
          <w:sz w:val="52"/>
          <w:szCs w:val="52"/>
        </w:rPr>
        <w:t>Capstone Document Processing System</w:t>
      </w:r>
    </w:p>
    <w:p w:rsidR="002A7EB6" w:rsidRDefault="007C0410">
      <w:pPr>
        <w:spacing w:before="200" w:after="100"/>
        <w:jc w:val="center"/>
      </w:pPr>
      <w:r>
        <w:rPr>
          <w:color w:val="5F5E5A"/>
          <w:sz w:val="32"/>
          <w:szCs w:val="32"/>
        </w:rPr>
        <w:t>Risk Document</w:t>
      </w:r>
    </w:p>
    <w:p w:rsidR="002A7EB6" w:rsidRDefault="007C0410">
      <w:pPr>
        <w:spacing w:before="100"/>
        <w:jc w:val="center"/>
      </w:pPr>
      <w:r>
        <w:rPr>
          <w:i/>
          <w:iCs/>
          <w:color w:val="888780"/>
        </w:rPr>
        <w:t>Current-State Risks and Forward-Looking Production Risk Register</w:t>
      </w:r>
    </w:p>
    <w:p w:rsidR="002A7EB6" w:rsidRDefault="002A7EB6">
      <w:pPr>
        <w:spacing w:before="1200"/>
      </w:pPr>
    </w:p>
    <w:p w:rsidR="002A7EB6" w:rsidRDefault="007C0410">
      <w:pPr>
        <w:jc w:val="center"/>
        <w:rPr>
          <w:color w:val="444441"/>
        </w:rPr>
      </w:pPr>
      <w:r>
        <w:rPr>
          <w:color w:val="444441"/>
        </w:rPr>
        <w:t>Generative AI and ML Capstone Project</w:t>
      </w:r>
    </w:p>
    <w:p w:rsidR="004D1E03" w:rsidRDefault="004D1E03" w:rsidP="004D1E03">
      <w:pPr>
        <w:jc w:val="center"/>
      </w:pPr>
      <w:r>
        <w:rPr>
          <w:color w:val="444441"/>
        </w:rPr>
        <w:t>By Balaji Baskaran</w:t>
      </w:r>
    </w:p>
    <w:p w:rsidR="004D1E03" w:rsidRDefault="004D1E03">
      <w:pPr>
        <w:jc w:val="center"/>
      </w:pPr>
      <w:bookmarkStart w:id="0" w:name="_GoBack"/>
      <w:bookmarkEnd w:id="0"/>
    </w:p>
    <w:p w:rsidR="002A7EB6" w:rsidRDefault="007C0410">
      <w:pPr>
        <w:spacing w:before="80"/>
        <w:jc w:val="center"/>
      </w:pPr>
      <w:r>
        <w:rPr>
          <w:color w:val="888780"/>
          <w:sz w:val="20"/>
          <w:szCs w:val="20"/>
        </w:rPr>
        <w:t>Document Version 1.0 — June 2026</w:t>
      </w:r>
    </w:p>
    <w:p w:rsidR="002A7EB6" w:rsidRDefault="007C0410">
      <w:r>
        <w:br w:type="page"/>
      </w:r>
    </w:p>
    <w:p w:rsidR="002A7EB6" w:rsidRDefault="007C0410">
      <w:pPr>
        <w:pStyle w:val="Heading1"/>
      </w:pPr>
      <w:bookmarkStart w:id="1" w:name="_Toc232880798"/>
      <w:r>
        <w:lastRenderedPageBreak/>
        <w:t>Table of Contents</w:t>
      </w:r>
      <w:bookmarkEnd w:id="1"/>
    </w:p>
    <w:sdt>
      <w:sdtPr>
        <w:alias w:val="Table of Contents"/>
        <w:id w:val="-1536962523"/>
      </w:sdtPr>
      <w:sdtEndPr/>
      <w:sdtContent>
        <w:p w:rsidR="00F84C15" w:rsidRDefault="007C0410">
          <w:pPr>
            <w:pStyle w:val="TOC1"/>
            <w:tabs>
              <w:tab w:val="right" w:leader="dot" w:pos="9350"/>
            </w:tabs>
            <w:rPr>
              <w:noProof/>
            </w:rPr>
          </w:pPr>
          <w:r>
            <w:fldChar w:fldCharType="begin"/>
          </w:r>
          <w:r>
            <w:instrText>TOC \h \o "1-2"</w:instrText>
          </w:r>
          <w:r>
            <w:fldChar w:fldCharType="separate"/>
          </w:r>
          <w:hyperlink w:anchor="_Toc232880798" w:history="1">
            <w:r w:rsidR="00F84C15" w:rsidRPr="00221AF7">
              <w:rPr>
                <w:rStyle w:val="Hyperlink"/>
                <w:noProof/>
              </w:rPr>
              <w:t>Table of Contents</w:t>
            </w:r>
            <w:r w:rsidR="00F84C15">
              <w:rPr>
                <w:noProof/>
              </w:rPr>
              <w:tab/>
            </w:r>
            <w:r w:rsidR="00F84C15">
              <w:rPr>
                <w:noProof/>
              </w:rPr>
              <w:fldChar w:fldCharType="begin"/>
            </w:r>
            <w:r w:rsidR="00F84C15">
              <w:rPr>
                <w:noProof/>
              </w:rPr>
              <w:instrText xml:space="preserve"> PAGEREF _Toc232880798 \h </w:instrText>
            </w:r>
            <w:r w:rsidR="00F84C15">
              <w:rPr>
                <w:noProof/>
              </w:rPr>
            </w:r>
            <w:r w:rsidR="00F84C15">
              <w:rPr>
                <w:noProof/>
              </w:rPr>
              <w:fldChar w:fldCharType="separate"/>
            </w:r>
            <w:r w:rsidR="00F84C15">
              <w:rPr>
                <w:noProof/>
              </w:rPr>
              <w:t>2</w:t>
            </w:r>
            <w:r w:rsidR="00F84C15">
              <w:rPr>
                <w:noProof/>
              </w:rPr>
              <w:fldChar w:fldCharType="end"/>
            </w:r>
          </w:hyperlink>
        </w:p>
        <w:p w:rsidR="00F84C15" w:rsidRDefault="00135510">
          <w:pPr>
            <w:pStyle w:val="TOC1"/>
            <w:tabs>
              <w:tab w:val="right" w:leader="dot" w:pos="9350"/>
            </w:tabs>
            <w:rPr>
              <w:noProof/>
            </w:rPr>
          </w:pPr>
          <w:hyperlink w:anchor="_Toc232880799" w:history="1">
            <w:r w:rsidR="00F84C15" w:rsidRPr="00221AF7">
              <w:rPr>
                <w:rStyle w:val="Hyperlink"/>
                <w:noProof/>
              </w:rPr>
              <w:t>1. Purpose and Scope</w:t>
            </w:r>
            <w:r w:rsidR="00F84C15">
              <w:rPr>
                <w:noProof/>
              </w:rPr>
              <w:tab/>
            </w:r>
            <w:r w:rsidR="00F84C15">
              <w:rPr>
                <w:noProof/>
              </w:rPr>
              <w:fldChar w:fldCharType="begin"/>
            </w:r>
            <w:r w:rsidR="00F84C15">
              <w:rPr>
                <w:noProof/>
              </w:rPr>
              <w:instrText xml:space="preserve"> PAGEREF _Toc232880799 \h </w:instrText>
            </w:r>
            <w:r w:rsidR="00F84C15">
              <w:rPr>
                <w:noProof/>
              </w:rPr>
            </w:r>
            <w:r w:rsidR="00F84C15">
              <w:rPr>
                <w:noProof/>
              </w:rPr>
              <w:fldChar w:fldCharType="separate"/>
            </w:r>
            <w:r w:rsidR="00F84C15">
              <w:rPr>
                <w:noProof/>
              </w:rPr>
              <w:t>3</w:t>
            </w:r>
            <w:r w:rsidR="00F84C15">
              <w:rPr>
                <w:noProof/>
              </w:rPr>
              <w:fldChar w:fldCharType="end"/>
            </w:r>
          </w:hyperlink>
        </w:p>
        <w:p w:rsidR="00F84C15" w:rsidRDefault="00135510">
          <w:pPr>
            <w:pStyle w:val="TOC1"/>
            <w:tabs>
              <w:tab w:val="right" w:leader="dot" w:pos="9350"/>
            </w:tabs>
            <w:rPr>
              <w:noProof/>
            </w:rPr>
          </w:pPr>
          <w:hyperlink w:anchor="_Toc232880800" w:history="1">
            <w:r w:rsidR="00F84C15" w:rsidRPr="00221AF7">
              <w:rPr>
                <w:rStyle w:val="Hyperlink"/>
                <w:noProof/>
              </w:rPr>
              <w:t>2. Current-State Technical Risks</w:t>
            </w:r>
            <w:r w:rsidR="00F84C15">
              <w:rPr>
                <w:noProof/>
              </w:rPr>
              <w:tab/>
            </w:r>
            <w:r w:rsidR="00F84C15">
              <w:rPr>
                <w:noProof/>
              </w:rPr>
              <w:fldChar w:fldCharType="begin"/>
            </w:r>
            <w:r w:rsidR="00F84C15">
              <w:rPr>
                <w:noProof/>
              </w:rPr>
              <w:instrText xml:space="preserve"> PAGEREF _Toc232880800 \h </w:instrText>
            </w:r>
            <w:r w:rsidR="00F84C15">
              <w:rPr>
                <w:noProof/>
              </w:rPr>
            </w:r>
            <w:r w:rsidR="00F84C15">
              <w:rPr>
                <w:noProof/>
              </w:rPr>
              <w:fldChar w:fldCharType="separate"/>
            </w:r>
            <w:r w:rsidR="00F84C15">
              <w:rPr>
                <w:noProof/>
              </w:rPr>
              <w:t>3</w:t>
            </w:r>
            <w:r w:rsidR="00F84C15">
              <w:rPr>
                <w:noProof/>
              </w:rPr>
              <w:fldChar w:fldCharType="end"/>
            </w:r>
          </w:hyperlink>
        </w:p>
        <w:p w:rsidR="00F84C15" w:rsidRDefault="00135510">
          <w:pPr>
            <w:pStyle w:val="TOC1"/>
            <w:tabs>
              <w:tab w:val="right" w:leader="dot" w:pos="9350"/>
            </w:tabs>
            <w:rPr>
              <w:noProof/>
            </w:rPr>
          </w:pPr>
          <w:hyperlink w:anchor="_Toc232880801" w:history="1">
            <w:r w:rsidR="00F84C15" w:rsidRPr="00221AF7">
              <w:rPr>
                <w:rStyle w:val="Hyperlink"/>
                <w:noProof/>
              </w:rPr>
              <w:t>3. Forward-Looking Production Risk Register</w:t>
            </w:r>
            <w:r w:rsidR="00F84C15">
              <w:rPr>
                <w:noProof/>
              </w:rPr>
              <w:tab/>
            </w:r>
            <w:r w:rsidR="00F84C15">
              <w:rPr>
                <w:noProof/>
              </w:rPr>
              <w:fldChar w:fldCharType="begin"/>
            </w:r>
            <w:r w:rsidR="00F84C15">
              <w:rPr>
                <w:noProof/>
              </w:rPr>
              <w:instrText xml:space="preserve"> PAGEREF _Toc232880801 \h </w:instrText>
            </w:r>
            <w:r w:rsidR="00F84C15">
              <w:rPr>
                <w:noProof/>
              </w:rPr>
            </w:r>
            <w:r w:rsidR="00F84C15">
              <w:rPr>
                <w:noProof/>
              </w:rPr>
              <w:fldChar w:fldCharType="separate"/>
            </w:r>
            <w:r w:rsidR="00F84C15">
              <w:rPr>
                <w:noProof/>
              </w:rPr>
              <w:t>4</w:t>
            </w:r>
            <w:r w:rsidR="00F84C15">
              <w:rPr>
                <w:noProof/>
              </w:rPr>
              <w:fldChar w:fldCharType="end"/>
            </w:r>
          </w:hyperlink>
        </w:p>
        <w:p w:rsidR="00F84C15" w:rsidRDefault="00135510">
          <w:pPr>
            <w:pStyle w:val="TOC2"/>
            <w:tabs>
              <w:tab w:val="right" w:leader="dot" w:pos="9350"/>
            </w:tabs>
            <w:rPr>
              <w:noProof/>
            </w:rPr>
          </w:pPr>
          <w:hyperlink w:anchor="_Toc232880802" w:history="1">
            <w:r w:rsidR="00F84C15" w:rsidRPr="00221AF7">
              <w:rPr>
                <w:rStyle w:val="Hyperlink"/>
                <w:noProof/>
              </w:rPr>
              <w:t>3.1 Cost and Scaling Risks</w:t>
            </w:r>
            <w:r w:rsidR="00F84C15">
              <w:rPr>
                <w:noProof/>
              </w:rPr>
              <w:tab/>
            </w:r>
            <w:r w:rsidR="00F84C15">
              <w:rPr>
                <w:noProof/>
              </w:rPr>
              <w:fldChar w:fldCharType="begin"/>
            </w:r>
            <w:r w:rsidR="00F84C15">
              <w:rPr>
                <w:noProof/>
              </w:rPr>
              <w:instrText xml:space="preserve"> PAGEREF _Toc232880802 \h </w:instrText>
            </w:r>
            <w:r w:rsidR="00F84C15">
              <w:rPr>
                <w:noProof/>
              </w:rPr>
            </w:r>
            <w:r w:rsidR="00F84C15">
              <w:rPr>
                <w:noProof/>
              </w:rPr>
              <w:fldChar w:fldCharType="separate"/>
            </w:r>
            <w:r w:rsidR="00F84C15">
              <w:rPr>
                <w:noProof/>
              </w:rPr>
              <w:t>5</w:t>
            </w:r>
            <w:r w:rsidR="00F84C15">
              <w:rPr>
                <w:noProof/>
              </w:rPr>
              <w:fldChar w:fldCharType="end"/>
            </w:r>
          </w:hyperlink>
        </w:p>
        <w:p w:rsidR="00F84C15" w:rsidRDefault="00135510">
          <w:pPr>
            <w:pStyle w:val="TOC2"/>
            <w:tabs>
              <w:tab w:val="right" w:leader="dot" w:pos="9350"/>
            </w:tabs>
            <w:rPr>
              <w:noProof/>
            </w:rPr>
          </w:pPr>
          <w:hyperlink w:anchor="_Toc232880803" w:history="1">
            <w:r w:rsidR="00F84C15" w:rsidRPr="00221AF7">
              <w:rPr>
                <w:rStyle w:val="Hyperlink"/>
                <w:noProof/>
              </w:rPr>
              <w:t>3.2 Data Security and Privacy Risks</w:t>
            </w:r>
            <w:r w:rsidR="00F84C15">
              <w:rPr>
                <w:noProof/>
              </w:rPr>
              <w:tab/>
            </w:r>
            <w:r w:rsidR="00F84C15">
              <w:rPr>
                <w:noProof/>
              </w:rPr>
              <w:fldChar w:fldCharType="begin"/>
            </w:r>
            <w:r w:rsidR="00F84C15">
              <w:rPr>
                <w:noProof/>
              </w:rPr>
              <w:instrText xml:space="preserve"> PAGEREF _Toc232880803 \h </w:instrText>
            </w:r>
            <w:r w:rsidR="00F84C15">
              <w:rPr>
                <w:noProof/>
              </w:rPr>
            </w:r>
            <w:r w:rsidR="00F84C15">
              <w:rPr>
                <w:noProof/>
              </w:rPr>
              <w:fldChar w:fldCharType="separate"/>
            </w:r>
            <w:r w:rsidR="00F84C15">
              <w:rPr>
                <w:noProof/>
              </w:rPr>
              <w:t>5</w:t>
            </w:r>
            <w:r w:rsidR="00F84C15">
              <w:rPr>
                <w:noProof/>
              </w:rPr>
              <w:fldChar w:fldCharType="end"/>
            </w:r>
          </w:hyperlink>
        </w:p>
        <w:p w:rsidR="00F84C15" w:rsidRDefault="00135510">
          <w:pPr>
            <w:pStyle w:val="TOC2"/>
            <w:tabs>
              <w:tab w:val="right" w:leader="dot" w:pos="9350"/>
            </w:tabs>
            <w:rPr>
              <w:noProof/>
            </w:rPr>
          </w:pPr>
          <w:hyperlink w:anchor="_Toc232880804" w:history="1">
            <w:r w:rsidR="00F84C15" w:rsidRPr="00221AF7">
              <w:rPr>
                <w:rStyle w:val="Hyperlink"/>
                <w:noProof/>
              </w:rPr>
              <w:t>3.3 Reliability and Quality Risks</w:t>
            </w:r>
            <w:r w:rsidR="00F84C15">
              <w:rPr>
                <w:noProof/>
              </w:rPr>
              <w:tab/>
            </w:r>
            <w:r w:rsidR="00F84C15">
              <w:rPr>
                <w:noProof/>
              </w:rPr>
              <w:fldChar w:fldCharType="begin"/>
            </w:r>
            <w:r w:rsidR="00F84C15">
              <w:rPr>
                <w:noProof/>
              </w:rPr>
              <w:instrText xml:space="preserve"> PAGEREF _Toc232880804 \h </w:instrText>
            </w:r>
            <w:r w:rsidR="00F84C15">
              <w:rPr>
                <w:noProof/>
              </w:rPr>
            </w:r>
            <w:r w:rsidR="00F84C15">
              <w:rPr>
                <w:noProof/>
              </w:rPr>
              <w:fldChar w:fldCharType="separate"/>
            </w:r>
            <w:r w:rsidR="00F84C15">
              <w:rPr>
                <w:noProof/>
              </w:rPr>
              <w:t>6</w:t>
            </w:r>
            <w:r w:rsidR="00F84C15">
              <w:rPr>
                <w:noProof/>
              </w:rPr>
              <w:fldChar w:fldCharType="end"/>
            </w:r>
          </w:hyperlink>
        </w:p>
        <w:p w:rsidR="00F84C15" w:rsidRDefault="00135510">
          <w:pPr>
            <w:pStyle w:val="TOC1"/>
            <w:tabs>
              <w:tab w:val="right" w:leader="dot" w:pos="9350"/>
            </w:tabs>
            <w:rPr>
              <w:noProof/>
            </w:rPr>
          </w:pPr>
          <w:hyperlink w:anchor="_Toc232880805" w:history="1">
            <w:r w:rsidR="00F84C15" w:rsidRPr="00221AF7">
              <w:rPr>
                <w:rStyle w:val="Hyperlink"/>
                <w:noProof/>
              </w:rPr>
              <w:t>4. Risk Decisions Made During Development</w:t>
            </w:r>
            <w:r w:rsidR="00F84C15">
              <w:rPr>
                <w:noProof/>
              </w:rPr>
              <w:tab/>
            </w:r>
            <w:r w:rsidR="00F84C15">
              <w:rPr>
                <w:noProof/>
              </w:rPr>
              <w:fldChar w:fldCharType="begin"/>
            </w:r>
            <w:r w:rsidR="00F84C15">
              <w:rPr>
                <w:noProof/>
              </w:rPr>
              <w:instrText xml:space="preserve"> PAGEREF _Toc232880805 \h </w:instrText>
            </w:r>
            <w:r w:rsidR="00F84C15">
              <w:rPr>
                <w:noProof/>
              </w:rPr>
            </w:r>
            <w:r w:rsidR="00F84C15">
              <w:rPr>
                <w:noProof/>
              </w:rPr>
              <w:fldChar w:fldCharType="separate"/>
            </w:r>
            <w:r w:rsidR="00F84C15">
              <w:rPr>
                <w:noProof/>
              </w:rPr>
              <w:t>6</w:t>
            </w:r>
            <w:r w:rsidR="00F84C15">
              <w:rPr>
                <w:noProof/>
              </w:rPr>
              <w:fldChar w:fldCharType="end"/>
            </w:r>
          </w:hyperlink>
        </w:p>
        <w:p w:rsidR="00F84C15" w:rsidRDefault="00135510">
          <w:pPr>
            <w:pStyle w:val="TOC1"/>
            <w:tabs>
              <w:tab w:val="right" w:leader="dot" w:pos="9350"/>
            </w:tabs>
            <w:rPr>
              <w:noProof/>
            </w:rPr>
          </w:pPr>
          <w:hyperlink w:anchor="_Toc232880806" w:history="1">
            <w:r w:rsidR="00F84C15" w:rsidRPr="00221AF7">
              <w:rPr>
                <w:rStyle w:val="Hyperlink"/>
                <w:noProof/>
              </w:rPr>
              <w:t>5. Summary</w:t>
            </w:r>
            <w:r w:rsidR="00F84C15">
              <w:rPr>
                <w:noProof/>
              </w:rPr>
              <w:tab/>
            </w:r>
            <w:r w:rsidR="00F84C15">
              <w:rPr>
                <w:noProof/>
              </w:rPr>
              <w:fldChar w:fldCharType="begin"/>
            </w:r>
            <w:r w:rsidR="00F84C15">
              <w:rPr>
                <w:noProof/>
              </w:rPr>
              <w:instrText xml:space="preserve"> PAGEREF _Toc232880806 \h </w:instrText>
            </w:r>
            <w:r w:rsidR="00F84C15">
              <w:rPr>
                <w:noProof/>
              </w:rPr>
            </w:r>
            <w:r w:rsidR="00F84C15">
              <w:rPr>
                <w:noProof/>
              </w:rPr>
              <w:fldChar w:fldCharType="separate"/>
            </w:r>
            <w:r w:rsidR="00F84C15">
              <w:rPr>
                <w:noProof/>
              </w:rPr>
              <w:t>7</w:t>
            </w:r>
            <w:r w:rsidR="00F84C15">
              <w:rPr>
                <w:noProof/>
              </w:rPr>
              <w:fldChar w:fldCharType="end"/>
            </w:r>
          </w:hyperlink>
        </w:p>
        <w:p w:rsidR="002A7EB6" w:rsidRDefault="007C0410">
          <w:r>
            <w:fldChar w:fldCharType="end"/>
          </w:r>
        </w:p>
      </w:sdtContent>
    </w:sdt>
    <w:p w:rsidR="002A7EB6" w:rsidRDefault="007C0410">
      <w:r>
        <w:br w:type="page"/>
      </w:r>
    </w:p>
    <w:p w:rsidR="002A7EB6" w:rsidRDefault="007C0410">
      <w:pPr>
        <w:pStyle w:val="Heading1"/>
      </w:pPr>
      <w:bookmarkStart w:id="2" w:name="_Toc232880799"/>
      <w:r>
        <w:lastRenderedPageBreak/>
        <w:t>1. Purpose and Scope</w:t>
      </w:r>
      <w:bookmarkEnd w:id="2"/>
    </w:p>
    <w:p w:rsidR="002A7EB6" w:rsidRDefault="007C0410">
      <w:pPr>
        <w:spacing w:after="160"/>
      </w:pPr>
      <w:r>
        <w:t>This document records the risks identified during the design, development, and testing of the Capstone Document Processing System, and separately, the risks that would need to be actively managed if this system were taken beyond a capstone submission into a real production deployment.</w:t>
      </w:r>
    </w:p>
    <w:p w:rsidR="002A7EB6" w:rsidRDefault="007C0410">
      <w:pPr>
        <w:spacing w:after="160"/>
      </w:pPr>
      <w:r>
        <w:t>Risks are rated on two dimensions: Likelihood (how probable the risk is to occur given current evidence) and Impact (how severely it would affect the system or its users if it did occur). Ratings of High, Medium, and Low are used consistently throughout. Where a risk was actually observed during development rather than merely anticipated, this is noted explicitly, since observed risks carry stronger evidence than theoretical ones.</w:t>
      </w:r>
    </w:p>
    <w:p w:rsidR="002A7EB6" w:rsidRDefault="007C0410">
      <w:pPr>
        <w:spacing w:after="160"/>
      </w:pPr>
      <w:r>
        <w:t>This document is a companion to, not a replacement for, docs/known-limitations.md, which contains the detailed root-cause evidence (log excerpts, reproduction steps) for every technical issue found during development. This risk document summarizes that evidence into a standard risk-register format and extends it with forward-looking production risks that were not directly observed but are reasonably foreseeable.</w:t>
      </w:r>
    </w:p>
    <w:p w:rsidR="002A7EB6" w:rsidRDefault="007C0410">
      <w:pPr>
        <w:pStyle w:val="Heading1"/>
      </w:pPr>
      <w:bookmarkStart w:id="3" w:name="_Toc232880800"/>
      <w:r>
        <w:t>2. Current-State Technical Risks</w:t>
      </w:r>
      <w:bookmarkEnd w:id="3"/>
    </w:p>
    <w:p w:rsidR="002A7EB6" w:rsidRDefault="007C0410">
      <w:pPr>
        <w:spacing w:after="160"/>
      </w:pPr>
      <w:r>
        <w:t>These risks reflect the system as actually built and tested for this capstone submission. Several were directly observed during development; these are marked “Observed” in the mitigation column with a reference to the relevant section of known-limitations.md.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1300"/>
        <w:gridCol w:w="1100"/>
        <w:gridCol w:w="3660"/>
      </w:tblGrid>
      <w:tr w:rsidR="002A7EB6">
        <w:trPr>
          <w:tblHeader/>
        </w:trPr>
        <w:tc>
          <w:tcPr>
            <w:tcW w:w="6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ID</w:t>
            </w:r>
          </w:p>
        </w:tc>
        <w:tc>
          <w:tcPr>
            <w:tcW w:w="27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Risk</w:t>
            </w:r>
          </w:p>
        </w:tc>
        <w:tc>
          <w:tcPr>
            <w:tcW w:w="13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Likelihood</w:t>
            </w:r>
          </w:p>
        </w:tc>
        <w:tc>
          <w:tcPr>
            <w:tcW w:w="11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Impact</w:t>
            </w:r>
          </w:p>
        </w:tc>
        <w:tc>
          <w:tcPr>
            <w:tcW w:w="366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Mitigation / response</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T1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LLM occasionally skips invoking the search tool before answering, returning an incorrect “not found” response even though the correct chunk exists in the knowledge base.</w:t>
            </w:r>
          </w:p>
        </w:tc>
        <w:tc>
          <w:tcPr>
            <w:tcW w:w="13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Observed (limitations §1). Root-caused as inherent non-determinism in the small, fast Llama 3.1 8B Instant model used for free-tier speed. Partially mitigated by switching from chat-mode to query-mode, which removed a context-accumulation trigger. Full resolution would require a larger, more reliable model.</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T2</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A short, correct answer chunk can be “lost” in the LLM's reasoning when retrieved alongside longer, topically unrelated chunks from a mixed-content knowledge base.</w:t>
            </w:r>
          </w:p>
        </w:tc>
        <w:tc>
          <w:tcPr>
            <w:tcW w:w="13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Observed and reproduced twice (limitations §1). Confirmed not to be caused by knowledge-</w:t>
            </w:r>
            <w:proofErr w:type="spellStart"/>
            <w:r>
              <w:rPr>
                <w:sz w:val="19"/>
                <w:szCs w:val="19"/>
              </w:rPr>
              <w:t>base</w:t>
            </w:r>
            <w:proofErr w:type="spellEnd"/>
            <w:r>
              <w:rPr>
                <w:sz w:val="19"/>
                <w:szCs w:val="19"/>
              </w:rPr>
              <w:t xml:space="preserve"> size via a controlled follow-up experiment. This is a known LLM </w:t>
            </w:r>
            <w:proofErr w:type="spellStart"/>
            <w:r>
              <w:rPr>
                <w:sz w:val="19"/>
                <w:szCs w:val="19"/>
              </w:rPr>
              <w:t>behaviour</w:t>
            </w:r>
            <w:proofErr w:type="spellEnd"/>
            <w:r>
              <w:rPr>
                <w:sz w:val="19"/>
                <w:szCs w:val="19"/>
              </w:rPr>
              <w:t xml:space="preserve"> (“lost in the middle”), more pronounced in smaller models. Production fix: add a re-ranking step or use a larger-context model.</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T3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proofErr w:type="spellStart"/>
            <w:r>
              <w:rPr>
                <w:sz w:val="19"/>
                <w:szCs w:val="19"/>
              </w:rPr>
              <w:t>ChromaDB</w:t>
            </w:r>
            <w:proofErr w:type="spellEnd"/>
            <w:r>
              <w:rPr>
                <w:sz w:val="19"/>
                <w:szCs w:val="19"/>
              </w:rPr>
              <w:t xml:space="preserve"> collection references inside a running service instance can become stale if the underlying collection is modified by a separate process while the server is live.</w:t>
            </w:r>
          </w:p>
        </w:tc>
        <w:tc>
          <w:tcPr>
            <w:tcW w:w="13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Observed once during testing (limitations §3). Resolved by restarting the </w:t>
            </w:r>
            <w:proofErr w:type="spellStart"/>
            <w:r>
              <w:rPr>
                <w:sz w:val="19"/>
                <w:szCs w:val="19"/>
              </w:rPr>
              <w:t>FastAPI</w:t>
            </w:r>
            <w:proofErr w:type="spellEnd"/>
            <w:r>
              <w:rPr>
                <w:sz w:val="19"/>
                <w:szCs w:val="19"/>
              </w:rPr>
              <w:t xml:space="preserve"> server after any external </w:t>
            </w:r>
            <w:proofErr w:type="spellStart"/>
            <w:r>
              <w:rPr>
                <w:sz w:val="19"/>
                <w:szCs w:val="19"/>
              </w:rPr>
              <w:t>ChromaDB</w:t>
            </w:r>
            <w:proofErr w:type="spellEnd"/>
            <w:r>
              <w:rPr>
                <w:sz w:val="19"/>
                <w:szCs w:val="19"/>
              </w:rPr>
              <w:t xml:space="preserve"> modification. Low risk in normal operation since the application does not modify its own collection from outside the running process during regular use.</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lastRenderedPageBreak/>
              <w:t>T4</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Reasoning over raw, delimiter-separated tabular data (CSV) can produce inconsistent comparison answers (e.g. “highest salary”) due to LLM non-determinism in mentally parsing rows and columns.</w:t>
            </w:r>
          </w:p>
        </w:tc>
        <w:tc>
          <w:tcPr>
            <w:tcW w:w="13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Observed (limitations §2). Mitigated by lowering LLM_TEMPERATURE to 0.0, which produced consistent correct answers across repeated testing. Residual risk remains for more complex tabular reasoning than was tested.</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T5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Floating Docker base image tags (e.g. python</w:t>
            </w:r>
            <w:proofErr w:type="gramStart"/>
            <w:r>
              <w:rPr>
                <w:sz w:val="19"/>
                <w:szCs w:val="19"/>
              </w:rPr>
              <w:t>:3.12</w:t>
            </w:r>
            <w:proofErr w:type="gramEnd"/>
            <w:r>
              <w:rPr>
                <w:sz w:val="19"/>
                <w:szCs w:val="19"/>
              </w:rPr>
              <w:t>-slim) can silently resolve to a newer patch version at build time, introducing environment-specific compatibility bugs not present in local development.</w:t>
            </w:r>
          </w:p>
        </w:tc>
        <w:tc>
          <w:tcPr>
            <w:tcW w:w="13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11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Observed (limitations §7) — a Python 3.12.4+ patch broke a </w:t>
            </w:r>
            <w:proofErr w:type="spellStart"/>
            <w:r>
              <w:rPr>
                <w:sz w:val="19"/>
                <w:szCs w:val="19"/>
              </w:rPr>
              <w:t>Pydantic</w:t>
            </w:r>
            <w:proofErr w:type="spellEnd"/>
            <w:r>
              <w:rPr>
                <w:sz w:val="19"/>
                <w:szCs w:val="19"/>
              </w:rPr>
              <w:t xml:space="preserve"> v1 / </w:t>
            </w:r>
            <w:proofErr w:type="spellStart"/>
            <w:r>
              <w:rPr>
                <w:sz w:val="19"/>
                <w:szCs w:val="19"/>
              </w:rPr>
              <w:t>LlamaIndex</w:t>
            </w:r>
            <w:proofErr w:type="spellEnd"/>
            <w:r>
              <w:rPr>
                <w:sz w:val="19"/>
                <w:szCs w:val="19"/>
              </w:rPr>
              <w:t xml:space="preserve"> compatibility path with a confirmed upstream bug. Resolved by pinning the exact base image version (python</w:t>
            </w:r>
            <w:proofErr w:type="gramStart"/>
            <w:r>
              <w:rPr>
                <w:sz w:val="19"/>
                <w:szCs w:val="19"/>
              </w:rPr>
              <w:t>:3.12.3</w:t>
            </w:r>
            <w:proofErr w:type="gramEnd"/>
            <w:r>
              <w:rPr>
                <w:sz w:val="19"/>
                <w:szCs w:val="19"/>
              </w:rPr>
              <w:t>-slim). Recommend periodic review of pinned versions against upstream security patches.</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T6</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The local embedding model (sentence-transformers + torch) requires more memory than is available on minimal free-tier cloud hosting (512MB), preventing continuous public deployment without cost.</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 xml:space="preserve">Observed (limitations §8). The </w:t>
            </w:r>
            <w:proofErr w:type="spellStart"/>
            <w:r>
              <w:rPr>
                <w:sz w:val="19"/>
                <w:szCs w:val="19"/>
              </w:rPr>
              <w:t>Dockerfile</w:t>
            </w:r>
            <w:proofErr w:type="spellEnd"/>
            <w:r>
              <w:rPr>
                <w:sz w:val="19"/>
                <w:szCs w:val="19"/>
              </w:rPr>
              <w:t xml:space="preserve"> itself was confirmed correct and production-ready; only the hosting tier's RAM was insufficient. Decision made to prioritize free, local (</w:t>
            </w:r>
            <w:proofErr w:type="spellStart"/>
            <w:r>
              <w:rPr>
                <w:sz w:val="19"/>
                <w:szCs w:val="19"/>
              </w:rPr>
              <w:t>Codespaces</w:t>
            </w:r>
            <w:proofErr w:type="spellEnd"/>
            <w:r>
              <w:rPr>
                <w:sz w:val="19"/>
                <w:szCs w:val="19"/>
              </w:rPr>
              <w:t>) demonstration over a recurring paid hosting cost for a capstone project. See §3 below for the production-equivalent of this risk.</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T7</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Uploaded documents and generated vector data are stored on local disk (data/uploads, data/</w:t>
            </w:r>
            <w:proofErr w:type="spellStart"/>
            <w:r>
              <w:rPr>
                <w:sz w:val="19"/>
                <w:szCs w:val="19"/>
              </w:rPr>
              <w:t>chroma_db</w:t>
            </w:r>
            <w:proofErr w:type="spellEnd"/>
            <w:r>
              <w:rPr>
                <w:sz w:val="19"/>
                <w:szCs w:val="19"/>
              </w:rPr>
              <w:t>) with no encryption at rest and no automatic backup.</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Acceptable for capstone scope, where only synthetic or non-sensitive test documents are used. Sensitive documents (e.g. a colleague's resume, an internal company PDF) were deliberately identified during testing and excluded from the knowledge base rather than risk-accepted; see §4.</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T8</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No automated test suite covers the full RAG pipeline end-to-end; testing was manual and exploratory, driven by hands-on question-and-answer sessions.</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proofErr w:type="spellStart"/>
            <w:proofErr w:type="gramStart"/>
            <w:r>
              <w:rPr>
                <w:sz w:val="19"/>
                <w:szCs w:val="19"/>
              </w:rPr>
              <w:t>pytest</w:t>
            </w:r>
            <w:proofErr w:type="spellEnd"/>
            <w:proofErr w:type="gramEnd"/>
            <w:r>
              <w:rPr>
                <w:sz w:val="19"/>
                <w:szCs w:val="19"/>
              </w:rPr>
              <w:t xml:space="preserve"> and </w:t>
            </w:r>
            <w:proofErr w:type="spellStart"/>
            <w:r>
              <w:rPr>
                <w:sz w:val="19"/>
                <w:szCs w:val="19"/>
              </w:rPr>
              <w:t>httpx</w:t>
            </w:r>
            <w:proofErr w:type="spellEnd"/>
            <w:r>
              <w:rPr>
                <w:sz w:val="19"/>
                <w:szCs w:val="19"/>
              </w:rPr>
              <w:t xml:space="preserve"> are included in requirements.txt for endpoint-level testing, but comprehensive automated regression coverage of the agent's reasoning </w:t>
            </w:r>
            <w:proofErr w:type="spellStart"/>
            <w:r>
              <w:rPr>
                <w:sz w:val="19"/>
                <w:szCs w:val="19"/>
              </w:rPr>
              <w:t>behaviour</w:t>
            </w:r>
            <w:proofErr w:type="spellEnd"/>
            <w:r>
              <w:rPr>
                <w:sz w:val="19"/>
                <w:szCs w:val="19"/>
              </w:rPr>
              <w:t xml:space="preserve"> was not built, since LLM output is inherently difficult to assert on deterministically. Manual testing was extensive and well-documented as a partial substitute.</w:t>
            </w:r>
          </w:p>
        </w:tc>
      </w:tr>
    </w:tbl>
    <w:p w:rsidR="002A7EB6" w:rsidRDefault="007C0410">
      <w:pPr>
        <w:pStyle w:val="Heading1"/>
      </w:pPr>
      <w:bookmarkStart w:id="4" w:name="_Toc232880801"/>
      <w:r>
        <w:t>3. Forward-Looking Production Risk Register</w:t>
      </w:r>
      <w:bookmarkEnd w:id="4"/>
    </w:p>
    <w:p w:rsidR="002A7EB6" w:rsidRDefault="007C0410">
      <w:pPr>
        <w:spacing w:after="160"/>
      </w:pPr>
      <w:r>
        <w:t>The risks below were not necessarily observed during capstone development but are reasonably foreseeable if this system were extended into a real, multi-user production deployment. They are included to demonstrate awareness of the gap between a working capstone prototype and a production-grade system.</w:t>
      </w:r>
    </w:p>
    <w:p w:rsidR="002A7EB6" w:rsidRDefault="007C0410">
      <w:pPr>
        <w:pStyle w:val="Heading2"/>
      </w:pPr>
      <w:bookmarkStart w:id="5" w:name="_Toc232880802"/>
      <w:r>
        <w:lastRenderedPageBreak/>
        <w:t>3.1 Cost and Scaling Risks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1300"/>
        <w:gridCol w:w="1100"/>
        <w:gridCol w:w="3660"/>
      </w:tblGrid>
      <w:tr w:rsidR="002A7EB6">
        <w:trPr>
          <w:tblHeader/>
        </w:trPr>
        <w:tc>
          <w:tcPr>
            <w:tcW w:w="6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ID</w:t>
            </w:r>
          </w:p>
        </w:tc>
        <w:tc>
          <w:tcPr>
            <w:tcW w:w="27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Risk</w:t>
            </w:r>
          </w:p>
        </w:tc>
        <w:tc>
          <w:tcPr>
            <w:tcW w:w="13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Likelihood</w:t>
            </w:r>
          </w:p>
        </w:tc>
        <w:tc>
          <w:tcPr>
            <w:tcW w:w="11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Impact</w:t>
            </w:r>
          </w:p>
        </w:tc>
        <w:tc>
          <w:tcPr>
            <w:tcW w:w="366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Mitigation / response</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P1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proofErr w:type="spellStart"/>
            <w:r>
              <w:rPr>
                <w:sz w:val="19"/>
                <w:szCs w:val="19"/>
              </w:rPr>
              <w:t>Groq's</w:t>
            </w:r>
            <w:proofErr w:type="spellEnd"/>
            <w:r>
              <w:rPr>
                <w:sz w:val="19"/>
                <w:szCs w:val="19"/>
              </w:rPr>
              <w:t xml:space="preserve"> free tier has strict tokens-per-minute rate limits (observed directly at 6,000 TPM during development, §6 of limitations doc). Multi-user production traffic would exceed this quickly.</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Production deployment would require a paid </w:t>
            </w:r>
            <w:proofErr w:type="spellStart"/>
            <w:r>
              <w:rPr>
                <w:sz w:val="19"/>
                <w:szCs w:val="19"/>
              </w:rPr>
              <w:t>Groq</w:t>
            </w:r>
            <w:proofErr w:type="spellEnd"/>
            <w:r>
              <w:rPr>
                <w:sz w:val="19"/>
                <w:szCs w:val="19"/>
              </w:rPr>
              <w:t xml:space="preserve"> tier or an alternative LLM provider with usage-based billing and higher throughput limits, plus request queuing and per-user rate limiting at the API layer.</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P2</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Hosting costs scale with usage. The free Render tier was already insufficient for a single demo instance (§8 of limitations doc); a production system serving real traffic would need a paid tier with adequate RAM and likely horizontal scaling.</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 xml:space="preserve">Budget for at minimum a 2GB+ RAM instance; consider offloading embedding generation to an external API (e.g. </w:t>
            </w:r>
            <w:proofErr w:type="spellStart"/>
            <w:r>
              <w:rPr>
                <w:sz w:val="19"/>
                <w:szCs w:val="19"/>
              </w:rPr>
              <w:t>OpenAI</w:t>
            </w:r>
            <w:proofErr w:type="spellEnd"/>
            <w:r>
              <w:rPr>
                <w:sz w:val="19"/>
                <w:szCs w:val="19"/>
              </w:rPr>
              <w:t xml:space="preserve"> or Cohere </w:t>
            </w:r>
            <w:proofErr w:type="spellStart"/>
            <w:r>
              <w:rPr>
                <w:sz w:val="19"/>
                <w:szCs w:val="19"/>
              </w:rPr>
              <w:t>embeddings</w:t>
            </w:r>
            <w:proofErr w:type="spellEnd"/>
            <w:r>
              <w:rPr>
                <w:sz w:val="19"/>
                <w:szCs w:val="19"/>
              </w:rPr>
              <w:t>) to reduce the application's own memory footprint, trading hosting cost for a small per-call API cost.</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P3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proofErr w:type="spellStart"/>
            <w:r>
              <w:rPr>
                <w:sz w:val="19"/>
                <w:szCs w:val="19"/>
              </w:rPr>
              <w:t>ChromaDB</w:t>
            </w:r>
            <w:proofErr w:type="spellEnd"/>
            <w:r>
              <w:rPr>
                <w:sz w:val="19"/>
                <w:szCs w:val="19"/>
              </w:rPr>
              <w:t xml:space="preserve"> in its current local, file-based configuration does not support concurrent multi-instance access, which would be required for horizontal scaling behind a load balancer.</w:t>
            </w:r>
          </w:p>
        </w:tc>
        <w:tc>
          <w:tcPr>
            <w:tcW w:w="13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Migrate to a managed vector database (e.g. Pinecone, or a hosted </w:t>
            </w:r>
            <w:proofErr w:type="spellStart"/>
            <w:r>
              <w:rPr>
                <w:sz w:val="19"/>
                <w:szCs w:val="19"/>
              </w:rPr>
              <w:t>ChromaDB</w:t>
            </w:r>
            <w:proofErr w:type="spellEnd"/>
            <w:r>
              <w:rPr>
                <w:sz w:val="19"/>
                <w:szCs w:val="19"/>
              </w:rPr>
              <w:t xml:space="preserve"> server) that supports concurrent access from multiple application instances.</w:t>
            </w:r>
          </w:p>
        </w:tc>
      </w:tr>
    </w:tbl>
    <w:p w:rsidR="002A7EB6" w:rsidRDefault="007C0410">
      <w:pPr>
        <w:pStyle w:val="Heading2"/>
      </w:pPr>
      <w:bookmarkStart w:id="6" w:name="_Toc232880803"/>
      <w:r>
        <w:t>3.2 Data Security and Privacy Risks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1300"/>
        <w:gridCol w:w="1100"/>
        <w:gridCol w:w="3660"/>
      </w:tblGrid>
      <w:tr w:rsidR="002A7EB6">
        <w:trPr>
          <w:tblHeader/>
        </w:trPr>
        <w:tc>
          <w:tcPr>
            <w:tcW w:w="6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ID</w:t>
            </w:r>
          </w:p>
        </w:tc>
        <w:tc>
          <w:tcPr>
            <w:tcW w:w="27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Risk</w:t>
            </w:r>
          </w:p>
        </w:tc>
        <w:tc>
          <w:tcPr>
            <w:tcW w:w="13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Likelihood</w:t>
            </w:r>
          </w:p>
        </w:tc>
        <w:tc>
          <w:tcPr>
            <w:tcW w:w="11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Impact</w:t>
            </w:r>
          </w:p>
        </w:tc>
        <w:tc>
          <w:tcPr>
            <w:tcW w:w="366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Mitigation / response</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P4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Uploaded documents may contain personally identifiable information (PII) or confidential business data. The current system has no data classification, redaction, or access-control mechanism.</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Add document-level access controls tied to authenticated users, PII detection/redaction on ingestion, and encryption at rest for both uploaded files and the vector store. This risk was directly anticipated during development, when a company-internal PDF and a colleague's resume were deliberately excluded from testing rather than uploaded (see §4).</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P5</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Document content is sent to a third-party LLM provider (</w:t>
            </w:r>
            <w:proofErr w:type="spellStart"/>
            <w:r>
              <w:rPr>
                <w:sz w:val="19"/>
                <w:szCs w:val="19"/>
              </w:rPr>
              <w:t>Groq</w:t>
            </w:r>
            <w:proofErr w:type="spellEnd"/>
            <w:r>
              <w:rPr>
                <w:sz w:val="19"/>
                <w:szCs w:val="19"/>
              </w:rPr>
              <w:t>) as part of every query. There is currently no data processing agreement, retention policy review, or user consent flow covering this.</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11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 xml:space="preserve">Before processing real user or company data in production, review </w:t>
            </w:r>
            <w:proofErr w:type="spellStart"/>
            <w:r>
              <w:rPr>
                <w:sz w:val="19"/>
                <w:szCs w:val="19"/>
              </w:rPr>
              <w:t>Groq's</w:t>
            </w:r>
            <w:proofErr w:type="spellEnd"/>
            <w:r>
              <w:rPr>
                <w:sz w:val="19"/>
                <w:szCs w:val="19"/>
              </w:rPr>
              <w:t xml:space="preserve"> (or chosen provider's) data retention and training-use policies, add explicit user consent and a documented data processing agreement, and consider a self-hosted LLM for highly sensitive use cases.</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P6</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No authentication or authorization exists on any API endpoint. Any party with </w:t>
            </w:r>
            <w:r>
              <w:rPr>
                <w:sz w:val="19"/>
                <w:szCs w:val="19"/>
              </w:rPr>
              <w:lastRenderedPageBreak/>
              <w:t>network access to the deployed instance can upload documents or query the knowledge base.</w:t>
            </w:r>
          </w:p>
        </w:tc>
        <w:tc>
          <w:tcPr>
            <w:tcW w:w="13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lastRenderedPageBreak/>
              <w:t>High</w:t>
            </w:r>
          </w:p>
        </w:tc>
        <w:tc>
          <w:tcPr>
            <w:tcW w:w="11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Add API key or OAuth-based authentication, per-user knowledge-</w:t>
            </w:r>
            <w:proofErr w:type="spellStart"/>
            <w:r>
              <w:rPr>
                <w:sz w:val="19"/>
                <w:szCs w:val="19"/>
              </w:rPr>
              <w:t>base</w:t>
            </w:r>
            <w:proofErr w:type="spellEnd"/>
            <w:r>
              <w:rPr>
                <w:sz w:val="19"/>
                <w:szCs w:val="19"/>
              </w:rPr>
              <w:t xml:space="preserve"> isolation (so one user cannot </w:t>
            </w:r>
            <w:r>
              <w:rPr>
                <w:sz w:val="19"/>
                <w:szCs w:val="19"/>
              </w:rPr>
              <w:lastRenderedPageBreak/>
              <w:t>query another user's uploaded documents), and standard API security practices (rate limiting, input size limits already partially present).</w:t>
            </w:r>
          </w:p>
        </w:tc>
      </w:tr>
    </w:tbl>
    <w:p w:rsidR="002A7EB6" w:rsidRDefault="007C0410">
      <w:pPr>
        <w:pStyle w:val="Heading2"/>
      </w:pPr>
      <w:bookmarkStart w:id="7" w:name="_Toc232880804"/>
      <w:r>
        <w:lastRenderedPageBreak/>
        <w:t>3.3 Reliability and Quality Risks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1300"/>
        <w:gridCol w:w="1100"/>
        <w:gridCol w:w="3660"/>
      </w:tblGrid>
      <w:tr w:rsidR="002A7EB6">
        <w:trPr>
          <w:tblHeader/>
        </w:trPr>
        <w:tc>
          <w:tcPr>
            <w:tcW w:w="6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ID</w:t>
            </w:r>
          </w:p>
        </w:tc>
        <w:tc>
          <w:tcPr>
            <w:tcW w:w="27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Risk</w:t>
            </w:r>
          </w:p>
        </w:tc>
        <w:tc>
          <w:tcPr>
            <w:tcW w:w="13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Likelihood</w:t>
            </w:r>
          </w:p>
        </w:tc>
        <w:tc>
          <w:tcPr>
            <w:tcW w:w="110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Impact</w:t>
            </w:r>
          </w:p>
        </w:tc>
        <w:tc>
          <w:tcPr>
            <w:tcW w:w="3660" w:type="dxa"/>
            <w:tcBorders>
              <w:top w:val="single" w:sz="2" w:space="0" w:color="CCCCCC"/>
              <w:left w:val="single" w:sz="2" w:space="0" w:color="CCCCCC"/>
              <w:bottom w:val="single" w:sz="2" w:space="0" w:color="CCCCCC"/>
              <w:right w:val="single" w:sz="2" w:space="0" w:color="CCCCCC"/>
            </w:tcBorders>
            <w:shd w:val="clear" w:color="auto" w:fill="993C1D"/>
            <w:tcMar>
              <w:top w:w="80" w:type="dxa"/>
              <w:left w:w="120" w:type="dxa"/>
              <w:bottom w:w="80" w:type="dxa"/>
              <w:right w:w="120" w:type="dxa"/>
            </w:tcMar>
          </w:tcPr>
          <w:p w:rsidR="002A7EB6" w:rsidRDefault="007C0410">
            <w:r>
              <w:rPr>
                <w:b/>
                <w:bCs/>
                <w:color w:val="FFFFFF"/>
                <w:sz w:val="19"/>
                <w:szCs w:val="19"/>
              </w:rPr>
              <w:t>Mitigation / response</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P7</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The LLM tool-use non-determinism observed in capstone testing (T1, T2) would directly affect real users in production, potentially causing users to lose trust if the system incorrectly claims it cannot find an answer.</w:t>
            </w:r>
          </w:p>
        </w:tc>
        <w:tc>
          <w:tcPr>
            <w:tcW w:w="13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09595"/>
            <w:tcMar>
              <w:top w:w="80" w:type="dxa"/>
              <w:left w:w="100" w:type="dxa"/>
              <w:bottom w:w="80" w:type="dxa"/>
              <w:right w:w="100" w:type="dxa"/>
            </w:tcMar>
          </w:tcPr>
          <w:p w:rsidR="002A7EB6" w:rsidRDefault="007C0410">
            <w:pPr>
              <w:jc w:val="center"/>
            </w:pPr>
            <w:r>
              <w:rPr>
                <w:b/>
                <w:bCs/>
                <w:color w:val="501313"/>
                <w:sz w:val="18"/>
                <w:szCs w:val="18"/>
              </w:rPr>
              <w:t>High</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Move to a larger, more reliable model for production use; add a confidence/fallback mechanism that retries with explicit search-forcing if the agent's first pass returns a negative answer; add user-facing feedback (“was this answer helpful?”) to monitor real-world accuracy.</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P8</w:t>
            </w:r>
          </w:p>
        </w:tc>
        <w:tc>
          <w:tcPr>
            <w:tcW w:w="2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No production observability (metrics, tracing, alerting) exists beyond structured application logs. Issues in production may go undetected until reported by users.</w:t>
            </w:r>
          </w:p>
        </w:tc>
        <w:tc>
          <w:tcPr>
            <w:tcW w:w="13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36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2A7EB6" w:rsidRDefault="007C0410">
            <w:r>
              <w:rPr>
                <w:sz w:val="19"/>
                <w:szCs w:val="19"/>
              </w:rPr>
              <w:t>This was explicitly called out as an accepted, documented assumption for the capstone scope (see architecture document §7.1). Production deployment would require a metrics/alerting stack (e.g. Prometheus/</w:t>
            </w:r>
            <w:proofErr w:type="spellStart"/>
            <w:r>
              <w:rPr>
                <w:sz w:val="19"/>
                <w:szCs w:val="19"/>
              </w:rPr>
              <w:t>Grafana</w:t>
            </w:r>
            <w:proofErr w:type="spellEnd"/>
            <w:r>
              <w:rPr>
                <w:sz w:val="19"/>
                <w:szCs w:val="19"/>
              </w:rPr>
              <w:t>, or a hosted APM) and uptime monitoring on the health-check endpoint.</w:t>
            </w:r>
          </w:p>
        </w:tc>
      </w:tr>
      <w:tr w:rsidR="002A7EB6">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P9</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No automated CI/CD pipeline exists; deployment is currently a manual </w:t>
            </w:r>
            <w:proofErr w:type="spellStart"/>
            <w:r>
              <w:rPr>
                <w:sz w:val="19"/>
                <w:szCs w:val="19"/>
              </w:rPr>
              <w:t>git</w:t>
            </w:r>
            <w:proofErr w:type="spellEnd"/>
            <w:r>
              <w:rPr>
                <w:sz w:val="19"/>
                <w:szCs w:val="19"/>
              </w:rPr>
              <w:t xml:space="preserve"> push triggering a Render build. Human error in deployment steps is possible.</w:t>
            </w:r>
          </w:p>
        </w:tc>
        <w:tc>
          <w:tcPr>
            <w:tcW w:w="1300" w:type="dxa"/>
            <w:tcBorders>
              <w:top w:val="single" w:sz="2" w:space="0" w:color="CCCCCC"/>
              <w:left w:val="single" w:sz="2" w:space="0" w:color="CCCCCC"/>
              <w:bottom w:val="single" w:sz="2" w:space="0" w:color="CCCCCC"/>
              <w:right w:val="single" w:sz="2" w:space="0" w:color="CCCCCC"/>
            </w:tcBorders>
            <w:shd w:val="clear" w:color="auto" w:fill="FAC775"/>
            <w:tcMar>
              <w:top w:w="80" w:type="dxa"/>
              <w:left w:w="100" w:type="dxa"/>
              <w:bottom w:w="80" w:type="dxa"/>
              <w:right w:w="100" w:type="dxa"/>
            </w:tcMar>
          </w:tcPr>
          <w:p w:rsidR="002A7EB6" w:rsidRDefault="007C0410">
            <w:pPr>
              <w:jc w:val="center"/>
            </w:pPr>
            <w:r>
              <w:rPr>
                <w:b/>
                <w:bCs/>
                <w:color w:val="412402"/>
                <w:sz w:val="18"/>
                <w:szCs w:val="18"/>
              </w:rPr>
              <w:t>Medium</w:t>
            </w:r>
          </w:p>
        </w:tc>
        <w:tc>
          <w:tcPr>
            <w:tcW w:w="1100" w:type="dxa"/>
            <w:tcBorders>
              <w:top w:val="single" w:sz="2" w:space="0" w:color="CCCCCC"/>
              <w:left w:val="single" w:sz="2" w:space="0" w:color="CCCCCC"/>
              <w:bottom w:val="single" w:sz="2" w:space="0" w:color="CCCCCC"/>
              <w:right w:val="single" w:sz="2" w:space="0" w:color="CCCCCC"/>
            </w:tcBorders>
            <w:shd w:val="clear" w:color="auto" w:fill="C0DD97"/>
            <w:tcMar>
              <w:top w:w="80" w:type="dxa"/>
              <w:left w:w="100" w:type="dxa"/>
              <w:bottom w:w="80" w:type="dxa"/>
              <w:right w:w="100" w:type="dxa"/>
            </w:tcMar>
          </w:tcPr>
          <w:p w:rsidR="002A7EB6" w:rsidRDefault="007C0410">
            <w:pPr>
              <w:jc w:val="center"/>
            </w:pPr>
            <w:r>
              <w:rPr>
                <w:b/>
                <w:bCs/>
                <w:color w:val="173404"/>
                <w:sz w:val="18"/>
                <w:szCs w:val="18"/>
              </w:rPr>
              <w:t>Low</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2A7EB6" w:rsidRDefault="007C0410">
            <w:r>
              <w:rPr>
                <w:sz w:val="19"/>
                <w:szCs w:val="19"/>
              </w:rPr>
              <w:t xml:space="preserve">Add automated testing and a CI/CD pipeline (e.g. GitHub Actions) that runs tests before allowing </w:t>
            </w:r>
            <w:proofErr w:type="gramStart"/>
            <w:r>
              <w:rPr>
                <w:sz w:val="19"/>
                <w:szCs w:val="19"/>
              </w:rPr>
              <w:t>a deploy</w:t>
            </w:r>
            <w:proofErr w:type="gramEnd"/>
            <w:r>
              <w:rPr>
                <w:sz w:val="19"/>
                <w:szCs w:val="19"/>
              </w:rPr>
              <w:t>, and a staging environment to validate changes before they reach production.</w:t>
            </w:r>
          </w:p>
        </w:tc>
      </w:tr>
    </w:tbl>
    <w:p w:rsidR="002A7EB6" w:rsidRDefault="007C0410">
      <w:pPr>
        <w:pStyle w:val="Heading1"/>
      </w:pPr>
      <w:bookmarkStart w:id="8" w:name="_Toc232880805"/>
      <w:r>
        <w:t>4. Risk Decisions Made During Development</w:t>
      </w:r>
      <w:bookmarkEnd w:id="8"/>
    </w:p>
    <w:p w:rsidR="002A7EB6" w:rsidRDefault="007C0410">
      <w:pPr>
        <w:spacing w:after="160"/>
      </w:pPr>
      <w:r>
        <w:t>Two deliberate, documented risk-acceptance or risk-avoidance decisions were made during development, demonstrating active risk management rather than passive risk discovery.</w:t>
      </w:r>
    </w:p>
    <w:p w:rsidR="002A7EB6" w:rsidRDefault="007C0410">
      <w:pPr>
        <w:pStyle w:val="ListParagraph"/>
        <w:numPr>
          <w:ilvl w:val="0"/>
          <w:numId w:val="2"/>
        </w:numPr>
        <w:spacing w:after="80"/>
      </w:pPr>
      <w:r>
        <w:t xml:space="preserve">Data privacy avoidance: a colleague's resume and an internal company PDF were both identified as containing sensitive or confidential information before upload, and were deliberately excluded from the knowledge base and removed from disk and </w:t>
      </w:r>
      <w:proofErr w:type="spellStart"/>
      <w:r>
        <w:t>ChromaDB</w:t>
      </w:r>
      <w:proofErr w:type="spellEnd"/>
      <w:r>
        <w:t xml:space="preserve"> once identified, rather than being risk-accepted for testing convenience.</w:t>
      </w:r>
    </w:p>
    <w:p w:rsidR="002A7EB6" w:rsidRDefault="007C0410">
      <w:pPr>
        <w:pStyle w:val="ListParagraph"/>
        <w:numPr>
          <w:ilvl w:val="0"/>
          <w:numId w:val="2"/>
        </w:numPr>
        <w:spacing w:after="80"/>
      </w:pPr>
      <w:r>
        <w:t xml:space="preserve">Cost avoidance: rather than upgrading to a paid Render hosting tier ($25/month) to resolve a free-tier memory constraint (T6), the decision was made to rely on local </w:t>
      </w:r>
      <w:proofErr w:type="spellStart"/>
      <w:r>
        <w:t>Codespaces</w:t>
      </w:r>
      <w:proofErr w:type="spellEnd"/>
      <w:r>
        <w:t xml:space="preserve"> demonstration and thorough documentation for capstone submission, since the </w:t>
      </w:r>
      <w:proofErr w:type="spellStart"/>
      <w:r>
        <w:t>Dockerfile</w:t>
      </w:r>
      <w:proofErr w:type="spellEnd"/>
      <w:r>
        <w:t xml:space="preserve"> itself was already confirmed correct and production-ready, and a recurring cost was not justified for a time-boxed academic project.</w:t>
      </w:r>
    </w:p>
    <w:p w:rsidR="002A7EB6" w:rsidRDefault="007C0410">
      <w:pPr>
        <w:pStyle w:val="Heading1"/>
      </w:pPr>
      <w:bookmarkStart w:id="9" w:name="_Toc232880806"/>
      <w:r>
        <w:lastRenderedPageBreak/>
        <w:t>5. Summary</w:t>
      </w:r>
      <w:bookmarkEnd w:id="9"/>
    </w:p>
    <w:p w:rsidR="002A7EB6" w:rsidRDefault="007C0410">
      <w:pPr>
        <w:spacing w:after="160"/>
      </w:pPr>
      <w:r>
        <w:t>Eight current-state technical risks were identified, of which six were directly observed and evidenced during development, and two were assessed as low-impact, accepted limitations appropriate to capstone scope. Nine forward-looking production risks were identified across cost/scaling, data security, and reliability/quality categories, representing the gap between a working capstone prototype and a production-grade, multi-user system handling real or sensitive data.</w:t>
      </w:r>
    </w:p>
    <w:p w:rsidR="002A7EB6" w:rsidRDefault="007C0410">
      <w:pPr>
        <w:spacing w:after="160"/>
      </w:pPr>
      <w:r>
        <w:t>None of the identified risks are hidden or unaddressed in this submission: each current-state risk has a documented mitigation or an explicit, reasoned decision to accept it within capstone scope, and each production risk includes a concrete recommended mitigation path for any future extension of this work.</w:t>
      </w:r>
    </w:p>
    <w:sectPr w:rsidR="002A7E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510" w:rsidRDefault="00135510">
      <w:r>
        <w:separator/>
      </w:r>
    </w:p>
  </w:endnote>
  <w:endnote w:type="continuationSeparator" w:id="0">
    <w:p w:rsidR="00135510" w:rsidRDefault="0013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EB6" w:rsidRDefault="007C0410">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4D1E03">
      <w:rPr>
        <w:noProof/>
        <w:color w:val="888780"/>
        <w:sz w:val="16"/>
        <w:szCs w:val="16"/>
      </w:rPr>
      <w:t>7</w:t>
    </w:r>
    <w:r>
      <w:rPr>
        <w:color w:val="888780"/>
        <w:sz w:val="16"/>
        <w:szCs w:val="16"/>
      </w:rPr>
      <w:fldChar w:fldCharType="end"/>
    </w:r>
    <w:r>
      <w:rPr>
        <w:color w:val="888780"/>
        <w:sz w:val="16"/>
        <w:szCs w:val="16"/>
      </w:rPr>
      <w:t xml:space="preserve"> of </w:t>
    </w:r>
    <w:r>
      <w:rPr>
        <w:color w:val="888780"/>
        <w:sz w:val="16"/>
        <w:szCs w:val="16"/>
      </w:rPr>
      <w:fldChar w:fldCharType="begin"/>
    </w:r>
    <w:r>
      <w:rPr>
        <w:color w:val="888780"/>
        <w:sz w:val="16"/>
        <w:szCs w:val="16"/>
      </w:rPr>
      <w:instrText>NUMPAGES</w:instrText>
    </w:r>
    <w:r>
      <w:rPr>
        <w:color w:val="888780"/>
        <w:sz w:val="16"/>
        <w:szCs w:val="16"/>
      </w:rPr>
      <w:fldChar w:fldCharType="separate"/>
    </w:r>
    <w:r w:rsidR="004D1E03">
      <w:rPr>
        <w:noProof/>
        <w:color w:val="888780"/>
        <w:sz w:val="16"/>
        <w:szCs w:val="16"/>
      </w:rPr>
      <w:t>7</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510" w:rsidRDefault="00135510">
      <w:r>
        <w:separator/>
      </w:r>
    </w:p>
  </w:footnote>
  <w:footnote w:type="continuationSeparator" w:id="0">
    <w:p w:rsidR="00135510" w:rsidRDefault="00135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EB6" w:rsidRDefault="007C0410">
    <w:pPr>
      <w:pBdr>
        <w:bottom w:val="single" w:sz="4" w:space="4" w:color="CCCCCC"/>
      </w:pBdr>
      <w:tabs>
        <w:tab w:val="right" w:pos="9026"/>
      </w:tabs>
    </w:pPr>
    <w:r>
      <w:rPr>
        <w:color w:val="888780"/>
        <w:sz w:val="16"/>
        <w:szCs w:val="16"/>
      </w:rPr>
      <w:t>Capstone Document Processing System</w:t>
    </w:r>
    <w:r>
      <w:rPr>
        <w:color w:val="888780"/>
        <w:sz w:val="16"/>
        <w:szCs w:val="16"/>
      </w:rPr>
      <w:tab/>
      <w:t>Risk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B4EE7"/>
    <w:multiLevelType w:val="hybridMultilevel"/>
    <w:tmpl w:val="5DECAECA"/>
    <w:lvl w:ilvl="0" w:tplc="1A6625DA">
      <w:start w:val="1"/>
      <w:numFmt w:val="bullet"/>
      <w:lvlText w:val="●"/>
      <w:lvlJc w:val="left"/>
      <w:pPr>
        <w:ind w:left="720" w:hanging="360"/>
      </w:pPr>
    </w:lvl>
    <w:lvl w:ilvl="1" w:tplc="68423AB6">
      <w:start w:val="1"/>
      <w:numFmt w:val="bullet"/>
      <w:lvlText w:val="○"/>
      <w:lvlJc w:val="left"/>
      <w:pPr>
        <w:ind w:left="1440" w:hanging="360"/>
      </w:pPr>
    </w:lvl>
    <w:lvl w:ilvl="2" w:tplc="CF209D1E">
      <w:start w:val="1"/>
      <w:numFmt w:val="bullet"/>
      <w:lvlText w:val="■"/>
      <w:lvlJc w:val="left"/>
      <w:pPr>
        <w:ind w:left="2160" w:hanging="360"/>
      </w:pPr>
    </w:lvl>
    <w:lvl w:ilvl="3" w:tplc="2CE24948">
      <w:start w:val="1"/>
      <w:numFmt w:val="bullet"/>
      <w:lvlText w:val="●"/>
      <w:lvlJc w:val="left"/>
      <w:pPr>
        <w:ind w:left="2880" w:hanging="360"/>
      </w:pPr>
    </w:lvl>
    <w:lvl w:ilvl="4" w:tplc="C0E235FE">
      <w:start w:val="1"/>
      <w:numFmt w:val="bullet"/>
      <w:lvlText w:val="○"/>
      <w:lvlJc w:val="left"/>
      <w:pPr>
        <w:ind w:left="3600" w:hanging="360"/>
      </w:pPr>
    </w:lvl>
    <w:lvl w:ilvl="5" w:tplc="C9DCB61C">
      <w:start w:val="1"/>
      <w:numFmt w:val="bullet"/>
      <w:lvlText w:val="■"/>
      <w:lvlJc w:val="left"/>
      <w:pPr>
        <w:ind w:left="4320" w:hanging="360"/>
      </w:pPr>
    </w:lvl>
    <w:lvl w:ilvl="6" w:tplc="F508CB7E">
      <w:start w:val="1"/>
      <w:numFmt w:val="bullet"/>
      <w:lvlText w:val="●"/>
      <w:lvlJc w:val="left"/>
      <w:pPr>
        <w:ind w:left="5040" w:hanging="360"/>
      </w:pPr>
    </w:lvl>
    <w:lvl w:ilvl="7" w:tplc="5BEAA4C6">
      <w:start w:val="1"/>
      <w:numFmt w:val="bullet"/>
      <w:lvlText w:val="●"/>
      <w:lvlJc w:val="left"/>
      <w:pPr>
        <w:ind w:left="5760" w:hanging="360"/>
      </w:pPr>
    </w:lvl>
    <w:lvl w:ilvl="8" w:tplc="DF0C6B62">
      <w:start w:val="1"/>
      <w:numFmt w:val="bullet"/>
      <w:lvlText w:val="●"/>
      <w:lvlJc w:val="left"/>
      <w:pPr>
        <w:ind w:left="6480" w:hanging="360"/>
      </w:pPr>
    </w:lvl>
  </w:abstractNum>
  <w:abstractNum w:abstractNumId="1" w15:restartNumberingAfterBreak="0">
    <w:nsid w:val="7EC52E83"/>
    <w:multiLevelType w:val="hybridMultilevel"/>
    <w:tmpl w:val="1FC2D6B0"/>
    <w:lvl w:ilvl="0" w:tplc="BB7655CA">
      <w:start w:val="1"/>
      <w:numFmt w:val="bullet"/>
      <w:lvlText w:val="•"/>
      <w:lvlJc w:val="left"/>
      <w:pPr>
        <w:ind w:left="720" w:hanging="360"/>
      </w:pPr>
    </w:lvl>
    <w:lvl w:ilvl="1" w:tplc="B9D24EB6">
      <w:numFmt w:val="decimal"/>
      <w:lvlText w:val=""/>
      <w:lvlJc w:val="left"/>
    </w:lvl>
    <w:lvl w:ilvl="2" w:tplc="2730A22A">
      <w:numFmt w:val="decimal"/>
      <w:lvlText w:val=""/>
      <w:lvlJc w:val="left"/>
    </w:lvl>
    <w:lvl w:ilvl="3" w:tplc="CB74BED8">
      <w:numFmt w:val="decimal"/>
      <w:lvlText w:val=""/>
      <w:lvlJc w:val="left"/>
    </w:lvl>
    <w:lvl w:ilvl="4" w:tplc="1382BC42">
      <w:numFmt w:val="decimal"/>
      <w:lvlText w:val=""/>
      <w:lvlJc w:val="left"/>
    </w:lvl>
    <w:lvl w:ilvl="5" w:tplc="B47C686C">
      <w:numFmt w:val="decimal"/>
      <w:lvlText w:val=""/>
      <w:lvlJc w:val="left"/>
    </w:lvl>
    <w:lvl w:ilvl="6" w:tplc="5C2A29CA">
      <w:numFmt w:val="decimal"/>
      <w:lvlText w:val=""/>
      <w:lvlJc w:val="left"/>
    </w:lvl>
    <w:lvl w:ilvl="7" w:tplc="9AFAE994">
      <w:numFmt w:val="decimal"/>
      <w:lvlText w:val=""/>
      <w:lvlJc w:val="left"/>
    </w:lvl>
    <w:lvl w:ilvl="8" w:tplc="6B2CE9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EB6"/>
    <w:rsid w:val="00135510"/>
    <w:rsid w:val="002A7EB6"/>
    <w:rsid w:val="004D1E03"/>
    <w:rsid w:val="007C0410"/>
    <w:rsid w:val="00F8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05EB"/>
  <w15:docId w15:val="{A1B35D6C-00BA-4737-9BF5-6E906095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D85A30"/>
      </w:pBdr>
      <w:spacing w:before="360" w:after="200"/>
      <w:outlineLvl w:val="0"/>
    </w:pPr>
    <w:rPr>
      <w:b/>
      <w:bCs/>
      <w:color w:val="993C1D"/>
      <w:sz w:val="32"/>
      <w:szCs w:val="32"/>
    </w:rPr>
  </w:style>
  <w:style w:type="paragraph" w:styleId="Heading2">
    <w:name w:val="heading 2"/>
    <w:qFormat/>
    <w:pPr>
      <w:spacing w:before="280" w:after="160"/>
      <w:outlineLvl w:val="1"/>
    </w:pPr>
    <w:rPr>
      <w:b/>
      <w:bCs/>
      <w:color w:val="4A1B0C"/>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4C15"/>
    <w:pPr>
      <w:spacing w:after="100"/>
    </w:pPr>
  </w:style>
  <w:style w:type="paragraph" w:styleId="TOC2">
    <w:name w:val="toc 2"/>
    <w:basedOn w:val="Normal"/>
    <w:next w:val="Normal"/>
    <w:autoRedefine/>
    <w:uiPriority w:val="39"/>
    <w:unhideWhenUsed/>
    <w:rsid w:val="00F84C1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1906</Words>
  <Characters>10865</Characters>
  <Application>Microsoft Office Word</Application>
  <DocSecurity>0</DocSecurity>
  <Lines>90</Lines>
  <Paragraphs>25</Paragraphs>
  <ScaleCrop>false</ScaleCrop>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Document Processing System — Risk Document</dc:title>
  <dc:creator>Balaji</dc:creator>
  <cp:lastModifiedBy>Balaji Baskaran</cp:lastModifiedBy>
  <cp:revision>3</cp:revision>
  <dcterms:created xsi:type="dcterms:W3CDTF">2026-06-19T22:20:00Z</dcterms:created>
  <dcterms:modified xsi:type="dcterms:W3CDTF">2026-06-21T18:04:00Z</dcterms:modified>
</cp:coreProperties>
</file>