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t>Sztuczna Inteligencja 2020/21</w:t>
      </w:r>
    </w:p>
    <w:p>
      <w:pPr>
        <w:pStyle w:val="Normal"/>
        <w:jc w:val="center"/>
        <w:rPr>
          <w:b/>
          <w:b/>
          <w:sz w:val="28"/>
        </w:rPr>
      </w:pPr>
      <w:r>
        <w:rPr>
          <w:b/>
          <w:sz w:val="28"/>
        </w:rPr>
        <w:t>Uczenie maszynowe – drzewa decyzyjne (laboratorium).</w:t>
      </w:r>
    </w:p>
    <w:p>
      <w:pPr>
        <w:pStyle w:val="Normal"/>
        <w:rPr>
          <w:sz w:val="24"/>
        </w:rPr>
      </w:pPr>
      <w:r>
        <w:rPr>
          <w:sz w:val="24"/>
        </w:rPr>
      </w:r>
    </w:p>
    <w:p>
      <w:pPr>
        <w:pStyle w:val="Normal"/>
        <w:rPr>
          <w:color w:val="111111"/>
        </w:rPr>
      </w:pPr>
      <w:r>
        <w:rPr>
          <w:b/>
          <w:color w:val="111111"/>
          <w:sz w:val="28"/>
        </w:rPr>
        <w:t>Błażej Bałdyga, 02.06.2021</w:t>
      </w:r>
    </w:p>
    <w:p>
      <w:pPr>
        <w:pStyle w:val="Normal"/>
        <w:rPr>
          <w:color w:val="111111"/>
        </w:rPr>
      </w:pPr>
      <w:r>
        <w:rPr>
          <w:color w:val="111111"/>
        </w:rPr>
      </w:r>
    </w:p>
    <w:p>
      <w:pPr>
        <w:pStyle w:val="Normal"/>
        <w:rPr>
          <w:color w:val="FF0000"/>
          <w:sz w:val="24"/>
        </w:rPr>
      </w:pPr>
      <w:r>
        <w:rPr>
          <w:color w:val="111111"/>
          <w:sz w:val="24"/>
        </w:rPr>
        <w:t>D</w:t>
      </w:r>
      <w:r>
        <w:rPr>
          <w:color w:val="333333"/>
          <w:sz w:val="24"/>
        </w:rPr>
        <w:t xml:space="preserve">o uczenia maszynowego metodą drzew decyzyjnych wybrano bazę </w:t>
      </w:r>
      <w:r>
        <w:rPr>
          <w:b/>
          <w:color w:val="333333"/>
          <w:sz w:val="24"/>
        </w:rPr>
        <w:t>Irys</w:t>
      </w:r>
      <w:r>
        <w:rPr>
          <w:color w:val="333333"/>
          <w:sz w:val="24"/>
        </w:rPr>
        <w:t xml:space="preserve">, która zawiera dane dotyczące </w:t>
      </w:r>
      <w:r>
        <w:rPr>
          <w:b/>
          <w:color w:val="333333"/>
          <w:sz w:val="24"/>
        </w:rPr>
        <w:t>kwiatów irysów</w:t>
      </w:r>
      <w:r>
        <w:rPr>
          <w:color w:val="333333"/>
          <w:sz w:val="24"/>
        </w:rPr>
        <w:t xml:space="preserve">. Celem zadania jest klasyfikacja obserwacji względem kryterium  </w:t>
      </w:r>
      <w:r>
        <w:rPr>
          <w:b/>
          <w:color w:val="333333"/>
          <w:sz w:val="24"/>
        </w:rPr>
        <w:t>gatunku kwiatu</w:t>
      </w:r>
      <w:r>
        <w:rPr>
          <w:color w:val="333333"/>
          <w:sz w:val="24"/>
        </w:rPr>
        <w:t xml:space="preserve">. Zbiór danych zawiera </w:t>
      </w:r>
      <w:r>
        <w:rPr>
          <w:b/>
          <w:color w:val="333333"/>
          <w:sz w:val="24"/>
        </w:rPr>
        <w:t>150</w:t>
      </w:r>
      <w:r>
        <w:rPr>
          <w:color w:val="333333"/>
          <w:sz w:val="24"/>
        </w:rPr>
        <w:t xml:space="preserve"> próbek (obserwacji). Każda próbka zawiera </w:t>
      </w:r>
      <w:r>
        <w:rPr>
          <w:b/>
          <w:color w:val="333333"/>
          <w:sz w:val="24"/>
        </w:rPr>
        <w:t>5</w:t>
      </w:r>
      <w:r>
        <w:rPr>
          <w:color w:val="333333"/>
          <w:sz w:val="24"/>
        </w:rPr>
        <w:t xml:space="preserve"> cech (tj. zmiennych przewidujących). Zmienna wyjaśniana (zależna, przewidywana) o nazwie </w:t>
      </w:r>
      <w:r>
        <w:rPr>
          <w:b/>
          <w:color w:val="333333"/>
          <w:sz w:val="24"/>
        </w:rPr>
        <w:t>Classification</w:t>
      </w:r>
      <w:r>
        <w:rPr>
          <w:color w:val="333333"/>
          <w:sz w:val="24"/>
        </w:rPr>
        <w:t xml:space="preserve"> posiada </w:t>
      </w:r>
      <w:r>
        <w:rPr>
          <w:b/>
          <w:color w:val="333333"/>
          <w:sz w:val="24"/>
        </w:rPr>
        <w:t>trzy</w:t>
      </w:r>
      <w:r>
        <w:rPr>
          <w:color w:val="333333"/>
          <w:sz w:val="24"/>
        </w:rPr>
        <w:t xml:space="preserve"> różne wartości: </w:t>
      </w:r>
      <w:r>
        <w:rPr>
          <w:b/>
          <w:color w:val="333333"/>
          <w:sz w:val="24"/>
        </w:rPr>
        <w:t>Setosa, Versicolor i Virginica</w:t>
      </w:r>
      <w:r>
        <w:rPr>
          <w:color w:val="333333"/>
          <w:sz w:val="24"/>
        </w:rPr>
        <w:t xml:space="preserve"> stanowiące kryterium klasyfikacji.</w:t>
      </w:r>
      <w:r>
        <w:rPr>
          <w:sz w:val="24"/>
        </w:rPr>
        <w:t xml:space="preserve"> Wartości tej zmiennej mają następującą interpretację </w:t>
      </w:r>
      <w:r>
        <w:rPr>
          <w:b/>
          <w:color w:val="333333"/>
          <w:sz w:val="24"/>
        </w:rPr>
        <w:t>jakiego gatunku jest dany kwiat</w:t>
      </w:r>
    </w:p>
    <w:p>
      <w:pPr>
        <w:pStyle w:val="Normal"/>
        <w:rPr>
          <w:sz w:val="24"/>
        </w:rPr>
      </w:pPr>
      <w:r>
        <w:rPr>
          <w:sz w:val="24"/>
        </w:rPr>
        <w:t>Nazwy i interpretację (krótki opis) zmiennych przewidujących (tj. cech) podaję poniżej w tabeli:</w:t>
      </w:r>
    </w:p>
    <w:tbl>
      <w:tblPr>
        <w:tblW w:w="9072" w:type="dxa"/>
        <w:jc w:val="left"/>
        <w:tblInd w:w="0" w:type="dxa"/>
        <w:tblCellMar>
          <w:top w:w="0" w:type="dxa"/>
          <w:left w:w="0" w:type="dxa"/>
          <w:bottom w:w="0" w:type="dxa"/>
          <w:right w:w="0" w:type="dxa"/>
        </w:tblCellMar>
      </w:tblPr>
      <w:tblGrid>
        <w:gridCol w:w="3022"/>
        <w:gridCol w:w="3024"/>
        <w:gridCol w:w="3026"/>
      </w:tblGrid>
      <w:tr>
        <w:trPr/>
        <w:tc>
          <w:tcPr>
            <w:tcW w:w="3022" w:type="dxa"/>
            <w:tcBorders/>
          </w:tcPr>
          <w:p>
            <w:pPr>
              <w:pStyle w:val="TableContents"/>
              <w:spacing w:before="0" w:after="200"/>
              <w:jc w:val="center"/>
              <w:rPr/>
            </w:pPr>
            <w:r>
              <w:rPr/>
              <w:t>Lp.</w:t>
            </w:r>
          </w:p>
        </w:tc>
        <w:tc>
          <w:tcPr>
            <w:tcW w:w="3024" w:type="dxa"/>
            <w:tcBorders/>
          </w:tcPr>
          <w:p>
            <w:pPr>
              <w:pStyle w:val="TableContents"/>
              <w:spacing w:before="0" w:after="200"/>
              <w:jc w:val="center"/>
              <w:rPr/>
            </w:pPr>
            <w:r>
              <w:rPr/>
              <w:t>Nazwa Cechy</w:t>
            </w:r>
          </w:p>
        </w:tc>
        <w:tc>
          <w:tcPr>
            <w:tcW w:w="3026" w:type="dxa"/>
            <w:tcBorders/>
          </w:tcPr>
          <w:p>
            <w:pPr>
              <w:pStyle w:val="TableContents"/>
              <w:spacing w:before="0" w:after="200"/>
              <w:jc w:val="center"/>
              <w:rPr/>
            </w:pPr>
            <w:r>
              <w:rPr/>
              <w:t>Opis</w:t>
            </w:r>
          </w:p>
        </w:tc>
      </w:tr>
      <w:tr>
        <w:trPr/>
        <w:tc>
          <w:tcPr>
            <w:tcW w:w="3022" w:type="dxa"/>
            <w:tcBorders/>
          </w:tcPr>
          <w:p>
            <w:pPr>
              <w:pStyle w:val="Normal"/>
              <w:spacing w:before="0" w:after="200"/>
              <w:jc w:val="center"/>
              <w:rPr>
                <w:color w:val="333333"/>
              </w:rPr>
            </w:pPr>
            <w:r>
              <w:rPr>
                <w:color w:val="333333"/>
              </w:rPr>
              <w:t>1</w:t>
            </w:r>
          </w:p>
        </w:tc>
        <w:tc>
          <w:tcPr>
            <w:tcW w:w="3024" w:type="dxa"/>
            <w:tcBorders/>
          </w:tcPr>
          <w:p>
            <w:pPr>
              <w:pStyle w:val="Normal"/>
              <w:spacing w:before="0" w:after="200"/>
              <w:jc w:val="center"/>
              <w:rPr>
                <w:color w:val="333333"/>
              </w:rPr>
            </w:pPr>
            <w:r>
              <w:rPr>
                <w:b/>
                <w:color w:val="333333"/>
                <w:sz w:val="24"/>
              </w:rPr>
              <w:t xml:space="preserve">Długość kielicha </w:t>
            </w:r>
          </w:p>
        </w:tc>
        <w:tc>
          <w:tcPr>
            <w:tcW w:w="3026" w:type="dxa"/>
            <w:tcBorders/>
          </w:tcPr>
          <w:p>
            <w:pPr>
              <w:pStyle w:val="TableContents"/>
              <w:spacing w:before="0" w:after="200"/>
              <w:jc w:val="center"/>
              <w:rPr/>
            </w:pPr>
            <w:r>
              <w:rPr/>
              <w:t>Ile wynosi długość kielicha w cm</w:t>
            </w:r>
          </w:p>
        </w:tc>
      </w:tr>
      <w:tr>
        <w:trPr/>
        <w:tc>
          <w:tcPr>
            <w:tcW w:w="3022" w:type="dxa"/>
            <w:tcBorders/>
          </w:tcPr>
          <w:p>
            <w:pPr>
              <w:pStyle w:val="Normal"/>
              <w:spacing w:before="0" w:after="200"/>
              <w:jc w:val="center"/>
              <w:rPr>
                <w:color w:val="333333"/>
              </w:rPr>
            </w:pPr>
            <w:r>
              <w:rPr>
                <w:color w:val="333333"/>
              </w:rPr>
              <w:t>2</w:t>
            </w:r>
          </w:p>
        </w:tc>
        <w:tc>
          <w:tcPr>
            <w:tcW w:w="3024" w:type="dxa"/>
            <w:tcBorders/>
          </w:tcPr>
          <w:p>
            <w:pPr>
              <w:pStyle w:val="Normal"/>
              <w:spacing w:before="0" w:after="200"/>
              <w:jc w:val="center"/>
              <w:rPr>
                <w:color w:val="333333"/>
              </w:rPr>
            </w:pPr>
            <w:r>
              <w:rPr>
                <w:b/>
                <w:color w:val="333333"/>
                <w:sz w:val="24"/>
              </w:rPr>
              <w:t>Szerokość kielicha</w:t>
            </w:r>
          </w:p>
        </w:tc>
        <w:tc>
          <w:tcPr>
            <w:tcW w:w="3026" w:type="dxa"/>
            <w:tcBorders/>
          </w:tcPr>
          <w:p>
            <w:pPr>
              <w:pStyle w:val="TableContents"/>
              <w:spacing w:before="0" w:after="200"/>
              <w:jc w:val="center"/>
              <w:rPr/>
            </w:pPr>
            <w:r>
              <w:rPr/>
              <w:t>Ile wynosi szerokość kielicha w cm</w:t>
            </w:r>
          </w:p>
        </w:tc>
      </w:tr>
      <w:tr>
        <w:trPr/>
        <w:tc>
          <w:tcPr>
            <w:tcW w:w="3022" w:type="dxa"/>
            <w:tcBorders/>
          </w:tcPr>
          <w:p>
            <w:pPr>
              <w:pStyle w:val="Normal"/>
              <w:spacing w:before="0" w:after="200"/>
              <w:jc w:val="center"/>
              <w:rPr>
                <w:color w:val="333333"/>
              </w:rPr>
            </w:pPr>
            <w:r>
              <w:rPr>
                <w:color w:val="333333"/>
              </w:rPr>
              <w:t>3</w:t>
            </w:r>
          </w:p>
        </w:tc>
        <w:tc>
          <w:tcPr>
            <w:tcW w:w="3024" w:type="dxa"/>
            <w:tcBorders/>
          </w:tcPr>
          <w:p>
            <w:pPr>
              <w:pStyle w:val="Normal"/>
              <w:spacing w:before="0" w:after="200"/>
              <w:jc w:val="center"/>
              <w:rPr>
                <w:color w:val="333333"/>
              </w:rPr>
            </w:pPr>
            <w:r>
              <w:rPr>
                <w:b/>
                <w:color w:val="333333"/>
                <w:sz w:val="24"/>
              </w:rPr>
              <w:t xml:space="preserve">Długość płatków </w:t>
            </w:r>
          </w:p>
        </w:tc>
        <w:tc>
          <w:tcPr>
            <w:tcW w:w="3026" w:type="dxa"/>
            <w:tcBorders/>
          </w:tcPr>
          <w:p>
            <w:pPr>
              <w:pStyle w:val="TableContents"/>
              <w:spacing w:before="0" w:after="200"/>
              <w:jc w:val="center"/>
              <w:rPr/>
            </w:pPr>
            <w:r>
              <w:rPr/>
              <w:t>Ile wynosi długość płatków kwiatka w cm</w:t>
            </w:r>
          </w:p>
        </w:tc>
      </w:tr>
      <w:tr>
        <w:trPr/>
        <w:tc>
          <w:tcPr>
            <w:tcW w:w="3022" w:type="dxa"/>
            <w:tcBorders/>
          </w:tcPr>
          <w:p>
            <w:pPr>
              <w:pStyle w:val="Normal"/>
              <w:spacing w:before="0" w:after="200"/>
              <w:jc w:val="center"/>
              <w:rPr>
                <w:color w:val="333333"/>
              </w:rPr>
            </w:pPr>
            <w:r>
              <w:rPr>
                <w:color w:val="333333"/>
              </w:rPr>
              <w:t>4</w:t>
            </w:r>
          </w:p>
        </w:tc>
        <w:tc>
          <w:tcPr>
            <w:tcW w:w="3024" w:type="dxa"/>
            <w:tcBorders/>
          </w:tcPr>
          <w:p>
            <w:pPr>
              <w:pStyle w:val="Normal"/>
              <w:spacing w:before="0" w:after="200"/>
              <w:jc w:val="center"/>
              <w:rPr>
                <w:color w:val="333333"/>
              </w:rPr>
            </w:pPr>
            <w:r>
              <w:rPr>
                <w:b/>
                <w:color w:val="333333"/>
                <w:sz w:val="24"/>
              </w:rPr>
              <w:t>Szerokość płatków</w:t>
            </w:r>
          </w:p>
        </w:tc>
        <w:tc>
          <w:tcPr>
            <w:tcW w:w="3026" w:type="dxa"/>
            <w:tcBorders/>
          </w:tcPr>
          <w:p>
            <w:pPr>
              <w:pStyle w:val="TableContents"/>
              <w:spacing w:before="0" w:after="200"/>
              <w:jc w:val="center"/>
              <w:rPr/>
            </w:pPr>
            <w:r>
              <w:rPr/>
              <w:t>Ile wynosi szerokość płatków kwiatka w cm</w:t>
            </w:r>
          </w:p>
        </w:tc>
      </w:tr>
    </w:tbl>
    <w:p>
      <w:pPr>
        <w:pStyle w:val="Normal"/>
        <w:rPr>
          <w:sz w:val="24"/>
        </w:rPr>
      </w:pPr>
      <w:r>
        <w:rPr>
          <w:sz w:val="24"/>
        </w:rPr>
      </w:r>
    </w:p>
    <w:p>
      <w:pPr>
        <w:pStyle w:val="Normal"/>
        <w:rPr>
          <w:b/>
          <w:b/>
          <w:sz w:val="24"/>
        </w:rPr>
      </w:pPr>
      <w:r>
        <w:rPr>
          <w:b/>
          <w:sz w:val="24"/>
        </w:rPr>
      </w:r>
    </w:p>
    <w:p>
      <w:pPr>
        <w:pStyle w:val="Normal"/>
        <w:rPr>
          <w:sz w:val="24"/>
        </w:rPr>
      </w:pPr>
      <w:r>
        <w:rPr>
          <w:sz w:val="24"/>
        </w:rPr>
        <w:t xml:space="preserve">Do uczenia maszynowego wybrano algorytm </w:t>
      </w:r>
      <w:r>
        <w:rPr>
          <w:b/>
          <w:sz w:val="24"/>
        </w:rPr>
        <w:t>rpart</w:t>
      </w:r>
      <w:r>
        <w:rPr>
          <w:sz w:val="24"/>
        </w:rPr>
        <w:t xml:space="preserve"> drzew decyzyjnych zaimplementowany w języku R na podstawie algorytmu </w:t>
      </w:r>
      <w:r>
        <w:rPr>
          <w:b/>
          <w:sz w:val="24"/>
        </w:rPr>
        <w:t>CART</w:t>
      </w:r>
      <w:r>
        <w:rPr>
          <w:sz w:val="24"/>
        </w:rPr>
        <w:t xml:space="preserve"> (Classification And Regression Trees). Algorytm może być użyty zarówno do klasyfikacji jak i regresji – my wykorzystamy tylko klasyfikację.</w:t>
      </w:r>
    </w:p>
    <w:p>
      <w:pPr>
        <w:pStyle w:val="Normal"/>
        <w:rPr>
          <w:sz w:val="24"/>
        </w:rPr>
      </w:pPr>
      <w:r>
        <w:rPr>
          <w:sz w:val="24"/>
        </w:rPr>
        <w:t>Poniżej podano opis kolejnych kroków procesu tworzenia modelu uczenia maszynowego wraz z kodem w R oraz jego weryfikacji.</w:t>
      </w:r>
    </w:p>
    <w:p>
      <w:pPr>
        <w:pStyle w:val="Normal"/>
        <w:rPr>
          <w:sz w:val="24"/>
        </w:rPr>
      </w:pPr>
      <w:r>
        <w:rPr>
          <w:sz w:val="24"/>
        </w:rPr>
      </w:r>
    </w:p>
    <w:p>
      <w:pPr>
        <w:pStyle w:val="Normal"/>
        <w:rPr>
          <w:sz w:val="24"/>
        </w:rPr>
      </w:pPr>
      <w:r>
        <w:rPr>
          <w:sz w:val="24"/>
        </w:rPr>
      </w:r>
    </w:p>
    <w:p>
      <w:pPr>
        <w:pStyle w:val="Normal"/>
        <w:rPr>
          <w:sz w:val="24"/>
        </w:rPr>
      </w:pPr>
      <w:r>
        <w:rPr>
          <w:b/>
          <w:sz w:val="24"/>
        </w:rPr>
        <w:t>1.</w:t>
      </w:r>
      <w:r>
        <w:rPr>
          <w:sz w:val="24"/>
        </w:rPr>
        <w:t xml:space="preserve">  Wczytujemy zbiór danych do postaci Data Frame</w:t>
      </w:r>
    </w:p>
    <w:p>
      <w:pPr>
        <w:pStyle w:val="Normal"/>
        <w:rPr>
          <w:sz w:val="24"/>
        </w:rPr>
      </w:pPr>
      <w:r>
        <w:rPr/>
        <w:t>iris ←read.csv("/Users/blazejbaldyga/Downloads/DrzewaDecyzyjne/iris.csv")</w:t>
      </w:r>
    </w:p>
    <w:p>
      <w:pPr>
        <w:pStyle w:val="Normal"/>
        <w:rPr>
          <w:sz w:val="24"/>
        </w:rPr>
      </w:pPr>
      <w:r>
        <w:rPr>
          <w:sz w:val="24"/>
        </w:rPr>
      </w:r>
    </w:p>
    <w:p>
      <w:pPr>
        <w:pStyle w:val="Normal"/>
        <w:rPr/>
      </w:pPr>
      <w:r>
        <w:rPr>
          <w:b/>
        </w:rPr>
        <w:t>2.</w:t>
      </w:r>
      <w:r>
        <w:rPr/>
        <w:t xml:space="preserve">  Sprawdzamy czy dane są kompletne oraz jakiego są typu. Algorytm rpart wykorzystuje tzw. „surrogate variables” do zastępowania brakujących danych. Jeśli brakuje jakiejś danej dla użytej cechy, to dla tej próbki zostaje wykorzystana kolejna w rankingu cecha, gdzie ta dana jest obecna. Dlatego w przypadku korzystania z algorytmu rpart nie ma potrzeby uzupełniania brakujących danych. </w:t>
      </w:r>
    </w:p>
    <w:p>
      <w:pPr>
        <w:pStyle w:val="Normal"/>
        <w:rPr/>
      </w:pPr>
      <w:r>
        <w:rPr/>
        <w:t>Algorytm rpart wykorzystuje zmienne typu numerycznego lub factors. Zmienne innych typów należy zmienić na jeden z obsługiwanych typów. Data Frame zawiera zmienne następujących typów:</w:t>
      </w:r>
    </w:p>
    <w:p>
      <w:pPr>
        <w:pStyle w:val="Normal"/>
        <w:rPr>
          <w:color w:val="333333"/>
        </w:rPr>
      </w:pPr>
      <w:bookmarkStart w:id="0" w:name="_Hlk72414540"/>
      <w:bookmarkEnd w:id="0"/>
      <w:r>
        <w:rPr>
          <w:color w:val="333333"/>
        </w:rPr>
        <w:t>'data.frame':</w:t>
        <w:tab/>
        <w:t>150 obs. of  5 variables:</w:t>
      </w:r>
    </w:p>
    <w:p>
      <w:pPr>
        <w:pStyle w:val="Normal"/>
        <w:rPr>
          <w:color w:val="333333"/>
        </w:rPr>
      </w:pPr>
      <w:r>
        <w:rPr>
          <w:color w:val="333333"/>
        </w:rPr>
        <w:t xml:space="preserve"> </w:t>
      </w:r>
      <w:r>
        <w:rPr>
          <w:color w:val="333333"/>
        </w:rPr>
        <w:t xml:space="preserve">$ SL            : num  5 7.9 5.8 5.7 5.4 5.2 6.4 5.5 4.4 5 ... </w:t>
      </w:r>
    </w:p>
    <w:p>
      <w:pPr>
        <w:pStyle w:val="Normal"/>
        <w:rPr>
          <w:color w:val="333333"/>
        </w:rPr>
      </w:pPr>
      <w:r>
        <w:rPr>
          <w:color w:val="333333"/>
        </w:rPr>
        <w:t xml:space="preserve">$ SW            : num  3.5 3.8 2.8 2.6 3.9 2.7 2.7 2.6 2.9 3.3 ... </w:t>
      </w:r>
    </w:p>
    <w:p>
      <w:pPr>
        <w:pStyle w:val="Normal"/>
        <w:rPr>
          <w:color w:val="333333"/>
        </w:rPr>
      </w:pPr>
      <w:r>
        <w:rPr>
          <w:color w:val="333333"/>
        </w:rPr>
        <w:t xml:space="preserve">$ PL            : num  1.3 6.4 5.1 3.5 1.7 3.9 5.3 4.4 1.4 1.4 ... </w:t>
      </w:r>
    </w:p>
    <w:p>
      <w:pPr>
        <w:pStyle w:val="Normal"/>
        <w:rPr>
          <w:color w:val="333333"/>
        </w:rPr>
      </w:pPr>
      <w:r>
        <w:rPr>
          <w:color w:val="333333"/>
        </w:rPr>
        <w:t xml:space="preserve">$ PW            : num  0.3 2 2.4 1 0.4 1.4 1.9 1.2 0.2 0.2 ... </w:t>
      </w:r>
    </w:p>
    <w:p>
      <w:pPr>
        <w:pStyle w:val="Normal"/>
        <w:rPr>
          <w:color w:val="333333"/>
        </w:rPr>
      </w:pPr>
      <w:r>
        <w:rPr>
          <w:color w:val="333333"/>
        </w:rPr>
        <w:t>$ Classification: chr  "Setosa" "Virginica" "Virginica" "Versicolor" ...</w:t>
      </w:r>
    </w:p>
    <w:p>
      <w:pPr>
        <w:pStyle w:val="Normal"/>
        <w:rPr/>
      </w:pPr>
      <w:r>
        <w:rPr/>
        <w:t xml:space="preserve">W związku z tym musimy zmienić typ zmiennych: </w:t>
      </w:r>
      <w:r>
        <w:rPr>
          <w:b/>
          <w:color w:val="333333"/>
        </w:rPr>
        <w:t>Classification</w:t>
      </w:r>
      <w:r>
        <w:rPr/>
        <w:t xml:space="preserve"> na obsługiwany typ za pomocą kodu:</w:t>
      </w:r>
    </w:p>
    <w:p>
      <w:pPr>
        <w:pStyle w:val="Normal"/>
        <w:rPr>
          <w:sz w:val="24"/>
        </w:rPr>
      </w:pPr>
      <w:r>
        <w:rPr>
          <w:b/>
          <w:color w:val="333333"/>
        </w:rPr>
        <w:t>iris &lt;- mutate_at(iris,vars(Classification),list(as.factor)</w:t>
      </w:r>
      <w:r>
        <w:rPr>
          <w:b/>
          <w:color w:val="FF0000"/>
        </w:rPr>
        <w:t>)</w:t>
      </w:r>
    </w:p>
    <w:p>
      <w:pPr>
        <w:pStyle w:val="Normal"/>
        <w:rPr/>
      </w:pPr>
      <w:r>
        <w:rPr/>
      </w:r>
      <w:bookmarkStart w:id="1" w:name="_Hlk72414271"/>
      <w:bookmarkStart w:id="2" w:name="_Hlk72414271"/>
      <w:bookmarkEnd w:id="2"/>
    </w:p>
    <w:p>
      <w:pPr>
        <w:pStyle w:val="Normal"/>
        <w:rPr/>
      </w:pPr>
      <w:r>
        <w:rPr/>
        <w:t>Po przeprowadzonych operacjach na danych otrzymujemy Data Frame w następującej postaci:</w:t>
      </w:r>
    </w:p>
    <w:p>
      <w:pPr>
        <w:pStyle w:val="Normal"/>
        <w:rPr>
          <w:color w:val="333333"/>
        </w:rPr>
      </w:pPr>
      <w:r>
        <w:rPr>
          <w:color w:val="333333"/>
        </w:rPr>
        <w:t>'data.frame':</w:t>
        <w:tab/>
        <w:t xml:space="preserve">150 obs. of  5 variables: </w:t>
      </w:r>
    </w:p>
    <w:p>
      <w:pPr>
        <w:pStyle w:val="Normal"/>
        <w:rPr>
          <w:color w:val="333333"/>
        </w:rPr>
      </w:pPr>
      <w:r>
        <w:rPr>
          <w:color w:val="333333"/>
        </w:rPr>
        <w:t xml:space="preserve">$ SL            : num  5 7.9 5.8 5.7 5.4 5.2 6.4 5.5 4.4 5 ... </w:t>
      </w:r>
    </w:p>
    <w:p>
      <w:pPr>
        <w:pStyle w:val="Normal"/>
        <w:rPr>
          <w:color w:val="333333"/>
        </w:rPr>
      </w:pPr>
      <w:r>
        <w:rPr>
          <w:color w:val="333333"/>
        </w:rPr>
        <w:t xml:space="preserve">$ SW            : num  3.5 3.8 2.8 2.6 3.9 2.7 2.7 2.6 2.9 3.3 ... </w:t>
      </w:r>
    </w:p>
    <w:p>
      <w:pPr>
        <w:pStyle w:val="Normal"/>
        <w:rPr>
          <w:color w:val="333333"/>
        </w:rPr>
      </w:pPr>
      <w:r>
        <w:rPr>
          <w:color w:val="333333"/>
        </w:rPr>
        <w:t xml:space="preserve">$ PL            : num  1.3 6.4 5.1 3.5 1.7 3.9 5.3 4.4 1.4 1.4 ... </w:t>
      </w:r>
    </w:p>
    <w:p>
      <w:pPr>
        <w:pStyle w:val="Normal"/>
        <w:rPr>
          <w:color w:val="333333"/>
        </w:rPr>
      </w:pPr>
      <w:r>
        <w:rPr>
          <w:color w:val="333333"/>
        </w:rPr>
        <w:t xml:space="preserve">$ PW            : num  0.3 2 2.4 1 0.4 1.4 1.9 1.2 0.2 0.2 ... </w:t>
      </w:r>
    </w:p>
    <w:p>
      <w:pPr>
        <w:pStyle w:val="Normal"/>
        <w:rPr>
          <w:color w:val="333333"/>
        </w:rPr>
      </w:pPr>
      <w:r>
        <w:rPr>
          <w:color w:val="333333"/>
        </w:rPr>
        <w:t>$ Classification: Factor w/ 3 levels "Setosa","Versicolor",..: 1 3 3 2 1 2 3 2 1 1 ...</w:t>
      </w:r>
    </w:p>
    <w:p>
      <w:pPr>
        <w:pStyle w:val="Normal"/>
        <w:rPr/>
      </w:pPr>
      <w:r>
        <w:rPr>
          <w:b/>
        </w:rPr>
        <w:t>3.</w:t>
      </w:r>
      <w:r>
        <w:rPr/>
        <w:t xml:space="preserve"> </w:t>
      </w:r>
      <w:r>
        <w:rPr>
          <w:color w:val="333333"/>
        </w:rPr>
        <w:t xml:space="preserve">Nasze dane zawierają następującą liczbę próbek każdej z klas: </w:t>
      </w:r>
      <w:r>
        <w:rPr>
          <w:b/>
          <w:color w:val="333333"/>
        </w:rPr>
        <w:t>50</w:t>
      </w:r>
      <w:r>
        <w:rPr>
          <w:color w:val="333333"/>
        </w:rPr>
        <w:t xml:space="preserve"> w związku z tym nasze dane </w:t>
      </w:r>
      <w:r>
        <w:rPr>
          <w:b/>
          <w:color w:val="333333"/>
        </w:rPr>
        <w:t xml:space="preserve">SĄ </w:t>
      </w:r>
      <w:r>
        <w:rPr>
          <w:color w:val="333333"/>
        </w:rPr>
        <w:t>zbalansowane.</w:t>
      </w:r>
      <w:r>
        <w:rPr/>
        <w:t xml:space="preserve">  Dzielimy nasz zbiór danych na dwa podzbiory: zbiór treningowy: 75% danych i zbiór testowy: 25% danych. Zbiór treningowy będzie nam służył do konstrukcji modelu ML, a testowy do jego oceny. Poniżej przedstawiono kod do podziału danych na dwa podzbiory.</w:t>
      </w:r>
    </w:p>
    <w:p>
      <w:pPr>
        <w:pStyle w:val="Normal"/>
        <w:rPr>
          <w:color w:val="333333"/>
        </w:rPr>
      </w:pPr>
      <w:r>
        <w:rPr>
          <w:b/>
          <w:color w:val="333333"/>
        </w:rPr>
        <w:t>set.seed(1456)</w:t>
      </w:r>
    </w:p>
    <w:p>
      <w:pPr>
        <w:pStyle w:val="Normal"/>
        <w:rPr>
          <w:color w:val="333333"/>
        </w:rPr>
      </w:pPr>
      <w:r>
        <w:rPr>
          <w:b/>
          <w:color w:val="333333"/>
        </w:rPr>
        <w:t>trainIndex &lt;- createDataPartition(iris$Classification,p = 0.75, list = FALSE, times = 1)</w:t>
      </w:r>
    </w:p>
    <w:p>
      <w:pPr>
        <w:pStyle w:val="Normal"/>
        <w:rPr>
          <w:color w:val="333333"/>
        </w:rPr>
      </w:pPr>
      <w:r>
        <w:rPr>
          <w:b/>
          <w:color w:val="333333"/>
        </w:rPr>
        <w:t>sTrain &lt;- iris[trainIndex,]</w:t>
      </w:r>
    </w:p>
    <w:p>
      <w:pPr>
        <w:pStyle w:val="Normal"/>
        <w:rPr>
          <w:color w:val="333333"/>
        </w:rPr>
      </w:pPr>
      <w:r>
        <w:rPr>
          <w:b/>
          <w:color w:val="333333"/>
        </w:rPr>
        <w:t>sTest &lt;- iris[-trainIndex,]</w:t>
      </w:r>
    </w:p>
    <w:p>
      <w:pPr>
        <w:pStyle w:val="Normal"/>
        <w:rPr>
          <w:color w:val="333333"/>
        </w:rPr>
      </w:pPr>
      <w:r>
        <w:rPr>
          <w:b/>
          <w:color w:val="333333"/>
        </w:rPr>
        <w:t>count(sTrain,Classification)</w:t>
      </w:r>
    </w:p>
    <w:p>
      <w:pPr>
        <w:pStyle w:val="Normal"/>
        <w:rPr/>
      </w:pPr>
      <w:r>
        <w:rPr/>
        <w:t>Zweryfikowaliśmy, że po podziale (zastosowaliśmy stratyfikację)  procentowa zawartość próbek różnych klas jest podobna jak w oryginalnym zbiorze. Wykorzystując kod:</w:t>
      </w:r>
    </w:p>
    <w:p>
      <w:pPr>
        <w:pStyle w:val="Normal"/>
        <w:rPr>
          <w:color w:val="333333"/>
        </w:rPr>
      </w:pPr>
      <w:r>
        <w:rPr>
          <w:b/>
          <w:color w:val="333333"/>
        </w:rPr>
        <w:t>dt_control &lt;- rpart.control(maxdepth=25, xval=10, cp=0)</w:t>
      </w:r>
    </w:p>
    <w:p>
      <w:pPr>
        <w:pStyle w:val="Normal"/>
        <w:rPr>
          <w:color w:val="333333"/>
          <w:sz w:val="22"/>
          <w:szCs w:val="22"/>
        </w:rPr>
      </w:pPr>
      <w:r>
        <w:rPr>
          <w:b/>
          <w:color w:val="333333"/>
          <w:sz w:val="22"/>
          <w:szCs w:val="22"/>
        </w:rPr>
        <w:t>d_tree &lt;- rpart(Classification~., data = sTrain, method = "class", control = dt_control, minsplit = 5)</w:t>
      </w:r>
    </w:p>
    <w:p>
      <w:pPr>
        <w:pStyle w:val="Normal"/>
        <w:rPr/>
      </w:pPr>
      <w:r>
        <w:rPr/>
        <w:t>dokonaliśmy konstrukcji drzewa decyzyjnego zgodnie z algorytmem rpart wykorzystując zbiór treningowy. Przy walidacji wykorzystano technikę sprawdzianu krzyżowego k-krotnego, przy czym k ustaliliśmy na 10 za pomocą zmiennej xval .</w:t>
      </w:r>
    </w:p>
    <w:p>
      <w:pPr>
        <w:pStyle w:val="Normal"/>
        <w:rPr/>
      </w:pPr>
      <w:r>
        <w:rPr>
          <w:b/>
        </w:rPr>
        <w:t>4.</w:t>
      </w:r>
      <w:r>
        <w:rPr/>
        <w:t xml:space="preserve"> Po utworzeniu drzewa należy go przyciąć (prune) aby uniknąć nadmiernego dopasowania (overfitting). Robimy to korzystając z parametru cp oraz błędu względnego sprawdzianu krzyżowego xerror. Parametr cp zwany „complexity parameter” mówi nam jaka wymagana jest minimalna poprawa w modelu przy dodawaniu węzłów. Minimalną poprawę szacuje się na podstawie źle sklasyfikowanych próbek w liściach oraz liczby węzłów. Jeśli przy dodawaniu nowych liści liczba złych klasyfikacji nie będzie odpowiednio szybko malała (co jest szacowane wartością parametru cp) to drzewo nie będzie dalej konstruowane. Możemy też określić maksymalny rozmiar drzewa za pomocą parametru maxdepth. Poniżej przedstawiono tabelkę podającą wartości  cp oraz odpowiadające im  błędy walidacji krzyżowej (</w:t>
      </w:r>
      <w:bookmarkStart w:id="3" w:name="_Hlk72428222"/>
      <w:r>
        <w:rPr/>
        <w:t>xerror</w:t>
      </w:r>
      <w:bookmarkEnd w:id="3"/>
      <w:r>
        <w:rPr/>
        <w:t>) wraz z rozmiarem drzewa (tj. liczba węzłów, nsplit).</w:t>
      </w:r>
    </w:p>
    <w:p>
      <w:pPr>
        <w:pStyle w:val="Normal"/>
        <w:rPr>
          <w:color w:val="333333"/>
        </w:rPr>
      </w:pPr>
      <w:bookmarkStart w:id="4" w:name="_Hlk72427824"/>
      <w:bookmarkEnd w:id="4"/>
      <w:r>
        <w:rPr>
          <w:color w:val="333333"/>
        </w:rPr>
        <w:t>Classification tree:</w:t>
      </w:r>
    </w:p>
    <w:p>
      <w:pPr>
        <w:pStyle w:val="Normal"/>
        <w:rPr>
          <w:color w:val="333333"/>
        </w:rPr>
      </w:pPr>
      <w:r>
        <w:rPr>
          <w:color w:val="333333"/>
        </w:rPr>
        <w:t>rpart(formula = Classification ~ ., data = sTrain, method = "class",     control = dt_control, minsplit = 5)</w:t>
      </w:r>
    </w:p>
    <w:p>
      <w:pPr>
        <w:pStyle w:val="Normal"/>
        <w:rPr>
          <w:color w:val="333333"/>
        </w:rPr>
      </w:pPr>
      <w:r>
        <w:rPr>
          <w:color w:val="333333"/>
        </w:rPr>
        <w:t>Variables actually used in tree construction:</w:t>
      </w:r>
    </w:p>
    <w:p>
      <w:pPr>
        <w:pStyle w:val="Normal"/>
        <w:rPr>
          <w:color w:val="333333"/>
        </w:rPr>
      </w:pPr>
      <w:r>
        <w:rPr>
          <w:color w:val="333333"/>
        </w:rPr>
        <w:t>[1] PL PW</w:t>
      </w:r>
    </w:p>
    <w:p>
      <w:pPr>
        <w:pStyle w:val="Normal"/>
        <w:rPr>
          <w:color w:val="333333"/>
        </w:rPr>
      </w:pPr>
      <w:r>
        <w:rPr>
          <w:color w:val="333333"/>
        </w:rPr>
        <w:t>Root node error: 76/114 = 0.66667</w:t>
      </w:r>
    </w:p>
    <w:p>
      <w:pPr>
        <w:pStyle w:val="Normal"/>
        <w:rPr>
          <w:color w:val="333333"/>
        </w:rPr>
      </w:pPr>
      <w:r>
        <w:rPr>
          <w:color w:val="333333"/>
        </w:rPr>
        <w:t xml:space="preserve">n= 114        </w:t>
      </w:r>
    </w:p>
    <w:tbl>
      <w:tblPr>
        <w:tblW w:w="9072" w:type="dxa"/>
        <w:jc w:val="left"/>
        <w:tblInd w:w="0" w:type="dxa"/>
        <w:tblCellMar>
          <w:top w:w="0" w:type="dxa"/>
          <w:left w:w="0" w:type="dxa"/>
          <w:bottom w:w="0" w:type="dxa"/>
          <w:right w:w="0" w:type="dxa"/>
        </w:tblCellMar>
      </w:tblPr>
      <w:tblGrid>
        <w:gridCol w:w="1512"/>
        <w:gridCol w:w="1511"/>
        <w:gridCol w:w="1513"/>
        <w:gridCol w:w="1512"/>
        <w:gridCol w:w="1511"/>
        <w:gridCol w:w="1512"/>
      </w:tblGrid>
      <w:tr>
        <w:trPr/>
        <w:tc>
          <w:tcPr>
            <w:tcW w:w="1512" w:type="dxa"/>
            <w:tcBorders/>
          </w:tcPr>
          <w:p>
            <w:pPr>
              <w:pStyle w:val="TableContents"/>
              <w:spacing w:before="0" w:after="200"/>
              <w:jc w:val="center"/>
              <w:rPr/>
            </w:pPr>
            <w:r>
              <w:rPr/>
            </w:r>
          </w:p>
        </w:tc>
        <w:tc>
          <w:tcPr>
            <w:tcW w:w="1511" w:type="dxa"/>
            <w:tcBorders/>
          </w:tcPr>
          <w:p>
            <w:pPr>
              <w:pStyle w:val="TableContents"/>
              <w:spacing w:before="0" w:after="200"/>
              <w:jc w:val="center"/>
              <w:rPr/>
            </w:pPr>
            <w:r>
              <w:rPr/>
              <w:t>CP</w:t>
            </w:r>
          </w:p>
        </w:tc>
        <w:tc>
          <w:tcPr>
            <w:tcW w:w="1513" w:type="dxa"/>
            <w:tcBorders/>
          </w:tcPr>
          <w:p>
            <w:pPr>
              <w:pStyle w:val="TableContents"/>
              <w:spacing w:before="0" w:after="200"/>
              <w:jc w:val="center"/>
              <w:rPr/>
            </w:pPr>
            <w:r>
              <w:rPr/>
              <w:t>nsplit</w:t>
            </w:r>
          </w:p>
        </w:tc>
        <w:tc>
          <w:tcPr>
            <w:tcW w:w="1512" w:type="dxa"/>
            <w:tcBorders/>
          </w:tcPr>
          <w:p>
            <w:pPr>
              <w:pStyle w:val="TableContents"/>
              <w:spacing w:before="0" w:after="200"/>
              <w:jc w:val="center"/>
              <w:rPr/>
            </w:pPr>
            <w:r>
              <w:rPr/>
              <w:t>Rel error</w:t>
            </w:r>
          </w:p>
        </w:tc>
        <w:tc>
          <w:tcPr>
            <w:tcW w:w="1511" w:type="dxa"/>
            <w:tcBorders/>
          </w:tcPr>
          <w:p>
            <w:pPr>
              <w:pStyle w:val="TableContents"/>
              <w:spacing w:before="0" w:after="200"/>
              <w:jc w:val="center"/>
              <w:rPr/>
            </w:pPr>
            <w:r>
              <w:rPr/>
              <w:t>xerror</w:t>
            </w:r>
          </w:p>
        </w:tc>
        <w:tc>
          <w:tcPr>
            <w:tcW w:w="1512" w:type="dxa"/>
            <w:tcBorders/>
          </w:tcPr>
          <w:p>
            <w:pPr>
              <w:pStyle w:val="TableContents"/>
              <w:spacing w:before="0" w:after="200"/>
              <w:jc w:val="center"/>
              <w:rPr/>
            </w:pPr>
            <w:r>
              <w:rPr/>
              <w:t>xstd</w:t>
            </w:r>
          </w:p>
        </w:tc>
      </w:tr>
      <w:tr>
        <w:trPr/>
        <w:tc>
          <w:tcPr>
            <w:tcW w:w="1512" w:type="dxa"/>
            <w:tcBorders/>
          </w:tcPr>
          <w:p>
            <w:pPr>
              <w:pStyle w:val="TableContents"/>
              <w:spacing w:before="0" w:after="200"/>
              <w:jc w:val="center"/>
              <w:rPr/>
            </w:pPr>
            <w:r>
              <w:rPr/>
              <w:t>1</w:t>
            </w:r>
          </w:p>
        </w:tc>
        <w:tc>
          <w:tcPr>
            <w:tcW w:w="1511" w:type="dxa"/>
            <w:tcBorders/>
          </w:tcPr>
          <w:p>
            <w:pPr>
              <w:pStyle w:val="TableContents"/>
              <w:spacing w:before="0" w:after="200"/>
              <w:jc w:val="center"/>
              <w:rPr/>
            </w:pPr>
            <w:r>
              <w:rPr/>
              <w:t>0.50000</w:t>
            </w:r>
          </w:p>
        </w:tc>
        <w:tc>
          <w:tcPr>
            <w:tcW w:w="1513" w:type="dxa"/>
            <w:tcBorders/>
          </w:tcPr>
          <w:p>
            <w:pPr>
              <w:pStyle w:val="TableContents"/>
              <w:spacing w:before="0" w:after="200"/>
              <w:jc w:val="center"/>
              <w:rPr/>
            </w:pPr>
            <w:r>
              <w:rPr/>
              <w:t>0</w:t>
            </w:r>
          </w:p>
        </w:tc>
        <w:tc>
          <w:tcPr>
            <w:tcW w:w="1512" w:type="dxa"/>
            <w:tcBorders/>
          </w:tcPr>
          <w:p>
            <w:pPr>
              <w:pStyle w:val="TableContents"/>
              <w:spacing w:before="0" w:after="200"/>
              <w:jc w:val="center"/>
              <w:rPr/>
            </w:pPr>
            <w:r>
              <w:rPr/>
              <w:t>1.000000</w:t>
            </w:r>
          </w:p>
        </w:tc>
        <w:tc>
          <w:tcPr>
            <w:tcW w:w="1511" w:type="dxa"/>
            <w:tcBorders/>
          </w:tcPr>
          <w:p>
            <w:pPr>
              <w:pStyle w:val="TableContents"/>
              <w:spacing w:before="0" w:after="200"/>
              <w:jc w:val="center"/>
              <w:rPr/>
            </w:pPr>
            <w:r>
              <w:rPr/>
              <w:t>1.15789</w:t>
            </w:r>
          </w:p>
        </w:tc>
        <w:tc>
          <w:tcPr>
            <w:tcW w:w="1512" w:type="dxa"/>
            <w:tcBorders/>
          </w:tcPr>
          <w:p>
            <w:pPr>
              <w:pStyle w:val="TableContents"/>
              <w:spacing w:before="0" w:after="200"/>
              <w:jc w:val="center"/>
              <w:rPr/>
            </w:pPr>
            <w:r>
              <w:rPr/>
              <w:t>0.058947</w:t>
            </w:r>
          </w:p>
        </w:tc>
      </w:tr>
      <w:tr>
        <w:trPr/>
        <w:tc>
          <w:tcPr>
            <w:tcW w:w="1512" w:type="dxa"/>
            <w:tcBorders/>
          </w:tcPr>
          <w:p>
            <w:pPr>
              <w:pStyle w:val="TableContents"/>
              <w:spacing w:before="0" w:after="200"/>
              <w:jc w:val="center"/>
              <w:rPr/>
            </w:pPr>
            <w:r>
              <w:rPr/>
              <w:t>2</w:t>
            </w:r>
          </w:p>
        </w:tc>
        <w:tc>
          <w:tcPr>
            <w:tcW w:w="1511" w:type="dxa"/>
            <w:tcBorders/>
          </w:tcPr>
          <w:p>
            <w:pPr>
              <w:pStyle w:val="TableContents"/>
              <w:spacing w:before="0" w:after="200"/>
              <w:jc w:val="center"/>
              <w:rPr/>
            </w:pPr>
            <w:r>
              <w:rPr/>
              <w:t>0.46053</w:t>
            </w:r>
          </w:p>
        </w:tc>
        <w:tc>
          <w:tcPr>
            <w:tcW w:w="1513" w:type="dxa"/>
            <w:tcBorders/>
          </w:tcPr>
          <w:p>
            <w:pPr>
              <w:pStyle w:val="TableContents"/>
              <w:spacing w:before="0" w:after="200"/>
              <w:jc w:val="center"/>
              <w:rPr/>
            </w:pPr>
            <w:r>
              <w:rPr/>
              <w:t>1</w:t>
            </w:r>
          </w:p>
        </w:tc>
        <w:tc>
          <w:tcPr>
            <w:tcW w:w="1512" w:type="dxa"/>
            <w:tcBorders/>
          </w:tcPr>
          <w:p>
            <w:pPr>
              <w:pStyle w:val="TableContents"/>
              <w:spacing w:before="0" w:after="200"/>
              <w:jc w:val="center"/>
              <w:rPr/>
            </w:pPr>
            <w:r>
              <w:rPr/>
              <w:t>0.500000</w:t>
            </w:r>
          </w:p>
        </w:tc>
        <w:tc>
          <w:tcPr>
            <w:tcW w:w="1511" w:type="dxa"/>
            <w:tcBorders/>
          </w:tcPr>
          <w:p>
            <w:pPr>
              <w:pStyle w:val="TableContents"/>
              <w:spacing w:before="0" w:after="200"/>
              <w:jc w:val="center"/>
              <w:rPr/>
            </w:pPr>
            <w:r>
              <w:rPr/>
              <w:t>0.59211</w:t>
            </w:r>
          </w:p>
        </w:tc>
        <w:tc>
          <w:tcPr>
            <w:tcW w:w="1512" w:type="dxa"/>
            <w:tcBorders/>
          </w:tcPr>
          <w:p>
            <w:pPr>
              <w:pStyle w:val="TableContents"/>
              <w:spacing w:before="0" w:after="200"/>
              <w:jc w:val="center"/>
              <w:rPr/>
            </w:pPr>
            <w:r>
              <w:rPr/>
              <w:t>0.068670</w:t>
            </w:r>
          </w:p>
        </w:tc>
      </w:tr>
      <w:tr>
        <w:trPr/>
        <w:tc>
          <w:tcPr>
            <w:tcW w:w="1512" w:type="dxa"/>
            <w:tcBorders/>
          </w:tcPr>
          <w:p>
            <w:pPr>
              <w:pStyle w:val="TableContents"/>
              <w:spacing w:before="0" w:after="200"/>
              <w:jc w:val="center"/>
              <w:rPr/>
            </w:pPr>
            <w:r>
              <w:rPr/>
              <w:t>3</w:t>
            </w:r>
          </w:p>
        </w:tc>
        <w:tc>
          <w:tcPr>
            <w:tcW w:w="1511" w:type="dxa"/>
            <w:tcBorders/>
          </w:tcPr>
          <w:p>
            <w:pPr>
              <w:pStyle w:val="TableContents"/>
              <w:spacing w:before="0" w:after="200"/>
              <w:jc w:val="center"/>
              <w:rPr/>
            </w:pPr>
            <w:r>
              <w:rPr/>
              <w:t>0.00000</w:t>
            </w:r>
          </w:p>
        </w:tc>
        <w:tc>
          <w:tcPr>
            <w:tcW w:w="1513" w:type="dxa"/>
            <w:tcBorders/>
          </w:tcPr>
          <w:p>
            <w:pPr>
              <w:pStyle w:val="TableContents"/>
              <w:spacing w:before="0" w:after="200"/>
              <w:jc w:val="center"/>
              <w:rPr/>
            </w:pPr>
            <w:r>
              <w:rPr/>
              <w:t>2</w:t>
            </w:r>
          </w:p>
        </w:tc>
        <w:tc>
          <w:tcPr>
            <w:tcW w:w="1512" w:type="dxa"/>
            <w:tcBorders/>
          </w:tcPr>
          <w:p>
            <w:pPr>
              <w:pStyle w:val="TableContents"/>
              <w:spacing w:before="0" w:after="200"/>
              <w:jc w:val="center"/>
              <w:rPr/>
            </w:pPr>
            <w:r>
              <w:rPr/>
              <w:t>0.039474</w:t>
            </w:r>
          </w:p>
        </w:tc>
        <w:tc>
          <w:tcPr>
            <w:tcW w:w="1511" w:type="dxa"/>
            <w:tcBorders/>
          </w:tcPr>
          <w:p>
            <w:pPr>
              <w:pStyle w:val="TableContents"/>
              <w:spacing w:before="0" w:after="200"/>
              <w:jc w:val="center"/>
              <w:rPr/>
            </w:pPr>
            <w:r>
              <w:rPr/>
              <w:t>0.11842</w:t>
            </w:r>
          </w:p>
        </w:tc>
        <w:tc>
          <w:tcPr>
            <w:tcW w:w="1512" w:type="dxa"/>
            <w:tcBorders/>
          </w:tcPr>
          <w:p>
            <w:pPr>
              <w:pStyle w:val="TableContents"/>
              <w:spacing w:before="0" w:after="200"/>
              <w:jc w:val="center"/>
              <w:rPr/>
            </w:pPr>
            <w:r>
              <w:rPr/>
              <w:t>0.037883</w:t>
            </w:r>
          </w:p>
        </w:tc>
      </w:tr>
    </w:tbl>
    <w:p>
      <w:pPr>
        <w:pStyle w:val="Normal"/>
        <w:rPr/>
      </w:pPr>
      <w:r>
        <w:rPr/>
      </w:r>
    </w:p>
    <w:p>
      <w:pPr>
        <w:pStyle w:val="Normal"/>
        <w:rPr>
          <w:color w:val="333333"/>
        </w:rPr>
      </w:pPr>
      <w:r>
        <w:rPr>
          <w:color w:val="333333"/>
        </w:rPr>
      </w:r>
    </w:p>
    <w:p>
      <w:pPr>
        <w:pStyle w:val="Normal"/>
        <w:rPr/>
      </w:pPr>
      <w:r>
        <w:rPr/>
        <w:t>Na podstawie otrzymanych danych poniżej przedstawiono wykres błędu xerror w funkcji parametru złożoności cp.</w:t>
      </w:r>
    </w:p>
    <w:p>
      <w:pPr>
        <w:pStyle w:val="Normal"/>
        <w:rPr/>
      </w:pPr>
      <w:r>
        <w:rPr/>
        <w:drawing>
          <wp:inline distT="0" distB="0" distL="0" distR="0">
            <wp:extent cx="3159760" cy="23501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59760" cy="2350135"/>
                    </a:xfrm>
                    <a:prstGeom prst="rect">
                      <a:avLst/>
                    </a:prstGeom>
                  </pic:spPr>
                </pic:pic>
              </a:graphicData>
            </a:graphic>
          </wp:inline>
        </w:drawing>
      </w:r>
    </w:p>
    <w:p>
      <w:pPr>
        <w:pStyle w:val="Normal"/>
        <w:rPr/>
      </w:pPr>
      <w:r>
        <w:rPr/>
        <w:t xml:space="preserve">Na wykresie zaznaczono poziomą  linią przerywaną wartość najmniejszego błędu powiększonego o odchylenie standardowe xstd. Punkty poniżej tej linii są dobrymi kandydatami na końcowe drzewo po przycięciu. Drzewa przycinamy za pomocą kodu: </w:t>
      </w:r>
    </w:p>
    <w:p>
      <w:pPr>
        <w:pStyle w:val="Normal"/>
        <w:rPr>
          <w:color w:val="1C1C1C"/>
        </w:rPr>
      </w:pPr>
      <w:r>
        <w:rPr>
          <w:b/>
          <w:color w:val="1C1C1C"/>
        </w:rPr>
        <w:t>dl_tree &lt;- prune(d_tree, cp = 0)</w:t>
      </w:r>
    </w:p>
    <w:p>
      <w:pPr>
        <w:pStyle w:val="Normal"/>
        <w:rPr>
          <w:b/>
          <w:b/>
        </w:rPr>
      </w:pPr>
      <w:r>
        <w:rPr>
          <w:b/>
        </w:rPr>
      </w:r>
    </w:p>
    <w:p>
      <w:pPr>
        <w:pStyle w:val="Normal"/>
        <w:rPr/>
      </w:pPr>
      <w:r>
        <w:rPr/>
        <w:t>Po przycięciu drzewa możemy go narysować za pomocą kodu:</w:t>
      </w:r>
    </w:p>
    <w:p>
      <w:pPr>
        <w:pStyle w:val="Normal"/>
        <w:rPr>
          <w:color w:val="1C1C1C"/>
        </w:rPr>
      </w:pPr>
      <w:r>
        <w:rPr>
          <w:b/>
          <w:color w:val="1C1C1C"/>
        </w:rPr>
        <w:t>rpart.plot(dl_tree, extra = 101, fallen.leaves = FALSE, tweak = 1.0, varlen = 10, faclen = 10)</w:t>
      </w:r>
    </w:p>
    <w:p>
      <w:pPr>
        <w:pStyle w:val="Normal"/>
        <w:rPr/>
      </w:pPr>
      <w:r>
        <w:rPr/>
        <w:t>Poniżej przedstawiono przycięte drzewa dla wybranych wartości cp.</w:t>
      </w:r>
    </w:p>
    <w:p>
      <w:pPr>
        <w:pStyle w:val="Normal"/>
        <w:rPr/>
      </w:pPr>
      <w:r>
        <w:rPr/>
        <w:t>Rysunek 1 cp = 0</w:t>
      </w:r>
    </w:p>
    <w:p>
      <w:pPr>
        <w:pStyle w:val="Normal"/>
        <w:rPr>
          <w:b/>
          <w:b/>
          <w:color w:val="FF0000"/>
        </w:rPr>
      </w:pPr>
      <w:r>
        <w:rPr/>
        <w:drawing>
          <wp:inline distT="0" distB="0" distL="0" distR="0">
            <wp:extent cx="2779395" cy="19215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79395" cy="1921510"/>
                    </a:xfrm>
                    <a:prstGeom prst="rect">
                      <a:avLst/>
                    </a:prstGeom>
                  </pic:spPr>
                </pic:pic>
              </a:graphicData>
            </a:graphic>
          </wp:inline>
        </w:drawing>
      </w:r>
    </w:p>
    <w:p>
      <w:pPr>
        <w:pStyle w:val="Normal"/>
        <w:rPr>
          <w:b/>
          <w:b/>
          <w:color w:val="FF0000"/>
        </w:rPr>
      </w:pPr>
      <w:r>
        <w:rPr>
          <w:b/>
          <w:color w:val="FF0000"/>
        </w:rPr>
      </w:r>
    </w:p>
    <w:p>
      <w:pPr>
        <w:pStyle w:val="Normal"/>
        <w:rPr>
          <w:b/>
          <w:b/>
          <w:color w:val="FF0000"/>
        </w:rPr>
      </w:pPr>
      <w:r>
        <w:rPr>
          <w:b/>
          <w:color w:val="FF0000"/>
        </w:rPr>
      </w:r>
    </w:p>
    <w:p>
      <w:pPr>
        <w:pStyle w:val="Normal"/>
        <w:rPr>
          <w:b/>
          <w:b/>
          <w:color w:val="FF0000"/>
        </w:rPr>
      </w:pPr>
      <w:r>
        <w:rPr>
          <w:b/>
          <w:color w:val="FF0000"/>
        </w:rPr>
      </w:r>
    </w:p>
    <w:p>
      <w:pPr>
        <w:pStyle w:val="Normal"/>
        <w:rPr>
          <w:b/>
          <w:b/>
          <w:color w:val="FF0000"/>
        </w:rPr>
      </w:pPr>
      <w:r>
        <w:rPr>
          <w:b/>
          <w:color w:val="FF0000"/>
        </w:rPr>
      </w:r>
    </w:p>
    <w:p>
      <w:pPr>
        <w:pStyle w:val="Normal"/>
        <w:rPr>
          <w:color w:val="1C1C1C"/>
        </w:rPr>
      </w:pPr>
      <w:r>
        <w:rPr>
          <w:b/>
          <w:color w:val="1C1C1C"/>
        </w:rPr>
        <w:t>Rysunek 2 cp = 0.46053</w:t>
      </w:r>
    </w:p>
    <w:p>
      <w:pPr>
        <w:pStyle w:val="Normal"/>
        <w:rPr>
          <w:b/>
          <w:b/>
          <w:color w:val="FF0000"/>
        </w:rPr>
      </w:pPr>
      <w:r>
        <w:rPr/>
        <w:drawing>
          <wp:inline distT="0" distB="0" distL="0" distR="0">
            <wp:extent cx="2835910" cy="19240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35910" cy="1924050"/>
                    </a:xfrm>
                    <a:prstGeom prst="rect">
                      <a:avLst/>
                    </a:prstGeom>
                  </pic:spPr>
                </pic:pic>
              </a:graphicData>
            </a:graphic>
          </wp:inline>
        </w:drawing>
      </w:r>
    </w:p>
    <w:p>
      <w:pPr>
        <w:pStyle w:val="Normal"/>
        <w:rPr>
          <w:color w:val="1C1C1C"/>
        </w:rPr>
      </w:pPr>
      <w:r>
        <w:rPr>
          <w:b/>
          <w:color w:val="1C1C1C"/>
        </w:rPr>
        <w:t>Rysunek 3 cp = 0.50000</w:t>
      </w:r>
    </w:p>
    <w:p>
      <w:pPr>
        <w:pStyle w:val="Normal"/>
        <w:rPr>
          <w:b/>
          <w:b/>
          <w:color w:val="FF0000"/>
        </w:rPr>
      </w:pPr>
      <w:r>
        <w:rPr/>
        <w:drawing>
          <wp:inline distT="0" distB="0" distL="0" distR="0">
            <wp:extent cx="2893695" cy="21634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93695" cy="2163445"/>
                    </a:xfrm>
                    <a:prstGeom prst="rect">
                      <a:avLst/>
                    </a:prstGeom>
                  </pic:spPr>
                </pic:pic>
              </a:graphicData>
            </a:graphic>
          </wp:inline>
        </w:drawing>
      </w:r>
    </w:p>
    <w:p>
      <w:pPr>
        <w:pStyle w:val="Normal"/>
        <w:rPr/>
      </w:pPr>
      <w:r>
        <w:rPr>
          <w:b/>
        </w:rPr>
        <w:t>5</w:t>
      </w:r>
      <w:r>
        <w:rPr/>
        <w:t>. Na zakończenie należy przetestować nasze drzewa wykorzystując zbiór testowy. Robimy to za pomocą kodu:</w:t>
      </w:r>
    </w:p>
    <w:p>
      <w:pPr>
        <w:pStyle w:val="Normal"/>
        <w:rPr>
          <w:color w:val="1C1C1C"/>
        </w:rPr>
      </w:pPr>
      <w:r>
        <w:rPr>
          <w:b/>
          <w:color w:val="1C1C1C"/>
        </w:rPr>
        <w:t>dl_tree_predict &lt;- predict(dl_tree, sTest, type="class")</w:t>
      </w:r>
    </w:p>
    <w:p>
      <w:pPr>
        <w:pStyle w:val="Normal"/>
        <w:rPr>
          <w:color w:val="1C1C1C"/>
        </w:rPr>
      </w:pPr>
      <w:r>
        <w:rPr>
          <w:b/>
          <w:color w:val="1C1C1C"/>
        </w:rPr>
        <w:t>confusionMatrix(table(dl_tree_predict,sTest$Classification))</w:t>
      </w:r>
    </w:p>
    <w:p>
      <w:pPr>
        <w:pStyle w:val="Normal"/>
        <w:rPr/>
      </w:pPr>
      <w:r>
        <w:rPr/>
        <w:t>Poniżej przedstawiono wyniki testów dla wcześniej narysowanych drzew.</w:t>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t>Wyniki dla rysunku 1</w:t>
      </w:r>
    </w:p>
    <w:p>
      <w:pPr>
        <w:pStyle w:val="Normal"/>
        <w:rPr>
          <w:b/>
          <w:b/>
          <w:color w:val="1C1C1C"/>
        </w:rPr>
      </w:pPr>
      <w:r>
        <w:rPr>
          <w:b/>
          <w:color w:val="1C1C1C"/>
        </w:rPr>
      </w:r>
    </w:p>
    <w:p>
      <w:pPr>
        <w:pStyle w:val="Normal"/>
        <w:rPr>
          <w:b/>
          <w:b/>
          <w:color w:val="1C1C1C"/>
        </w:rPr>
      </w:pPr>
      <w:r>
        <w:rPr/>
        <w:drawing>
          <wp:inline distT="0" distB="0" distL="0" distR="0">
            <wp:extent cx="4539615" cy="410972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4539615" cy="4109720"/>
                    </a:xfrm>
                    <a:prstGeom prst="rect">
                      <a:avLst/>
                    </a:prstGeom>
                  </pic:spPr>
                </pic:pic>
              </a:graphicData>
            </a:graphic>
          </wp:inline>
        </w:drawing>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r>
    </w:p>
    <w:p>
      <w:pPr>
        <w:pStyle w:val="Normal"/>
        <w:rPr>
          <w:b/>
          <w:b/>
          <w:color w:val="1C1C1C"/>
        </w:rPr>
      </w:pPr>
      <w:r>
        <w:rPr/>
      </w:r>
    </w:p>
    <w:p>
      <w:pPr>
        <w:pStyle w:val="Normal"/>
        <w:rPr>
          <w:b/>
          <w:b/>
          <w:color w:val="1C1C1C"/>
        </w:rPr>
      </w:pPr>
      <w:r>
        <w:rPr/>
      </w:r>
    </w:p>
    <w:p>
      <w:pPr>
        <w:pStyle w:val="Normal"/>
        <w:rPr>
          <w:b/>
          <w:b/>
          <w:color w:val="1C1C1C"/>
        </w:rPr>
      </w:pPr>
      <w:r>
        <w:rPr/>
      </w:r>
    </w:p>
    <w:p>
      <w:pPr>
        <w:pStyle w:val="Normal"/>
        <w:rPr>
          <w:b/>
          <w:b/>
          <w:color w:val="1C1C1C"/>
        </w:rPr>
      </w:pPr>
      <w:r>
        <w:rPr/>
      </w:r>
    </w:p>
    <w:p>
      <w:pPr>
        <w:pStyle w:val="Normal"/>
        <w:rPr>
          <w:b/>
          <w:b/>
          <w:color w:val="1C1C1C"/>
        </w:rPr>
      </w:pPr>
      <w:r>
        <w:rPr/>
      </w:r>
    </w:p>
    <w:p>
      <w:pPr>
        <w:pStyle w:val="Normal"/>
        <w:rPr>
          <w:b/>
          <w:b/>
          <w:color w:val="1C1C1C"/>
        </w:rPr>
      </w:pPr>
      <w:r>
        <w:rPr/>
      </w:r>
    </w:p>
    <w:p>
      <w:pPr>
        <w:pStyle w:val="Normal"/>
        <w:rPr>
          <w:b/>
          <w:b/>
          <w:color w:val="1C1C1C"/>
        </w:rPr>
      </w:pPr>
      <w:r>
        <w:rPr/>
      </w:r>
    </w:p>
    <w:p>
      <w:pPr>
        <w:pStyle w:val="Normal"/>
        <w:rPr>
          <w:b/>
          <w:b/>
          <w:color w:val="1C1C1C"/>
        </w:rPr>
      </w:pPr>
      <w:r>
        <w:rPr/>
      </w:r>
    </w:p>
    <w:p>
      <w:pPr>
        <w:pStyle w:val="Normal"/>
        <w:rPr>
          <w:b/>
          <w:b/>
          <w:color w:val="1C1C1C"/>
        </w:rPr>
      </w:pPr>
      <w:r>
        <w:rPr>
          <w:b/>
          <w:color w:val="1C1C1C"/>
        </w:rPr>
        <w:t>Wyniki dla rysunku 2</w:t>
      </w:r>
    </w:p>
    <w:p>
      <w:pPr>
        <w:pStyle w:val="Normal"/>
        <w:rPr>
          <w:b/>
          <w:b/>
          <w:color w:val="1C1C1C"/>
        </w:rPr>
      </w:pPr>
      <w:r>
        <w:rPr/>
        <w:drawing>
          <wp:inline distT="0" distB="0" distL="0" distR="0">
            <wp:extent cx="4556125" cy="408686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56125" cy="4086860"/>
                    </a:xfrm>
                    <a:prstGeom prst="rect">
                      <a:avLst/>
                    </a:prstGeom>
                  </pic:spPr>
                </pic:pic>
              </a:graphicData>
            </a:graphic>
          </wp:inline>
        </w:drawing>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r>
    </w:p>
    <w:p>
      <w:pPr>
        <w:pStyle w:val="Normal"/>
        <w:rPr>
          <w:b/>
          <w:b/>
          <w:color w:val="1C1C1C"/>
        </w:rPr>
      </w:pPr>
      <w:r>
        <w:rPr>
          <w:b/>
          <w:color w:val="1C1C1C"/>
        </w:rPr>
        <w:t>Wyniki dla rysunku 3</w:t>
      </w:r>
    </w:p>
    <w:p>
      <w:pPr>
        <w:pStyle w:val="Normal"/>
        <w:rPr>
          <w:b/>
          <w:b/>
          <w:color w:val="1C1C1C"/>
        </w:rPr>
      </w:pPr>
      <w:r>
        <w:rPr/>
        <w:drawing>
          <wp:inline distT="0" distB="0" distL="0" distR="0">
            <wp:extent cx="4572635" cy="42291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572635" cy="4229100"/>
                    </a:xfrm>
                    <a:prstGeom prst="rect">
                      <a:avLst/>
                    </a:prstGeom>
                  </pic:spPr>
                </pic:pic>
              </a:graphicData>
            </a:graphic>
          </wp:inline>
        </w:drawing>
      </w:r>
    </w:p>
    <w:p>
      <w:pPr>
        <w:pStyle w:val="Normal"/>
        <w:rPr/>
      </w:pPr>
      <w:r>
        <w:rPr/>
        <w:t xml:space="preserve">6. Porównując wartości metryki </w:t>
      </w:r>
      <w:r>
        <w:rPr>
          <w:b/>
        </w:rPr>
        <w:t>Accuracy</w:t>
      </w:r>
      <w:r>
        <w:rPr/>
        <w:t xml:space="preserve"> można przyjąć, że najlepsze drzewo zostało przedstawione na rysunku </w:t>
      </w:r>
      <w:r>
        <w:rPr>
          <w:b/>
          <w:color w:val="1C1C1C"/>
        </w:rPr>
        <w:t>1</w:t>
      </w:r>
      <w:r>
        <w:rPr/>
        <w:t>, ma 2 węzłów (nspit), oraz wartość cp = 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pPr>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7ee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bd6ba4"/>
    <w:pPr>
      <w:spacing w:before="0" w:after="20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Application>LibreOffice/6.4.4.2$MacOSX_X86_64 LibreOffice_project/3d775be2011f3886db32dfd395a6a6d1ca2630ff</Application>
  <Pages>9</Pages>
  <Words>942</Words>
  <Characters>5510</Characters>
  <CharactersWithSpaces>6489</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2021-05-20T08:14:00Z</dcterms:created>
  <dc:creator>Wumpus</dc:creator>
  <dc:description/>
  <dc:language>pl-PL</dc:language>
  <cp:lastModifiedBy/>
  <dcterms:modified xsi:type="dcterms:W3CDTF">2021-06-09T22:33:36Z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