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575E" w14:textId="50E0DF5B" w:rsidR="00C60B1C" w:rsidRPr="00C95328" w:rsidRDefault="009D0CAD" w:rsidP="00F04A67">
      <w:pPr>
        <w:pStyle w:val="Heading2"/>
        <w:spacing w:line="252" w:lineRule="auto"/>
        <w:rPr>
          <w:rFonts w:ascii="Arial" w:eastAsia="Aptos" w:hAnsi="Arial" w:cs="Arial"/>
          <w:b/>
          <w:bCs/>
          <w:color w:val="auto"/>
          <w:sz w:val="28"/>
          <w:szCs w:val="28"/>
        </w:rPr>
      </w:pPr>
      <w:r w:rsidRPr="00C95328">
        <w:rPr>
          <w:rFonts w:ascii="Arial" w:eastAsia="Aptos" w:hAnsi="Arial" w:cs="Arial"/>
          <w:b/>
          <w:bCs/>
          <w:color w:val="auto"/>
        </w:rPr>
        <w:t xml:space="preserve">1. </w:t>
      </w:r>
      <w:r w:rsidR="00C60B1C" w:rsidRPr="00C95328">
        <w:rPr>
          <w:rFonts w:ascii="Arial" w:eastAsia="Aptos" w:hAnsi="Arial" w:cs="Arial"/>
          <w:b/>
          <w:bCs/>
          <w:color w:val="auto"/>
        </w:rPr>
        <w:t>Asian longhorned beetle (</w:t>
      </w:r>
      <w:r w:rsidR="00C60B1C" w:rsidRPr="00C95328">
        <w:rPr>
          <w:rFonts w:ascii="Arial" w:eastAsia="Aptos" w:hAnsi="Arial" w:cs="Arial"/>
          <w:b/>
          <w:bCs/>
          <w:i/>
          <w:iCs/>
          <w:color w:val="auto"/>
        </w:rPr>
        <w:t>Anoplophora glabripennis</w:t>
      </w:r>
      <w:r w:rsidR="00C60B1C" w:rsidRPr="00C95328">
        <w:rPr>
          <w:rFonts w:ascii="Arial" w:eastAsia="Aptos" w:hAnsi="Arial" w:cs="Arial"/>
          <w:b/>
          <w:bCs/>
          <w:color w:val="auto"/>
        </w:rPr>
        <w:t>)</w:t>
      </w:r>
    </w:p>
    <w:p w14:paraId="1E9593FB" w14:textId="77777777" w:rsidR="00C60B1C" w:rsidRPr="00C95328" w:rsidRDefault="00C60B1C" w:rsidP="00F04A67">
      <w:pPr>
        <w:spacing w:after="80" w:line="252" w:lineRule="auto"/>
      </w:pPr>
    </w:p>
    <w:p w14:paraId="13A4FD4B" w14:textId="3FA4ED8B" w:rsidR="00A771C4" w:rsidRPr="0054589D" w:rsidRDefault="00A771C4" w:rsidP="003F2248">
      <w:pPr>
        <w:spacing w:line="240" w:lineRule="auto"/>
        <w:contextualSpacing/>
      </w:pPr>
      <w:r w:rsidRPr="00C95328">
        <w:t>::: {.content-visible when-format="html"}</w:t>
      </w:r>
      <w:r w:rsidR="0054589D">
        <w:br/>
      </w:r>
      <w:r w:rsidRPr="00C95328">
        <w:t>&lt;div style="text-align: left;"&gt;</w:t>
      </w:r>
      <w:r w:rsidR="0054589D">
        <w:br/>
      </w:r>
      <w:r w:rsidRPr="00C95328">
        <w:t>[Download report as PDF](index.pdf){.btn .btn-primary}</w:t>
      </w:r>
      <w:r w:rsidR="0054589D">
        <w:br/>
      </w:r>
      <w:r w:rsidRPr="00C95328">
        <w:t>&lt;/div&gt;</w:t>
      </w:r>
      <w:r w:rsidR="0054589D">
        <w:br/>
      </w:r>
      <w:r w:rsidRPr="00C95328">
        <w:t>:::</w:t>
      </w:r>
    </w:p>
    <w:p w14:paraId="46053E85" w14:textId="77777777" w:rsidR="00A771C4" w:rsidRPr="00C95328" w:rsidRDefault="00A771C4" w:rsidP="00F04A67">
      <w:pPr>
        <w:spacing w:after="80" w:line="252" w:lineRule="auto"/>
      </w:pPr>
    </w:p>
    <w:p w14:paraId="15A01967" w14:textId="408A9C68" w:rsidR="00C60B1C" w:rsidRPr="00C95328" w:rsidRDefault="00C60B1C" w:rsidP="006041E4">
      <w:pPr>
        <w:pStyle w:val="Heading2"/>
        <w:spacing w:line="252" w:lineRule="auto"/>
        <w:rPr>
          <w:rFonts w:ascii="Arial" w:hAnsi="Arial" w:cs="Arial"/>
          <w:b/>
          <w:bCs/>
          <w:i/>
          <w:iCs/>
          <w:color w:val="auto"/>
        </w:rPr>
      </w:pPr>
      <w:r w:rsidRPr="00C95328">
        <w:rPr>
          <w:rFonts w:ascii="Arial" w:hAnsi="Arial" w:cs="Arial"/>
          <w:b/>
          <w:bCs/>
          <w:color w:val="auto"/>
        </w:rPr>
        <w:t>Introduction</w:t>
      </w:r>
    </w:p>
    <w:p w14:paraId="74DE6665" w14:textId="6138E6CF" w:rsidR="00C60B1C" w:rsidRPr="00C95328" w:rsidRDefault="00C60B1C" w:rsidP="00F04A67">
      <w:pPr>
        <w:spacing w:after="80" w:line="252" w:lineRule="auto"/>
      </w:pPr>
      <w:r w:rsidRPr="00C95328">
        <w:t xml:space="preserve">The Asian longhorned beetle (ALB), </w:t>
      </w:r>
      <w:r w:rsidRPr="00C95328">
        <w:rPr>
          <w:i/>
          <w:iCs/>
        </w:rPr>
        <w:t>Anoplophora glabripennis</w:t>
      </w:r>
      <w:r w:rsidRPr="00C95328">
        <w:t xml:space="preserve"> Motschulsky (Coleoptera: Cerambycidae), is a </w:t>
      </w:r>
      <w:r w:rsidR="00DC0686" w:rsidRPr="00C95328">
        <w:t>wood-eating</w:t>
      </w:r>
      <w:r w:rsidRPr="00C95328">
        <w:t xml:space="preserve"> pest native to the Korean peninsula and eastern China. In the United States, the beetle was first discovered on Long Island, NY, in 1996, where it likely arrived via wood packaging from China (Haack and Hoebeke 1996). The pest spread to several sites in the eastern United States and Canada but has since been eradicated in Illinois, New Jersey, New York City, Boston, </w:t>
      </w:r>
      <w:r w:rsidR="00DC0686" w:rsidRPr="00C95328">
        <w:t>and Canada</w:t>
      </w:r>
      <w:r w:rsidRPr="00C95328">
        <w:t xml:space="preserve"> (Coyle et al. 2021, EPPO 2021). However, infestations currently persist in central Long Island, NY; Worcester County, MA; Clermont County, OH; and Charleston County, SC (Coyle et al. 2021, USDA-APHIS 2025). ALB is a major threat to the maple hardwood lumber and sugar maple syrup industries, as well as tourism associated with fall colors in maple trees (Smith and Wu 2008). The cost of a complete infestation of all urban areas in the U.S. has been estimated at $669 billion (Nowak et al. 2001).</w:t>
      </w:r>
    </w:p>
    <w:p w14:paraId="6767E590" w14:textId="45453881" w:rsidR="0021013E" w:rsidRPr="00C95328" w:rsidRDefault="00C60B1C" w:rsidP="0021013E">
      <w:pPr>
        <w:spacing w:after="80" w:line="252" w:lineRule="auto"/>
        <w:ind w:firstLine="360"/>
      </w:pPr>
      <w:r w:rsidRPr="00C95328">
        <w:t xml:space="preserve">An estimated 30-35% of trees in the eastern United States are species commonly attacked by </w:t>
      </w:r>
      <w:r w:rsidR="00DE6732" w:rsidRPr="00C95328">
        <w:t xml:space="preserve">ALB </w:t>
      </w:r>
      <w:r w:rsidRPr="00C95328">
        <w:t xml:space="preserve">(Nowak et al. 2001, Smith and Wu 2008). </w:t>
      </w:r>
      <w:r w:rsidR="00DE6732" w:rsidRPr="00C95328">
        <w:t xml:space="preserve">The pest </w:t>
      </w:r>
      <w:r w:rsidRPr="00C95328">
        <w:t xml:space="preserve">can complete its lifecycle on </w:t>
      </w:r>
      <w:r w:rsidRPr="00C95328">
        <w:rPr>
          <w:i/>
          <w:iCs/>
        </w:rPr>
        <w:t>Acer</w:t>
      </w:r>
      <w:r w:rsidRPr="00C95328">
        <w:t xml:space="preserve">, </w:t>
      </w:r>
      <w:r w:rsidRPr="00C95328">
        <w:rPr>
          <w:i/>
          <w:iCs/>
        </w:rPr>
        <w:t>Aesculus</w:t>
      </w:r>
      <w:r w:rsidRPr="00C95328">
        <w:t xml:space="preserve">, </w:t>
      </w:r>
      <w:r w:rsidRPr="00C95328">
        <w:rPr>
          <w:i/>
          <w:iCs/>
        </w:rPr>
        <w:t xml:space="preserve">Albizia julibrissin, Betula, Cercidiphyllum, Elaeagnus angustifolia, Fraxinus, Platanus, Populus, Salix, Sorbus aucuparia </w:t>
      </w:r>
      <w:r w:rsidRPr="00C95328">
        <w:t xml:space="preserve">and </w:t>
      </w:r>
      <w:r w:rsidRPr="00C95328">
        <w:rPr>
          <w:i/>
          <w:iCs/>
        </w:rPr>
        <w:t xml:space="preserve">Ulmus </w:t>
      </w:r>
      <w:r w:rsidRPr="00C95328">
        <w:t xml:space="preserve">species (van der Gaag and Loomans 2014). However, preferred genera in North America are </w:t>
      </w:r>
      <w:r w:rsidRPr="00C95328">
        <w:rPr>
          <w:i/>
          <w:iCs/>
        </w:rPr>
        <w:t>Acer and Ulmus</w:t>
      </w:r>
      <w:r w:rsidRPr="00C95328">
        <w:t xml:space="preserve">, compared to </w:t>
      </w:r>
      <w:r w:rsidRPr="00C95328">
        <w:rPr>
          <w:i/>
          <w:iCs/>
        </w:rPr>
        <w:t xml:space="preserve">Populus </w:t>
      </w:r>
      <w:r w:rsidRPr="00C95328">
        <w:t xml:space="preserve">and </w:t>
      </w:r>
      <w:r w:rsidRPr="00C95328">
        <w:rPr>
          <w:i/>
          <w:iCs/>
        </w:rPr>
        <w:t>Salix</w:t>
      </w:r>
      <w:r w:rsidRPr="00C95328">
        <w:t xml:space="preserve"> in China (Hu et al. 2009, van der Gaag and Loomans 2014). Following oviposition under the bark of host trees, larvae feed in the cambial region before burrowing into the inner xylem and heartwood (Haack and Hoebeke 1996, Haack 2006). ALB may overwinter as an egg, larva, or pupa, though typically as an egg or larva, before emerging from round exit holes as adults (Haack and Hoebeke 1996, Haack 2006, Herard et al. 2009, Faccoli et al. 2015, Trotter and Keena 2016). </w:t>
      </w:r>
      <w:r w:rsidR="00DE6732" w:rsidRPr="00C95328">
        <w:t>D</w:t>
      </w:r>
      <w:r w:rsidRPr="00C95328">
        <w:t xml:space="preserve">iapause termination requires a chilling period, and larvae may be freeze tolerant (Roden et al. 2008, Torson et al. 2021). </w:t>
      </w:r>
      <w:r w:rsidR="0021013E" w:rsidRPr="00C95328">
        <w:rPr>
          <w:lang w:val="en-US"/>
        </w:rPr>
        <w:t xml:space="preserve"> </w:t>
      </w:r>
    </w:p>
    <w:p w14:paraId="4D86CA9E" w14:textId="765C636F" w:rsidR="0024553D" w:rsidRPr="00C95328" w:rsidRDefault="001C5111" w:rsidP="00F04A67">
      <w:pPr>
        <w:spacing w:after="80" w:line="252" w:lineRule="auto"/>
        <w:ind w:firstLine="360"/>
        <w:contextualSpacing/>
      </w:pPr>
      <w:r>
        <w:t xml:space="preserve">A model for ALB developed for the </w:t>
      </w:r>
      <w:r w:rsidRPr="001C5111">
        <w:t>Degree-Day, establishment Risk, and Phenological event mapping system (DDRP) is operationalized to produce near real-time forecasts</w:t>
      </w:r>
      <w:r w:rsidR="00BB3A1E">
        <w:t xml:space="preserve"> for the contiguous United States (CONUS)</w:t>
      </w:r>
      <w:r w:rsidRPr="001C5111">
        <w:t xml:space="preserve"> a</w:t>
      </w:r>
      <w:r w:rsidR="0058270C" w:rsidRPr="00C95328">
        <w:t xml:space="preserve">t </w:t>
      </w:r>
      <w:hyperlink r:id="rId7" w:history="1">
        <w:r w:rsidR="0058270C" w:rsidRPr="008F085F">
          <w:rPr>
            <w:rStyle w:val="Hyperlink"/>
          </w:rPr>
          <w:t>https://uspest.org/</w:t>
        </w:r>
        <w:r w:rsidR="008F085F" w:rsidRPr="008F085F">
          <w:rPr>
            <w:rStyle w:val="Hyperlink"/>
          </w:rPr>
          <w:t>DDRP</w:t>
        </w:r>
      </w:hyperlink>
      <w:r w:rsidR="007571AA" w:rsidRPr="00C95328">
        <w:t xml:space="preserve">. </w:t>
      </w:r>
      <w:r w:rsidR="00F221F3" w:rsidRPr="00C95328">
        <w:t xml:space="preserve">The </w:t>
      </w:r>
      <w:r w:rsidR="007D6F88" w:rsidRPr="00C95328">
        <w:t xml:space="preserve">phenology </w:t>
      </w:r>
      <w:r w:rsidR="00F221F3" w:rsidRPr="00C95328">
        <w:t>model</w:t>
      </w:r>
      <w:r w:rsidR="00865902">
        <w:t xml:space="preserve"> </w:t>
      </w:r>
      <w:r w:rsidR="00F221F3" w:rsidRPr="00C95328">
        <w:t>applies a lower developmental threshold of 10 ºC and upper threshold of 35 ºC for all life stages (egg, larva, pupa, and adult)</w:t>
      </w:r>
      <w:r w:rsidR="00865902">
        <w:t>,</w:t>
      </w:r>
      <w:r w:rsidR="00F221F3" w:rsidRPr="00C95328">
        <w:t xml:space="preserve"> and assumes </w:t>
      </w:r>
      <w:r w:rsidR="00865902">
        <w:t xml:space="preserve">a 1-year life cycle in which </w:t>
      </w:r>
      <w:r w:rsidR="00F221F3" w:rsidRPr="00C95328">
        <w:t>the larva is the overwintering stage. The</w:t>
      </w:r>
      <w:r w:rsidR="007D6F88" w:rsidRPr="00C95328">
        <w:t xml:space="preserve"> climatic suitability</w:t>
      </w:r>
      <w:r w:rsidR="00F221F3" w:rsidRPr="00C95328">
        <w:t xml:space="preserve"> model applie</w:t>
      </w:r>
      <w:r w:rsidR="007D6F88" w:rsidRPr="00C95328">
        <w:t>s</w:t>
      </w:r>
      <w:r w:rsidR="00F221F3" w:rsidRPr="00C95328">
        <w:t xml:space="preserve"> a lower cold stress threshold and upper heat stress threshold of </w:t>
      </w:r>
      <w:r w:rsidR="002D1572">
        <w:t>−</w:t>
      </w:r>
      <w:r w:rsidR="00F221F3" w:rsidRPr="00C95328">
        <w:t xml:space="preserve">20 ºC and 40 ºC, respectively. </w:t>
      </w:r>
      <w:r w:rsidR="00EB2DF2" w:rsidRPr="00C95328">
        <w:t>The full set of model parameters</w:t>
      </w:r>
      <w:r w:rsidR="00F53F1E" w:rsidRPr="00C95328">
        <w:t xml:space="preserve"> for ALB, including degree-day requirements for individual life stages and climate stress limits, are </w:t>
      </w:r>
      <w:r w:rsidR="00936694">
        <w:t>presented in Table 1</w:t>
      </w:r>
      <w:r>
        <w:t xml:space="preserve"> </w:t>
      </w:r>
      <w:r w:rsidRPr="001C5111">
        <w:t>@tbl-alb-parameters</w:t>
      </w:r>
      <w:r w:rsidR="00936694">
        <w:t>. Details on model parameterization are available</w:t>
      </w:r>
      <w:r w:rsidR="007400C6" w:rsidRPr="00C95328">
        <w:t xml:space="preserve"> at USPest.org (Coop 2018)</w:t>
      </w:r>
      <w:r w:rsidR="00F53F1E" w:rsidRPr="00C95328">
        <w:t xml:space="preserve">. </w:t>
      </w:r>
    </w:p>
    <w:p w14:paraId="49871DAA" w14:textId="77777777" w:rsidR="0024553D" w:rsidRDefault="0024553D" w:rsidP="00F04A67">
      <w:pPr>
        <w:spacing w:after="80" w:line="252" w:lineRule="auto"/>
        <w:contextualSpacing/>
      </w:pPr>
    </w:p>
    <w:p w14:paraId="21A910B8" w14:textId="77777777" w:rsidR="001C5111" w:rsidRDefault="001C5111" w:rsidP="001C5111">
      <w:pPr>
        <w:spacing w:after="80" w:line="252" w:lineRule="auto"/>
        <w:contextualSpacing/>
      </w:pPr>
      <w:r>
        <w:t>::: {#tbl-alb-parameters tbl-cap="Asian longhorned beetle model parameters." tbl-colwidths="[70,22,8]"}</w:t>
      </w:r>
    </w:p>
    <w:p w14:paraId="6DF32886" w14:textId="77777777" w:rsidR="001C5111" w:rsidRDefault="001C5111" w:rsidP="001C5111">
      <w:pPr>
        <w:spacing w:after="80" w:line="252" w:lineRule="auto"/>
        <w:contextualSpacing/>
      </w:pPr>
      <w:r>
        <w:lastRenderedPageBreak/>
        <w:t>{{&lt; include ALB_parameters.qmd &gt;}}</w:t>
      </w:r>
    </w:p>
    <w:p w14:paraId="4C1B2CA2" w14:textId="24669A09" w:rsidR="001C5111" w:rsidRPr="00C95328" w:rsidRDefault="001C5111" w:rsidP="001C5111">
      <w:pPr>
        <w:spacing w:after="80" w:line="252" w:lineRule="auto"/>
        <w:contextualSpacing/>
      </w:pPr>
      <w:r>
        <w:t>:::</w:t>
      </w:r>
    </w:p>
    <w:p w14:paraId="1496BC20" w14:textId="70B9DEA4" w:rsidR="0024553D" w:rsidRPr="00C95328" w:rsidRDefault="0024553D" w:rsidP="00433B8A">
      <w:pPr>
        <w:pStyle w:val="Heading2"/>
        <w:spacing w:line="252" w:lineRule="auto"/>
        <w:contextualSpacing/>
        <w:rPr>
          <w:rFonts w:ascii="Arial" w:eastAsia="Aptos" w:hAnsi="Arial" w:cs="Arial"/>
          <w:b/>
          <w:bCs/>
          <w:color w:val="auto"/>
        </w:rPr>
      </w:pPr>
      <w:r w:rsidRPr="00C95328">
        <w:rPr>
          <w:rFonts w:ascii="Arial" w:eastAsia="Aptos" w:hAnsi="Arial" w:cs="Arial"/>
          <w:b/>
          <w:bCs/>
          <w:color w:val="auto"/>
        </w:rPr>
        <w:t>Results</w:t>
      </w:r>
    </w:p>
    <w:p w14:paraId="2282BF6B" w14:textId="77777777" w:rsidR="0024553D" w:rsidRPr="00C95328" w:rsidRDefault="0024553D" w:rsidP="00433B8A">
      <w:pPr>
        <w:spacing w:line="252" w:lineRule="auto"/>
        <w:contextualSpacing/>
        <w:rPr>
          <w:lang w:val="en-US"/>
        </w:rPr>
      </w:pPr>
    </w:p>
    <w:p w14:paraId="7B89B431" w14:textId="31E48C8B" w:rsidR="006B15AF" w:rsidRPr="00C95328" w:rsidRDefault="006C4E5D" w:rsidP="00433B8A">
      <w:pPr>
        <w:pStyle w:val="Heading2"/>
        <w:spacing w:line="252" w:lineRule="auto"/>
        <w:contextualSpacing/>
        <w:rPr>
          <w:rFonts w:ascii="Arial" w:hAnsi="Arial" w:cs="Arial"/>
          <w:b/>
          <w:bCs/>
          <w:color w:val="auto"/>
          <w:sz w:val="28"/>
          <w:szCs w:val="28"/>
        </w:rPr>
      </w:pPr>
      <w:r w:rsidRPr="00C95328">
        <w:rPr>
          <w:rFonts w:ascii="Arial" w:hAnsi="Arial" w:cs="Arial"/>
          <w:b/>
          <w:bCs/>
          <w:color w:val="auto"/>
          <w:sz w:val="28"/>
          <w:szCs w:val="28"/>
        </w:rPr>
        <w:t xml:space="preserve">i. </w:t>
      </w:r>
      <w:r w:rsidR="00CD5BB8" w:rsidRPr="00C95328">
        <w:rPr>
          <w:rFonts w:ascii="Arial" w:hAnsi="Arial" w:cs="Arial"/>
          <w:b/>
          <w:bCs/>
          <w:color w:val="auto"/>
          <w:sz w:val="28"/>
          <w:szCs w:val="28"/>
        </w:rPr>
        <w:t>Phenology</w:t>
      </w:r>
    </w:p>
    <w:p w14:paraId="4CA03CA7" w14:textId="77777777" w:rsidR="006C4E5D" w:rsidRPr="00C95328" w:rsidRDefault="006C4E5D" w:rsidP="00433B8A">
      <w:pPr>
        <w:contextualSpacing/>
        <w:rPr>
          <w:lang w:val="en-US"/>
        </w:rPr>
      </w:pPr>
    </w:p>
    <w:p w14:paraId="587A6EC3" w14:textId="76F73F35" w:rsidR="00C60B1C" w:rsidRPr="00C95328" w:rsidRDefault="00C60B1C" w:rsidP="00433B8A">
      <w:pPr>
        <w:pStyle w:val="Heading2"/>
        <w:spacing w:line="252" w:lineRule="auto"/>
        <w:contextualSpacing/>
        <w:rPr>
          <w:rFonts w:ascii="Arial" w:hAnsi="Arial" w:cs="Arial"/>
          <w:b/>
          <w:bCs/>
          <w:i/>
          <w:iCs/>
          <w:color w:val="auto"/>
        </w:rPr>
      </w:pPr>
      <w:r w:rsidRPr="00C95328">
        <w:rPr>
          <w:rFonts w:ascii="Arial" w:hAnsi="Arial" w:cs="Arial"/>
          <w:b/>
          <w:bCs/>
          <w:color w:val="auto"/>
        </w:rPr>
        <w:t xml:space="preserve">Entire </w:t>
      </w:r>
      <w:r w:rsidR="00BC6C77" w:rsidRPr="00C95328">
        <w:rPr>
          <w:rFonts w:ascii="Arial" w:hAnsi="Arial" w:cs="Arial"/>
          <w:b/>
          <w:bCs/>
          <w:color w:val="auto"/>
        </w:rPr>
        <w:t>period</w:t>
      </w:r>
      <w:r w:rsidRPr="00C95328">
        <w:rPr>
          <w:rFonts w:ascii="Arial" w:hAnsi="Arial" w:cs="Arial"/>
          <w:b/>
          <w:bCs/>
          <w:color w:val="auto"/>
        </w:rPr>
        <w:t>: 1981–2025</w:t>
      </w:r>
    </w:p>
    <w:p w14:paraId="43D13A60" w14:textId="39D43B34" w:rsidR="00B32D70" w:rsidRPr="00C95328" w:rsidRDefault="004A54E4" w:rsidP="00433B8A">
      <w:pPr>
        <w:spacing w:after="80" w:line="252" w:lineRule="auto"/>
        <w:contextualSpacing/>
      </w:pPr>
      <w:r>
        <w:t>Tr</w:t>
      </w:r>
      <w:r w:rsidR="006B15AF" w:rsidRPr="00C95328">
        <w:t xml:space="preserve">ends in </w:t>
      </w:r>
      <w:r w:rsidR="00BD692E" w:rsidRPr="00C95328">
        <w:t xml:space="preserve">predictions of </w:t>
      </w:r>
      <w:r w:rsidR="001E5CF8" w:rsidRPr="00C95328">
        <w:t>first</w:t>
      </w:r>
      <w:r w:rsidR="006B15AF" w:rsidRPr="00C95328">
        <w:t xml:space="preserve"> adult emergence and egg hatch </w:t>
      </w:r>
      <w:r w:rsidR="00866647" w:rsidRPr="00C95328">
        <w:t xml:space="preserve">for the entire </w:t>
      </w:r>
      <w:r w:rsidR="00D03083" w:rsidRPr="00C95328">
        <w:t>44-year period (1981–2025)</w:t>
      </w:r>
      <w:r w:rsidR="006B15AF" w:rsidRPr="00C95328">
        <w:t xml:space="preserve"> </w:t>
      </w:r>
      <w:r w:rsidR="005F212A" w:rsidRPr="00C95328">
        <w:t>were</w:t>
      </w:r>
      <w:r w:rsidR="006B15AF" w:rsidRPr="00C95328">
        <w:t xml:space="preserve"> predominantly negative, indicating widespread</w:t>
      </w:r>
      <w:r w:rsidR="003A1B94" w:rsidRPr="00C95328">
        <w:t xml:space="preserve"> </w:t>
      </w:r>
      <w:r w:rsidR="006B15AF" w:rsidRPr="00C95328">
        <w:t>advances in phenology</w:t>
      </w:r>
      <w:r w:rsidR="00EE6933" w:rsidRPr="00C95328">
        <w:t>, whereby event</w:t>
      </w:r>
      <w:r w:rsidR="005F212A" w:rsidRPr="00C95328">
        <w:t>s</w:t>
      </w:r>
      <w:r w:rsidR="00EE6933" w:rsidRPr="00C95328">
        <w:t xml:space="preserve"> have been happening earlier over time</w:t>
      </w:r>
      <w:r w:rsidR="00FE1615" w:rsidRPr="00C95328">
        <w:t xml:space="preserve"> (Fig</w:t>
      </w:r>
      <w:r w:rsidR="00DA0747">
        <w:t>s</w:t>
      </w:r>
      <w:r w:rsidR="00B96516" w:rsidRPr="00C95328">
        <w:t>. 1</w:t>
      </w:r>
      <w:r w:rsidR="00DA0747">
        <w:t xml:space="preserve"> and 2</w:t>
      </w:r>
      <w:r w:rsidR="00FE1615" w:rsidRPr="00C95328">
        <w:t>)</w:t>
      </w:r>
      <w:r w:rsidR="006B15AF" w:rsidRPr="00C95328">
        <w:t xml:space="preserve">. </w:t>
      </w:r>
      <w:r>
        <w:t xml:space="preserve">Significantly earlier phenology was predicted </w:t>
      </w:r>
      <w:r w:rsidR="006B15AF" w:rsidRPr="00C95328">
        <w:t>across large portions of the eastern United States and extend</w:t>
      </w:r>
      <w:r w:rsidR="00EE6933" w:rsidRPr="00C95328">
        <w:t>ed</w:t>
      </w:r>
      <w:r w:rsidR="006B15AF" w:rsidRPr="00C95328">
        <w:t xml:space="preserve"> into parts of the Pacific coast and interior West.</w:t>
      </w:r>
      <w:r w:rsidR="007E4C86" w:rsidRPr="007E4C86">
        <w:t xml:space="preserve"> </w:t>
      </w:r>
      <w:r w:rsidR="007E4C86" w:rsidRPr="007E4C86">
        <w:t>In these regions, predicted adult emergence and egg hatch decreased by approximately 0.01–0.8 days per year, with some of the largest declines occurring at higher elevations in the West.</w:t>
      </w:r>
    </w:p>
    <w:p w14:paraId="764CE75E" w14:textId="77777777" w:rsidR="00017899" w:rsidRDefault="00017899" w:rsidP="00433B8A">
      <w:pPr>
        <w:spacing w:line="240" w:lineRule="auto"/>
        <w:contextualSpacing/>
      </w:pPr>
    </w:p>
    <w:p w14:paraId="2D1EB687" w14:textId="7AB6346C" w:rsidR="00017899" w:rsidRDefault="00017899" w:rsidP="00433B8A">
      <w:pPr>
        <w:spacing w:line="240" w:lineRule="auto"/>
        <w:contextualSpacing/>
      </w:pPr>
      <w:r>
        <w:t>```{r}</w:t>
      </w:r>
      <w:r w:rsidR="00F83D25">
        <w:br/>
      </w:r>
      <w:r>
        <w:t>#| echo: false</w:t>
      </w:r>
      <w:r w:rsidR="00F83D25">
        <w:br/>
      </w:r>
      <w:r>
        <w:t>#| out-width: 96%</w:t>
      </w:r>
      <w:r w:rsidR="00F83D25">
        <w:br/>
      </w:r>
      <w:r>
        <w:t>knitr::include_graphics("./Figures/figure1.png")</w:t>
      </w:r>
      <w:r w:rsidR="002312AC">
        <w:br/>
      </w:r>
      <w:r>
        <w:t>```</w:t>
      </w:r>
    </w:p>
    <w:p w14:paraId="0E4D30A3" w14:textId="3E05C565" w:rsidR="00017899" w:rsidRDefault="00DA0747" w:rsidP="00433B8A">
      <w:pPr>
        <w:spacing w:line="240" w:lineRule="auto"/>
        <w:contextualSpacing/>
      </w:pPr>
      <w:r w:rsidRPr="00DA0747">
        <w:t>Changes (</w:t>
      </w:r>
      <w:r>
        <w:t>days</w:t>
      </w:r>
      <w:r w:rsidRPr="00DA0747">
        <w:t>/year) in predicted</w:t>
      </w:r>
      <w:r w:rsidRPr="00C95328">
        <w:t xml:space="preserve"> dates of first adult emergence for ALB </w:t>
      </w:r>
      <w:r w:rsidR="00AD2EFF">
        <w:t>across</w:t>
      </w:r>
      <w:r w:rsidR="00F065FD">
        <w:t xml:space="preserve"> the CONUS</w:t>
      </w:r>
      <w:r w:rsidRPr="00C95328">
        <w:t xml:space="preserve"> for the entire 44-year period (1981</w:t>
      </w:r>
      <w:r w:rsidR="0080539D" w:rsidRPr="00C95328">
        <w:t>–</w:t>
      </w:r>
      <w:r w:rsidRPr="00C95328">
        <w:t xml:space="preserve">2025). </w:t>
      </w:r>
      <w:r w:rsidR="00672DA3" w:rsidRPr="00672DA3">
        <w:t xml:space="preserve">Maps show (A) all changes and (B) </w:t>
      </w:r>
      <w:r w:rsidR="00137E4A">
        <w:t>statistically significant changes (P &lt; 0.1); areas shown in gray are not statistically significant.</w:t>
      </w:r>
    </w:p>
    <w:p w14:paraId="411D3CED" w14:textId="77777777" w:rsidR="00DA0747" w:rsidRDefault="00DA0747" w:rsidP="00433B8A">
      <w:pPr>
        <w:spacing w:line="240" w:lineRule="auto"/>
        <w:contextualSpacing/>
      </w:pPr>
    </w:p>
    <w:p w14:paraId="63473221" w14:textId="3A1A6F62" w:rsidR="00F83D25" w:rsidRDefault="00017899" w:rsidP="00433B8A">
      <w:pPr>
        <w:spacing w:line="240" w:lineRule="auto"/>
        <w:contextualSpacing/>
      </w:pPr>
      <w:r>
        <w:t>```{r</w:t>
      </w:r>
      <w:r w:rsidR="00F83D25">
        <w:t>}</w:t>
      </w:r>
      <w:r w:rsidR="00F83D25">
        <w:br/>
      </w:r>
      <w:r>
        <w:t>#| echo: false</w:t>
      </w:r>
      <w:r w:rsidR="00F83D25">
        <w:br/>
      </w:r>
      <w:r>
        <w:t>#| out-width: 96%</w:t>
      </w:r>
      <w:r w:rsidR="00F83D25">
        <w:br/>
      </w:r>
      <w:r>
        <w:t>knitr::include_graphics("./Figures/figure2.png")</w:t>
      </w:r>
      <w:r w:rsidR="002312AC">
        <w:br/>
      </w:r>
      <w:r>
        <w:t>```</w:t>
      </w:r>
    </w:p>
    <w:p w14:paraId="58651BD6" w14:textId="0B1412F0" w:rsidR="00017899" w:rsidRPr="00C95328" w:rsidRDefault="00DA0747" w:rsidP="00433B8A">
      <w:pPr>
        <w:spacing w:line="240" w:lineRule="auto"/>
        <w:contextualSpacing/>
      </w:pPr>
      <w:r w:rsidRPr="00DA0747">
        <w:t>Changes (</w:t>
      </w:r>
      <w:r>
        <w:t>days</w:t>
      </w:r>
      <w:r w:rsidRPr="00DA0747">
        <w:t>/year) in predicted</w:t>
      </w:r>
      <w:r w:rsidRPr="00C95328">
        <w:t xml:space="preserve"> dates of</w:t>
      </w:r>
      <w:r w:rsidRPr="00C95328">
        <w:t xml:space="preserve"> </w:t>
      </w:r>
      <w:r>
        <w:t>f</w:t>
      </w:r>
      <w:r w:rsidR="00017899" w:rsidRPr="00C95328">
        <w:t xml:space="preserve">irst egg hatch for ALB </w:t>
      </w:r>
      <w:r w:rsidR="00AD2EFF">
        <w:t>across</w:t>
      </w:r>
      <w:r w:rsidR="00F065FD">
        <w:t xml:space="preserve"> the CONUS</w:t>
      </w:r>
      <w:r w:rsidR="00017899" w:rsidRPr="00C95328">
        <w:t xml:space="preserve"> for the entire 44-year period (1981</w:t>
      </w:r>
      <w:r w:rsidR="0080539D" w:rsidRPr="00C95328">
        <w:t>–</w:t>
      </w:r>
      <w:r w:rsidR="00017899" w:rsidRPr="00C95328">
        <w:t xml:space="preserve">2025). </w:t>
      </w:r>
      <w:r w:rsidR="00672DA3" w:rsidRPr="00672DA3">
        <w:t xml:space="preserve">Maps show (A) all changes and (B) </w:t>
      </w:r>
      <w:r w:rsidR="00137E4A">
        <w:t>statistically significant changes (P &lt; 0.1); areas shown in gray are not statistically significant.</w:t>
      </w:r>
      <w:r>
        <w:t xml:space="preserve"> </w:t>
      </w:r>
    </w:p>
    <w:p w14:paraId="76F8D04E" w14:textId="77777777" w:rsidR="00017899" w:rsidRPr="00C95328" w:rsidRDefault="00017899" w:rsidP="00433B8A">
      <w:pPr>
        <w:spacing w:after="80" w:line="252" w:lineRule="auto"/>
        <w:contextualSpacing/>
      </w:pPr>
    </w:p>
    <w:p w14:paraId="75CD9F09" w14:textId="77777777" w:rsidR="001403F7" w:rsidRPr="00C95328" w:rsidRDefault="001403F7" w:rsidP="00433B8A">
      <w:pPr>
        <w:pStyle w:val="Heading2"/>
        <w:spacing w:line="252" w:lineRule="auto"/>
        <w:rPr>
          <w:rFonts w:ascii="Arial" w:hAnsi="Arial" w:cs="Arial"/>
          <w:b/>
          <w:bCs/>
          <w:i/>
          <w:iCs/>
          <w:color w:val="auto"/>
        </w:rPr>
      </w:pPr>
      <w:r w:rsidRPr="00C95328">
        <w:rPr>
          <w:rFonts w:ascii="Arial" w:hAnsi="Arial" w:cs="Arial"/>
          <w:b/>
          <w:bCs/>
          <w:color w:val="auto"/>
        </w:rPr>
        <w:t>Recent period: 2001–2025</w:t>
      </w:r>
    </w:p>
    <w:p w14:paraId="06A31CAD" w14:textId="77777777" w:rsidR="004943DE" w:rsidRPr="004943DE" w:rsidRDefault="004943DE" w:rsidP="004943DE">
      <w:pPr>
        <w:spacing w:after="80" w:line="252" w:lineRule="auto"/>
        <w:contextualSpacing/>
        <w:rPr>
          <w:lang w:val="en-US"/>
        </w:rPr>
      </w:pPr>
      <w:r w:rsidRPr="004943DE">
        <w:rPr>
          <w:lang w:val="en-US"/>
        </w:rPr>
        <w:t>Trends in predictions of first adult emergence and egg hatch during the recent 24-year period (2001–2025) were generally consistent with those observed over the 44-year period, although changes were smaller in magnitude and less spatially extensive (Figs. 3 and 4). For example, significantly earlier adult emergence and egg hatch were predicted primarily in parts of the eastern United States, with only isolated areas of significant change elsewhere in the contiguous United States</w:t>
      </w:r>
    </w:p>
    <w:p w14:paraId="78074173" w14:textId="7F173892" w:rsidR="00B96516" w:rsidRDefault="00B96516" w:rsidP="00433B8A">
      <w:pPr>
        <w:spacing w:after="80" w:line="252" w:lineRule="auto"/>
        <w:contextualSpacing/>
      </w:pPr>
    </w:p>
    <w:p w14:paraId="165A74D2" w14:textId="69A196BC" w:rsidR="00017899" w:rsidRDefault="00017899" w:rsidP="00433B8A">
      <w:pPr>
        <w:spacing w:line="240" w:lineRule="auto"/>
        <w:contextualSpacing/>
      </w:pPr>
      <w:r>
        <w:t>```{r}</w:t>
      </w:r>
      <w:r w:rsidR="00F83D25">
        <w:br/>
      </w:r>
      <w:r>
        <w:t>#| echo: false</w:t>
      </w:r>
      <w:r w:rsidR="00F83D25">
        <w:br/>
      </w:r>
      <w:r>
        <w:t>#| out-width: 96%</w:t>
      </w:r>
      <w:r w:rsidR="00F83D25">
        <w:br/>
      </w:r>
      <w:r>
        <w:lastRenderedPageBreak/>
        <w:t>knitr::include_graphics("./Figures/figure</w:t>
      </w:r>
      <w:r w:rsidR="0080539D">
        <w:t>3</w:t>
      </w:r>
      <w:r>
        <w:t>.png")</w:t>
      </w:r>
      <w:r w:rsidR="002312AC">
        <w:br/>
      </w:r>
      <w:r>
        <w:t>```</w:t>
      </w:r>
    </w:p>
    <w:p w14:paraId="6DF25E2E" w14:textId="254A8462" w:rsidR="0080539D" w:rsidRPr="00C95328" w:rsidRDefault="0080539D" w:rsidP="0080539D">
      <w:pPr>
        <w:spacing w:line="240" w:lineRule="auto"/>
        <w:contextualSpacing/>
      </w:pPr>
      <w:r w:rsidRPr="00DA0747">
        <w:t>Changes (</w:t>
      </w:r>
      <w:r>
        <w:t>days</w:t>
      </w:r>
      <w:r w:rsidRPr="00DA0747">
        <w:t>/year) in predicted</w:t>
      </w:r>
      <w:r w:rsidRPr="00C95328">
        <w:t xml:space="preserve"> dates of first adult emergence for ALB </w:t>
      </w:r>
      <w:r w:rsidR="00AD2EFF">
        <w:t>across</w:t>
      </w:r>
      <w:r w:rsidR="00F065FD">
        <w:t xml:space="preserve"> the CONUS</w:t>
      </w:r>
      <w:r w:rsidRPr="00C95328">
        <w:t xml:space="preserve"> for the recent 24-year period (2001–2025). </w:t>
      </w:r>
      <w:r w:rsidR="00672DA3" w:rsidRPr="00672DA3">
        <w:t xml:space="preserve">Maps show (A) all changes and (B) </w:t>
      </w:r>
      <w:r w:rsidR="00137E4A">
        <w:t>statistically significant changes (P &lt; 0.1); areas shown in gray are not statistically significant.</w:t>
      </w:r>
    </w:p>
    <w:p w14:paraId="27405FCD" w14:textId="77777777" w:rsidR="00017899" w:rsidRDefault="00017899" w:rsidP="00433B8A">
      <w:pPr>
        <w:spacing w:line="240" w:lineRule="auto"/>
        <w:contextualSpacing/>
      </w:pPr>
    </w:p>
    <w:p w14:paraId="45281BE7" w14:textId="77777777" w:rsidR="0080539D" w:rsidRDefault="0080539D" w:rsidP="00433B8A">
      <w:pPr>
        <w:spacing w:line="240" w:lineRule="auto"/>
        <w:contextualSpacing/>
      </w:pPr>
    </w:p>
    <w:p w14:paraId="5D741553" w14:textId="39DB11F3" w:rsidR="00017899" w:rsidRDefault="00017899" w:rsidP="00433B8A">
      <w:pPr>
        <w:spacing w:line="240" w:lineRule="auto"/>
        <w:contextualSpacing/>
      </w:pPr>
      <w:r>
        <w:t>```{r}</w:t>
      </w:r>
      <w:r w:rsidR="00F83D25">
        <w:br/>
      </w:r>
      <w:r>
        <w:t>#| echo: false</w:t>
      </w:r>
      <w:r w:rsidR="00F83D25">
        <w:br/>
      </w:r>
      <w:r>
        <w:t>#| out-width: 96%</w:t>
      </w:r>
      <w:r w:rsidR="00F83D25">
        <w:br/>
      </w:r>
      <w:r>
        <w:t>knitr::include_graphics("./Figures/figure</w:t>
      </w:r>
      <w:r w:rsidR="0080539D">
        <w:t>4</w:t>
      </w:r>
      <w:r>
        <w:t>.png")</w:t>
      </w:r>
      <w:r w:rsidR="002312AC">
        <w:br/>
      </w:r>
      <w:r>
        <w:t>```</w:t>
      </w:r>
    </w:p>
    <w:p w14:paraId="44CDDA70" w14:textId="4DE95212" w:rsidR="0080539D" w:rsidRPr="00C95328" w:rsidRDefault="0080539D" w:rsidP="0080539D">
      <w:pPr>
        <w:spacing w:line="240" w:lineRule="auto"/>
        <w:contextualSpacing/>
      </w:pPr>
      <w:r w:rsidRPr="00DA0747">
        <w:t>Changes (</w:t>
      </w:r>
      <w:r>
        <w:t>days</w:t>
      </w:r>
      <w:r w:rsidRPr="00DA0747">
        <w:t>/year) in predicted</w:t>
      </w:r>
      <w:r w:rsidRPr="00C95328">
        <w:t xml:space="preserve"> dates of first </w:t>
      </w:r>
      <w:r>
        <w:t>egg hatch</w:t>
      </w:r>
      <w:r w:rsidRPr="00C95328">
        <w:t xml:space="preserve"> for ALB </w:t>
      </w:r>
      <w:r w:rsidR="00AD2EFF">
        <w:t xml:space="preserve">across </w:t>
      </w:r>
      <w:r w:rsidR="00F065FD">
        <w:t>the CONUS</w:t>
      </w:r>
      <w:r w:rsidRPr="00C95328">
        <w:t xml:space="preserve"> for the recent 24-year period (2001–2025). </w:t>
      </w:r>
      <w:r w:rsidR="00672DA3" w:rsidRPr="00672DA3">
        <w:t xml:space="preserve">Maps show (A) all changes and (B) </w:t>
      </w:r>
      <w:r w:rsidR="00137E4A">
        <w:t>statistically significant changes (P &lt; 0.1); areas shown in gray are not statistically significant.</w:t>
      </w:r>
    </w:p>
    <w:p w14:paraId="4C651CB9" w14:textId="77777777" w:rsidR="00017899" w:rsidRPr="00C95328" w:rsidRDefault="00017899" w:rsidP="00433B8A">
      <w:pPr>
        <w:spacing w:after="80" w:line="252" w:lineRule="auto"/>
        <w:contextualSpacing/>
      </w:pPr>
    </w:p>
    <w:p w14:paraId="3CB0D952" w14:textId="2333EF4C" w:rsidR="00D2429C" w:rsidRPr="00C95328" w:rsidRDefault="006C4E5D" w:rsidP="00433B8A">
      <w:pPr>
        <w:pStyle w:val="Heading2"/>
        <w:spacing w:line="252" w:lineRule="auto"/>
        <w:rPr>
          <w:rFonts w:ascii="Arial" w:hAnsi="Arial" w:cs="Arial"/>
          <w:b/>
          <w:bCs/>
          <w:i/>
          <w:iCs/>
          <w:color w:val="auto"/>
          <w:sz w:val="28"/>
          <w:szCs w:val="28"/>
        </w:rPr>
      </w:pPr>
      <w:r w:rsidRPr="00C95328">
        <w:rPr>
          <w:rFonts w:ascii="Arial" w:hAnsi="Arial" w:cs="Arial"/>
          <w:b/>
          <w:bCs/>
          <w:color w:val="auto"/>
          <w:sz w:val="28"/>
          <w:szCs w:val="28"/>
        </w:rPr>
        <w:t xml:space="preserve">ii. </w:t>
      </w:r>
      <w:r w:rsidR="00D2429C" w:rsidRPr="00C95328">
        <w:rPr>
          <w:rFonts w:ascii="Arial" w:hAnsi="Arial" w:cs="Arial"/>
          <w:b/>
          <w:bCs/>
          <w:color w:val="auto"/>
          <w:sz w:val="28"/>
          <w:szCs w:val="28"/>
        </w:rPr>
        <w:t>Climatic suitability</w:t>
      </w:r>
    </w:p>
    <w:p w14:paraId="4E2E34AC" w14:textId="7CCBC9FF" w:rsidR="00EB2DF2" w:rsidRPr="00C95328" w:rsidRDefault="00EB2DF2" w:rsidP="00433B8A">
      <w:pPr>
        <w:rPr>
          <w:lang w:val="en-US"/>
        </w:rPr>
      </w:pPr>
    </w:p>
    <w:p w14:paraId="6307A738" w14:textId="7B85672F" w:rsidR="00D2429C" w:rsidRPr="00C95328" w:rsidRDefault="00CD5BB8" w:rsidP="00433B8A">
      <w:pPr>
        <w:pStyle w:val="Heading2"/>
        <w:spacing w:line="252" w:lineRule="auto"/>
        <w:rPr>
          <w:rFonts w:ascii="Arial" w:hAnsi="Arial" w:cs="Arial"/>
          <w:b/>
          <w:bCs/>
          <w:i/>
          <w:iCs/>
          <w:color w:val="auto"/>
        </w:rPr>
      </w:pPr>
      <w:r w:rsidRPr="00C95328">
        <w:rPr>
          <w:rFonts w:ascii="Arial" w:hAnsi="Arial" w:cs="Arial"/>
          <w:b/>
          <w:bCs/>
          <w:color w:val="auto"/>
        </w:rPr>
        <w:t xml:space="preserve">Entire </w:t>
      </w:r>
      <w:r w:rsidR="00BC6C77" w:rsidRPr="00C95328">
        <w:rPr>
          <w:rFonts w:ascii="Arial" w:hAnsi="Arial" w:cs="Arial"/>
          <w:b/>
          <w:bCs/>
          <w:color w:val="auto"/>
        </w:rPr>
        <w:t>period</w:t>
      </w:r>
      <w:r w:rsidRPr="00C95328">
        <w:rPr>
          <w:rFonts w:ascii="Arial" w:hAnsi="Arial" w:cs="Arial"/>
          <w:b/>
          <w:bCs/>
          <w:color w:val="auto"/>
        </w:rPr>
        <w:t>: 1981–2025</w:t>
      </w:r>
    </w:p>
    <w:p w14:paraId="285E3161" w14:textId="36105638" w:rsidR="007E4C86" w:rsidRPr="007E4C86" w:rsidRDefault="007E4C86" w:rsidP="007E4C86">
      <w:pPr>
        <w:spacing w:line="240" w:lineRule="auto"/>
        <w:contextualSpacing/>
        <w:rPr>
          <w:lang w:val="en-US"/>
        </w:rPr>
      </w:pPr>
      <w:r w:rsidRPr="007E4C86">
        <w:rPr>
          <w:lang w:val="en-US"/>
        </w:rPr>
        <w:t xml:space="preserve">Significant trends in predicted cold stress over the full 44-year period (1981–2025) were predominantly negative (Fig. 5), indicating a general decrease in cold stress over time. In contrast, significant trends in heat stress were largely positive across portions of the western and southwestern United States, indicating increasing heat stress (Fig. 6). These changes corresponded with increased suitability, and thus a greater likelihood of establishment, in parts of the Midwest, including Minnesota and North Dakota, and decreased suitability in southern California and adjacent desert regions (Fig. 7). However, only some of these changes were statistically significant, suggesting that changes in predicted climate stress may have limited effects on the likelihood of </w:t>
      </w:r>
      <w:r>
        <w:rPr>
          <w:lang w:val="en-US"/>
        </w:rPr>
        <w:t>ALB e</w:t>
      </w:r>
      <w:r w:rsidRPr="007E4C86">
        <w:rPr>
          <w:lang w:val="en-US"/>
        </w:rPr>
        <w:t>stablishment.</w:t>
      </w:r>
    </w:p>
    <w:p w14:paraId="1BBE1874" w14:textId="77777777" w:rsidR="00017899" w:rsidRDefault="00017899" w:rsidP="00433B8A">
      <w:pPr>
        <w:spacing w:line="240" w:lineRule="auto"/>
        <w:contextualSpacing/>
      </w:pPr>
    </w:p>
    <w:p w14:paraId="0A51F95C" w14:textId="3CEB1265" w:rsidR="00017899" w:rsidRDefault="00017899" w:rsidP="00433B8A">
      <w:pPr>
        <w:spacing w:line="240" w:lineRule="auto"/>
        <w:contextualSpacing/>
      </w:pPr>
      <w:r>
        <w:t>```{r}</w:t>
      </w:r>
      <w:r w:rsidR="00F83D25">
        <w:br/>
      </w:r>
      <w:r>
        <w:t>#| echo: false</w:t>
      </w:r>
      <w:r w:rsidR="00F83D25">
        <w:br/>
      </w:r>
      <w:r>
        <w:t>#| out-width: 96%</w:t>
      </w:r>
      <w:r w:rsidR="00F83D25">
        <w:br/>
      </w:r>
      <w:r>
        <w:t>knitr::include_graphics("./Figures/figure</w:t>
      </w:r>
      <w:r w:rsidR="0080539D">
        <w:t>5</w:t>
      </w:r>
      <w:r>
        <w:t>.png")</w:t>
      </w:r>
      <w:r w:rsidR="002312AC">
        <w:br/>
      </w:r>
      <w:r>
        <w:t>```</w:t>
      </w:r>
    </w:p>
    <w:p w14:paraId="05D7F86C" w14:textId="77777777" w:rsidR="00017899" w:rsidRDefault="00017899" w:rsidP="00433B8A">
      <w:pPr>
        <w:spacing w:line="240" w:lineRule="auto"/>
        <w:contextualSpacing/>
      </w:pPr>
    </w:p>
    <w:p w14:paraId="6B64F18C" w14:textId="277B9A2E" w:rsidR="0080539D" w:rsidRDefault="0080539D" w:rsidP="0080539D">
      <w:pPr>
        <w:spacing w:line="240" w:lineRule="auto"/>
        <w:contextualSpacing/>
      </w:pPr>
      <w:r w:rsidRPr="00DA0747">
        <w:t>Changes (units/year) in predicted cold stress for ALB across the CONUS</w:t>
      </w:r>
      <w:r>
        <w:t xml:space="preserve"> </w:t>
      </w:r>
      <w:r w:rsidR="008D0836">
        <w:t>over</w:t>
      </w:r>
      <w:r>
        <w:t xml:space="preserve"> the entire 44-year period (</w:t>
      </w:r>
      <w:r w:rsidRPr="00DA0747">
        <w:t>1981–2025</w:t>
      </w:r>
      <w:r>
        <w:t>)</w:t>
      </w:r>
      <w:r w:rsidRPr="00DA0747">
        <w:t xml:space="preserve">. Maps show (A) all changes and (B) </w:t>
      </w:r>
      <w:r w:rsidR="00137E4A">
        <w:t>statistically significant changes (P &lt; 0.1); areas shown in gray are not statistically significant.</w:t>
      </w:r>
      <w:r w:rsidRPr="00DA0747">
        <w:t xml:space="preserve"> Areas shown as 0 in (B) had significant trends but very small changes.</w:t>
      </w:r>
    </w:p>
    <w:p w14:paraId="03519244" w14:textId="77777777" w:rsidR="0080539D" w:rsidRDefault="0080539D" w:rsidP="00433B8A">
      <w:pPr>
        <w:spacing w:line="240" w:lineRule="auto"/>
        <w:contextualSpacing/>
      </w:pPr>
    </w:p>
    <w:p w14:paraId="47008BF2" w14:textId="6AFEFC08" w:rsidR="00017899" w:rsidRDefault="00017899" w:rsidP="00433B8A">
      <w:pPr>
        <w:spacing w:line="240" w:lineRule="auto"/>
        <w:contextualSpacing/>
      </w:pPr>
      <w:r>
        <w:t>```{r}</w:t>
      </w:r>
      <w:r w:rsidR="00F83D25">
        <w:br/>
      </w:r>
      <w:r>
        <w:t>#| echo: false</w:t>
      </w:r>
      <w:r w:rsidR="00F83D25">
        <w:br/>
      </w:r>
      <w:r>
        <w:t>#| out-width: 96%</w:t>
      </w:r>
      <w:r w:rsidR="00F83D25">
        <w:br/>
      </w:r>
      <w:r>
        <w:t>knitr::include_graphics("./Figures/figure</w:t>
      </w:r>
      <w:r w:rsidR="0080539D">
        <w:t>6</w:t>
      </w:r>
      <w:r>
        <w:t>.png")</w:t>
      </w:r>
      <w:r w:rsidR="002312AC">
        <w:br/>
      </w:r>
      <w:r>
        <w:t>```</w:t>
      </w:r>
    </w:p>
    <w:p w14:paraId="7B0594E2" w14:textId="77777777" w:rsidR="00017899" w:rsidRPr="00C95328" w:rsidRDefault="00017899" w:rsidP="00433B8A">
      <w:pPr>
        <w:spacing w:line="240" w:lineRule="auto"/>
        <w:contextualSpacing/>
      </w:pPr>
    </w:p>
    <w:p w14:paraId="39C431F6" w14:textId="02071386" w:rsidR="00DA0747" w:rsidRDefault="00DA0747" w:rsidP="00433B8A">
      <w:pPr>
        <w:spacing w:line="240" w:lineRule="auto"/>
        <w:contextualSpacing/>
      </w:pPr>
      <w:r w:rsidRPr="00DA0747">
        <w:t xml:space="preserve">Changes (units/year) in predicted </w:t>
      </w:r>
      <w:r w:rsidR="0080539D">
        <w:t>heat</w:t>
      </w:r>
      <w:r w:rsidRPr="00DA0747">
        <w:t xml:space="preserve"> stress for ALB across the CONUS</w:t>
      </w:r>
      <w:r>
        <w:t xml:space="preserve"> </w:t>
      </w:r>
      <w:r w:rsidR="008D0836">
        <w:t>over</w:t>
      </w:r>
      <w:r>
        <w:t xml:space="preserve"> the entire 44-year period (</w:t>
      </w:r>
      <w:r w:rsidRPr="00DA0747">
        <w:t>1981–2025</w:t>
      </w:r>
      <w:r>
        <w:t>)</w:t>
      </w:r>
      <w:r w:rsidRPr="00DA0747">
        <w:t xml:space="preserve">. Maps show (A) all changes and (B) </w:t>
      </w:r>
      <w:r w:rsidR="00137E4A">
        <w:t xml:space="preserve">statistically significant changes (P </w:t>
      </w:r>
      <w:r w:rsidR="00137E4A">
        <w:lastRenderedPageBreak/>
        <w:t>&lt; 0.1); areas shown in gray are not statistically significant.</w:t>
      </w:r>
      <w:r w:rsidRPr="00DA0747">
        <w:t xml:space="preserve"> Areas shown as 0 in (B) had significant trends but very small changes.</w:t>
      </w:r>
    </w:p>
    <w:p w14:paraId="2F5D9AEC" w14:textId="77777777" w:rsidR="00B47542" w:rsidRDefault="00B47542" w:rsidP="00433B8A">
      <w:pPr>
        <w:spacing w:line="240" w:lineRule="auto"/>
        <w:contextualSpacing/>
      </w:pPr>
    </w:p>
    <w:p w14:paraId="4FE721BC" w14:textId="74275063" w:rsidR="00017899" w:rsidRDefault="00017899" w:rsidP="00433B8A">
      <w:pPr>
        <w:spacing w:line="240" w:lineRule="auto"/>
        <w:contextualSpacing/>
      </w:pPr>
      <w:r>
        <w:t>```{r}</w:t>
      </w:r>
      <w:r w:rsidR="00F83D25">
        <w:br/>
      </w:r>
      <w:r>
        <w:t>#| echo: false</w:t>
      </w:r>
      <w:r w:rsidR="00F83D25">
        <w:br/>
      </w:r>
      <w:r>
        <w:t xml:space="preserve">#| out-width: </w:t>
      </w:r>
      <w:r w:rsidR="00513500">
        <w:t>50</w:t>
      </w:r>
      <w:r>
        <w:t>%</w:t>
      </w:r>
      <w:r w:rsidR="00D923EC">
        <w:br/>
      </w:r>
      <w:r w:rsidR="00D923EC" w:rsidRPr="00D923EC">
        <w:t>#| fig-align: 'center'</w:t>
      </w:r>
      <w:r w:rsidR="00F83D25">
        <w:br/>
      </w:r>
      <w:r>
        <w:t>knitr::include_graphics("./Figures/figure</w:t>
      </w:r>
      <w:r w:rsidR="000F0D27">
        <w:t>7</w:t>
      </w:r>
      <w:r>
        <w:t>.png")</w:t>
      </w:r>
      <w:r w:rsidR="002312AC">
        <w:br/>
      </w:r>
      <w:r>
        <w:t>```</w:t>
      </w:r>
    </w:p>
    <w:p w14:paraId="768FCF76" w14:textId="70D61252" w:rsidR="008D0836" w:rsidRPr="008D0836" w:rsidRDefault="008D0836" w:rsidP="008D0836">
      <w:pPr>
        <w:rPr>
          <w:lang w:val="en-US"/>
        </w:rPr>
      </w:pPr>
      <w:r w:rsidRPr="008D0836">
        <w:rPr>
          <w:lang w:val="en-US"/>
        </w:rPr>
        <w:t>Changes in predicted climatic suitability for ALB across CONUS</w:t>
      </w:r>
      <w:r w:rsidR="00A67D93" w:rsidRPr="00A67D93">
        <w:t xml:space="preserve"> </w:t>
      </w:r>
      <w:r w:rsidR="00A67D93" w:rsidRPr="00A67D93">
        <w:rPr>
          <w:lang w:val="en-US"/>
        </w:rPr>
        <w:t>over the recent 24-year period (2001–2025)</w:t>
      </w:r>
      <w:r w:rsidRPr="008D0836">
        <w:rPr>
          <w:lang w:val="en-US"/>
        </w:rPr>
        <w:t>. Suitability is defined as areas not excluded by climate stress. Positive changes (warmer colors) indicate an increased likelihood of establishment, whereas negative changes (cooler colors) indicate a decreased likelihood of establishment.</w:t>
      </w:r>
    </w:p>
    <w:p w14:paraId="31F81E6D" w14:textId="73B3D739" w:rsidR="001403F7" w:rsidRPr="00C95328" w:rsidRDefault="001403F7" w:rsidP="00433B8A"/>
    <w:p w14:paraId="1F121D11" w14:textId="500A309F" w:rsidR="00B234C1" w:rsidRPr="00C95328" w:rsidRDefault="00B234C1" w:rsidP="00433B8A">
      <w:pPr>
        <w:pStyle w:val="Heading2"/>
        <w:spacing w:line="252" w:lineRule="auto"/>
        <w:rPr>
          <w:rFonts w:ascii="Arial" w:hAnsi="Arial" w:cs="Arial"/>
          <w:b/>
          <w:bCs/>
          <w:i/>
          <w:iCs/>
          <w:color w:val="auto"/>
        </w:rPr>
      </w:pPr>
      <w:r w:rsidRPr="00C95328">
        <w:rPr>
          <w:rFonts w:ascii="Arial" w:hAnsi="Arial" w:cs="Arial"/>
          <w:b/>
          <w:bCs/>
          <w:color w:val="auto"/>
        </w:rPr>
        <w:t>Recent period: 2001–2025</w:t>
      </w:r>
    </w:p>
    <w:p w14:paraId="6B3F5A1A" w14:textId="6E242461" w:rsidR="00017899" w:rsidRPr="004274FD" w:rsidRDefault="004274FD" w:rsidP="00A04083">
      <w:pPr>
        <w:spacing w:line="240" w:lineRule="auto"/>
        <w:contextualSpacing/>
        <w:rPr>
          <w:lang w:val="en-US"/>
        </w:rPr>
      </w:pPr>
      <w:r w:rsidRPr="004274FD">
        <w:rPr>
          <w:lang w:val="en-US"/>
        </w:rPr>
        <w:t>Statistically significant trends in predicted heat and cold stress during 2001–2025 were more spatially limited than those observed over the full 1981–2025 period (Fig</w:t>
      </w:r>
      <w:r>
        <w:rPr>
          <w:lang w:val="en-US"/>
        </w:rPr>
        <w:t>s. 8 and 9</w:t>
      </w:r>
      <w:r w:rsidRPr="004274FD">
        <w:rPr>
          <w:lang w:val="en-US"/>
        </w:rPr>
        <w:t xml:space="preserve">). Areas with significant increases in heat stress were generally consistent with those identified for the full 44-year period, whereas several areas with significant decreases in cold stress over 1981–2025 showed no significant trend during 2001–2025. Additionally, parts of the Midwest and Rocky Mountains exhibited significant increases in cold stress, although the magnitude of these changes was small. Consistent with these patterns, the CLM for 2001–2025 identified fewer areas with significant changes in climatic suitability, indicating that the predicted likelihood of establishment was relatively stable during the recent 24-year period (Fig. </w:t>
      </w:r>
      <w:r>
        <w:rPr>
          <w:lang w:val="en-US"/>
        </w:rPr>
        <w:t>10</w:t>
      </w:r>
      <w:r w:rsidRPr="004274FD">
        <w:rPr>
          <w:lang w:val="en-US"/>
        </w:rPr>
        <w:t>).</w:t>
      </w:r>
    </w:p>
    <w:p w14:paraId="78708643" w14:textId="77777777" w:rsidR="00017899" w:rsidRDefault="00017899" w:rsidP="00F6448B">
      <w:pPr>
        <w:spacing w:line="240" w:lineRule="auto"/>
        <w:contextualSpacing/>
      </w:pPr>
    </w:p>
    <w:p w14:paraId="331086B4" w14:textId="2B980BB5" w:rsidR="00017899" w:rsidRDefault="00017899" w:rsidP="00F6448B">
      <w:pPr>
        <w:spacing w:line="240" w:lineRule="auto"/>
        <w:contextualSpacing/>
      </w:pPr>
      <w:r>
        <w:t>```{r}</w:t>
      </w:r>
      <w:r w:rsidR="00F83D25">
        <w:br/>
      </w:r>
      <w:r>
        <w:t>#| echo: false</w:t>
      </w:r>
      <w:r w:rsidR="00F83D25">
        <w:br/>
      </w:r>
      <w:r>
        <w:t>#| out-width: 96%</w:t>
      </w:r>
      <w:r w:rsidR="00F83D25">
        <w:br/>
      </w:r>
      <w:r>
        <w:t>knitr::include_graphics("./Figures/figure</w:t>
      </w:r>
      <w:r w:rsidR="000F0D27">
        <w:t>8</w:t>
      </w:r>
      <w:r>
        <w:t>.png")</w:t>
      </w:r>
      <w:r w:rsidR="002312AC">
        <w:br/>
      </w:r>
      <w:r>
        <w:t>```</w:t>
      </w:r>
    </w:p>
    <w:p w14:paraId="7DF61BF8" w14:textId="536E0A1E" w:rsidR="000F0D27" w:rsidRDefault="000F0D27" w:rsidP="000F0D27">
      <w:pPr>
        <w:spacing w:line="240" w:lineRule="auto"/>
        <w:contextualSpacing/>
      </w:pPr>
      <w:r w:rsidRPr="00DA0747">
        <w:t>Changes (units/year) in predicted cold stress for ALB across the CONUS</w:t>
      </w:r>
      <w:r>
        <w:t xml:space="preserve"> </w:t>
      </w:r>
      <w:r w:rsidR="008D0836">
        <w:t>over</w:t>
      </w:r>
      <w:r>
        <w:t xml:space="preserve"> the </w:t>
      </w:r>
      <w:r>
        <w:t>recent 2</w:t>
      </w:r>
      <w:r>
        <w:t>4-year period (</w:t>
      </w:r>
      <w:r>
        <w:t>2001</w:t>
      </w:r>
      <w:r w:rsidRPr="00DA0747">
        <w:t>–2025</w:t>
      </w:r>
      <w:r>
        <w:t>)</w:t>
      </w:r>
      <w:r w:rsidRPr="00DA0747">
        <w:t xml:space="preserve">. Maps show (A) all changes and (B) </w:t>
      </w:r>
      <w:r w:rsidR="00137E4A">
        <w:t>statistically significant changes (P &lt; 0.1); areas shown in gray are not statistically significant.</w:t>
      </w:r>
      <w:r w:rsidRPr="00DA0747">
        <w:t xml:space="preserve"> Areas shown as 0 in (B) had significant trends but very small changes.</w:t>
      </w:r>
    </w:p>
    <w:p w14:paraId="1C0C81AF" w14:textId="77777777" w:rsidR="00017899" w:rsidRDefault="00017899" w:rsidP="00F6448B">
      <w:pPr>
        <w:spacing w:line="240" w:lineRule="auto"/>
        <w:contextualSpacing/>
      </w:pPr>
    </w:p>
    <w:p w14:paraId="07567E12" w14:textId="125907DB" w:rsidR="00017899" w:rsidRDefault="00017899" w:rsidP="00F6448B">
      <w:pPr>
        <w:spacing w:line="240" w:lineRule="auto"/>
        <w:contextualSpacing/>
      </w:pPr>
      <w:r>
        <w:t>```{r}</w:t>
      </w:r>
      <w:r w:rsidR="00F83D25">
        <w:br/>
      </w:r>
      <w:r>
        <w:t>#| echo: false</w:t>
      </w:r>
      <w:r w:rsidR="00F83D25">
        <w:br/>
      </w:r>
      <w:r>
        <w:t>#| out-width: 96%</w:t>
      </w:r>
      <w:r w:rsidR="00F83D25">
        <w:br/>
      </w:r>
      <w:r>
        <w:t>knitr::include_graphics("./Figures/figure</w:t>
      </w:r>
      <w:r w:rsidR="000F0D27">
        <w:t>9</w:t>
      </w:r>
      <w:r>
        <w:t>.png")</w:t>
      </w:r>
      <w:r w:rsidR="002312AC">
        <w:br/>
      </w:r>
      <w:r>
        <w:t>```</w:t>
      </w:r>
    </w:p>
    <w:p w14:paraId="1C2F2EEF" w14:textId="77777777" w:rsidR="00017899" w:rsidRPr="00C95328" w:rsidRDefault="00017899" w:rsidP="00F6448B">
      <w:pPr>
        <w:spacing w:line="240" w:lineRule="auto"/>
        <w:contextualSpacing/>
      </w:pPr>
    </w:p>
    <w:p w14:paraId="61BF0A5B" w14:textId="36DB2704" w:rsidR="000F0D27" w:rsidRDefault="000F0D27" w:rsidP="000F0D27">
      <w:pPr>
        <w:spacing w:line="240" w:lineRule="auto"/>
        <w:contextualSpacing/>
      </w:pPr>
      <w:r w:rsidRPr="00DA0747">
        <w:t xml:space="preserve">Changes (units/year) in predicted </w:t>
      </w:r>
      <w:r>
        <w:t>heat</w:t>
      </w:r>
      <w:r w:rsidRPr="00DA0747">
        <w:t xml:space="preserve"> stress for ALB across the CONUS</w:t>
      </w:r>
      <w:r>
        <w:t xml:space="preserve"> </w:t>
      </w:r>
      <w:r w:rsidR="008D0836">
        <w:t>over</w:t>
      </w:r>
      <w:r>
        <w:t xml:space="preserve"> the recent 24-year period (2001</w:t>
      </w:r>
      <w:r w:rsidRPr="00DA0747">
        <w:t>–2025</w:t>
      </w:r>
      <w:r>
        <w:t>)</w:t>
      </w:r>
      <w:r w:rsidRPr="00DA0747">
        <w:t xml:space="preserve">. Maps show (A) all changes and (B) </w:t>
      </w:r>
      <w:r w:rsidR="00137E4A">
        <w:t>statistically significant changes (P &lt; 0.1); areas shown in gray are not statistically significant.</w:t>
      </w:r>
      <w:r w:rsidRPr="00DA0747">
        <w:t xml:space="preserve"> Areas shown as 0 in (B) had significant trends but very small changes.</w:t>
      </w:r>
    </w:p>
    <w:p w14:paraId="01A86484" w14:textId="77777777" w:rsidR="00E722AE" w:rsidRDefault="00E722AE" w:rsidP="00E722AE">
      <w:pPr>
        <w:spacing w:line="240" w:lineRule="auto"/>
        <w:contextualSpacing/>
      </w:pPr>
    </w:p>
    <w:p w14:paraId="3424D427" w14:textId="376467F8" w:rsidR="00E722AE" w:rsidRDefault="00E722AE" w:rsidP="00E722AE">
      <w:pPr>
        <w:spacing w:line="240" w:lineRule="auto"/>
        <w:contextualSpacing/>
      </w:pPr>
      <w:r>
        <w:t>```{r}</w:t>
      </w:r>
      <w:r>
        <w:br/>
        <w:t>#| echo: false</w:t>
      </w:r>
      <w:r>
        <w:br/>
        <w:t>#| out-width: 50%</w:t>
      </w:r>
      <w:r>
        <w:br/>
      </w:r>
      <w:r w:rsidRPr="00D923EC">
        <w:lastRenderedPageBreak/>
        <w:t>#| fig-align: 'center'</w:t>
      </w:r>
      <w:r>
        <w:br/>
        <w:t>knitr::include_graphics("./Figures/figure</w:t>
      </w:r>
      <w:r>
        <w:t>10</w:t>
      </w:r>
      <w:r>
        <w:t>.png")</w:t>
      </w:r>
      <w:r>
        <w:br/>
        <w:t>```</w:t>
      </w:r>
    </w:p>
    <w:p w14:paraId="2C94ED8C" w14:textId="1F24FE00" w:rsidR="004274FD" w:rsidRPr="008D0836" w:rsidRDefault="004274FD" w:rsidP="004274FD">
      <w:pPr>
        <w:rPr>
          <w:lang w:val="en-US"/>
        </w:rPr>
      </w:pPr>
      <w:r w:rsidRPr="008D0836">
        <w:rPr>
          <w:lang w:val="en-US"/>
        </w:rPr>
        <w:t>Changes in predicted climatic suitability for ALB across CONUS over the 44-year period (</w:t>
      </w:r>
      <w:r>
        <w:rPr>
          <w:lang w:val="en-US"/>
        </w:rPr>
        <w:t>200</w:t>
      </w:r>
      <w:r w:rsidRPr="008D0836">
        <w:rPr>
          <w:lang w:val="en-US"/>
        </w:rPr>
        <w:t>1–2025). Suitability is defined as areas not excluded by climate stress. Positive changes (warmer colors) indicate an increased likelihood of establishment, whereas negative changes (cooler colors) indicate a decreased likelihood of establishment.</w:t>
      </w:r>
    </w:p>
    <w:p w14:paraId="623FA6BA" w14:textId="77777777" w:rsidR="00E722AE" w:rsidRPr="00C95328" w:rsidRDefault="00E722AE" w:rsidP="00F04A67">
      <w:pPr>
        <w:spacing w:after="80" w:line="252" w:lineRule="auto"/>
        <w:contextualSpacing/>
      </w:pPr>
    </w:p>
    <w:p w14:paraId="34073A02" w14:textId="61F3503F" w:rsidR="00AF0AC1" w:rsidRPr="00C95328" w:rsidRDefault="007D5AF0" w:rsidP="00433B8A">
      <w:pPr>
        <w:pStyle w:val="Heading2"/>
        <w:spacing w:line="252" w:lineRule="auto"/>
        <w:contextualSpacing/>
        <w:rPr>
          <w:rFonts w:ascii="Arial" w:hAnsi="Arial" w:cs="Arial"/>
          <w:color w:val="auto"/>
          <w:highlight w:val="yellow"/>
        </w:rPr>
      </w:pPr>
      <w:r>
        <w:rPr>
          <w:rFonts w:ascii="Arial" w:hAnsi="Arial" w:cs="Arial"/>
          <w:b/>
          <w:bCs/>
          <w:color w:val="auto"/>
        </w:rPr>
        <w:t>Discussion</w:t>
      </w:r>
    </w:p>
    <w:p w14:paraId="15BCF781" w14:textId="77777777" w:rsidR="006C4A27" w:rsidRDefault="006C4A27" w:rsidP="006C4A27">
      <w:pPr>
        <w:spacing w:after="80" w:line="252" w:lineRule="auto"/>
        <w:rPr>
          <w:lang w:val="en-US"/>
        </w:rPr>
      </w:pPr>
      <w:r w:rsidRPr="006C4A27">
        <w:rPr>
          <w:lang w:val="en-US"/>
        </w:rPr>
        <w:t>Predictions of phenology and climatic suitability for ALB show clear, directional changes, with the strongest and most spatially extensive signals emerging over the full 44-year period (1981–2025). Predicted adult emergence and egg hatch occurred progressively earlier across large portions of CONUS, including most East Coast states and parts of the Southwest and Intermountain West, although trends were mostly non-significant in the upper Midwest and Great Plains, suggesting less consistent phenological changes over time. These changes averaged 0.01–0.5 days earlier per year, suggesting that surveyors and other management staff in these areas may want to ensure that materials are prepared earlier in the season. Faster development under warmer conditions could also enable ALB to achieve more rapid population growth, increase its damage potential, and shorten or eliminate the pupal hold period, potentially increasing the likelihood of multiple generations per year (Schmitt et al. 2025a,b).</w:t>
      </w:r>
    </w:p>
    <w:p w14:paraId="62205DF5" w14:textId="77777777" w:rsidR="004057E0" w:rsidRDefault="000D2EDA" w:rsidP="000D2EDA">
      <w:pPr>
        <w:spacing w:after="80" w:line="252" w:lineRule="auto"/>
        <w:ind w:firstLine="360"/>
        <w:rPr>
          <w:lang w:val="en-US"/>
        </w:rPr>
      </w:pPr>
      <w:r w:rsidRPr="000D2EDA">
        <w:rPr>
          <w:lang w:val="en-US"/>
        </w:rPr>
        <w:t xml:space="preserve">Declines in predicted cold stress across northern and high-elevation regions—including parts of the Northeast and Midwest—may indicate increasing potential for overwinter survival in ALB. These regions may be especially vulnerable because of the high abundance of preferred host species for ALB, particularly maple (Smith and Wu 2008; Berland and Elliot 2014). Thus, surveyors and managers may want to increase the prioritization of areas such as northern New England and Michigan. Although significant increases in heat stress—and corresponding reductions in establishment risk—are projected for the hottest parts of the Southwest, risk in this region is likely already constrained by the relatively low density of hardwood forests. </w:t>
      </w:r>
    </w:p>
    <w:p w14:paraId="66F6C9DB" w14:textId="73641902" w:rsidR="000D2EDA" w:rsidRPr="000D2EDA" w:rsidRDefault="000D2EDA" w:rsidP="000D2EDA">
      <w:pPr>
        <w:spacing w:after="80" w:line="252" w:lineRule="auto"/>
        <w:ind w:firstLine="360"/>
        <w:rPr>
          <w:lang w:val="en-US"/>
        </w:rPr>
      </w:pPr>
      <w:r w:rsidRPr="000D2EDA">
        <w:rPr>
          <w:lang w:val="en-US"/>
        </w:rPr>
        <w:t xml:space="preserve">The stronger and more significant trends in predicted phenology and climate stress over the full 44-year period may reflect both the larger sample size, which can reduce noise and improve detection of directional patterns, and differences in the underlying climate trends between the two time periods. In particular, the recent 24-year period may capture climate variability or regional trends that differ from those observed over the longer 44-year period. For example, increases in predicted cold stress in parts of the </w:t>
      </w:r>
      <w:r w:rsidR="007F3863">
        <w:rPr>
          <w:lang w:val="en-US"/>
        </w:rPr>
        <w:t>n</w:t>
      </w:r>
      <w:r w:rsidRPr="000D2EDA">
        <w:rPr>
          <w:lang w:val="en-US"/>
        </w:rPr>
        <w:t>orth-</w:t>
      </w:r>
      <w:r w:rsidR="007F3863">
        <w:rPr>
          <w:lang w:val="en-US"/>
        </w:rPr>
        <w:t>c</w:t>
      </w:r>
      <w:r w:rsidRPr="000D2EDA">
        <w:rPr>
          <w:lang w:val="en-US"/>
        </w:rPr>
        <w:t>entral United States may reflect this region's departure from the broader warming pattern during the more recent period, with some areas experiencing cooler conditions relative to the preceding years</w:t>
      </w:r>
      <w:r w:rsidR="00BD0190">
        <w:rPr>
          <w:lang w:val="en-US"/>
        </w:rPr>
        <w:t xml:space="preserve"> (NCEI 2021).</w:t>
      </w:r>
    </w:p>
    <w:p w14:paraId="1C4EC699" w14:textId="77777777" w:rsidR="000D2EDA" w:rsidRPr="006C4A27" w:rsidRDefault="000D2EDA" w:rsidP="000D2EDA">
      <w:pPr>
        <w:spacing w:after="80" w:line="252" w:lineRule="auto"/>
        <w:rPr>
          <w:lang w:val="en-US"/>
        </w:rPr>
      </w:pPr>
    </w:p>
    <w:p w14:paraId="0CAD711F" w14:textId="77777777" w:rsidR="00791B53" w:rsidRDefault="00791B53" w:rsidP="00F04A67">
      <w:pPr>
        <w:spacing w:after="80" w:line="252" w:lineRule="auto"/>
        <w:contextualSpacing/>
      </w:pPr>
    </w:p>
    <w:p w14:paraId="26CE5E27" w14:textId="5A6E3E4F" w:rsidR="00BA30CE" w:rsidRPr="00C95328" w:rsidRDefault="00BA30CE" w:rsidP="00F04A67">
      <w:pPr>
        <w:spacing w:after="80" w:line="252" w:lineRule="auto"/>
        <w:contextualSpacing/>
      </w:pPr>
      <w:r w:rsidRPr="00BA30CE">
        <w:t>vspace{2em}</w:t>
      </w:r>
    </w:p>
    <w:p w14:paraId="3DE2DB04" w14:textId="77777777" w:rsidR="00AF0AC1" w:rsidRPr="00C95328" w:rsidRDefault="00AF0AC1" w:rsidP="00433B8A">
      <w:pPr>
        <w:pStyle w:val="Heading2"/>
        <w:spacing w:line="252" w:lineRule="auto"/>
        <w:contextualSpacing/>
        <w:rPr>
          <w:rFonts w:ascii="Arial" w:hAnsi="Arial" w:cs="Arial"/>
          <w:b/>
          <w:bCs/>
          <w:i/>
          <w:iCs/>
          <w:color w:val="auto"/>
        </w:rPr>
      </w:pPr>
      <w:r w:rsidRPr="00C95328">
        <w:rPr>
          <w:rFonts w:ascii="Arial" w:hAnsi="Arial" w:cs="Arial"/>
          <w:b/>
          <w:bCs/>
          <w:color w:val="auto"/>
        </w:rPr>
        <w:t>References</w:t>
      </w:r>
    </w:p>
    <w:p w14:paraId="4882FE53" w14:textId="20C4F1C7" w:rsidR="00007A59" w:rsidRDefault="00007A59" w:rsidP="00F2454D">
      <w:pPr>
        <w:widowControl w:val="0"/>
        <w:autoSpaceDE w:val="0"/>
        <w:autoSpaceDN w:val="0"/>
        <w:adjustRightInd w:val="0"/>
        <w:spacing w:after="80" w:line="240" w:lineRule="auto"/>
        <w:ind w:left="480" w:hanging="480"/>
      </w:pPr>
      <w:r w:rsidRPr="00BA153C">
        <w:t>begingroup</w:t>
      </w:r>
      <w:r w:rsidR="00F2454D">
        <w:br/>
      </w:r>
      <w:r w:rsidRPr="00BA153C">
        <w:t>setlength{parindent}{-0.5in}</w:t>
      </w:r>
      <w:r w:rsidR="00F2454D">
        <w:br/>
      </w:r>
      <w:r w:rsidRPr="00BA153C">
        <w:t>setlength{leftskip}{0.5in}</w:t>
      </w:r>
      <w:r w:rsidR="00F2454D">
        <w:br/>
      </w:r>
      <w:r w:rsidR="001602C6">
        <w:t>n</w:t>
      </w:r>
      <w:r w:rsidRPr="00BA153C">
        <w:t>oindent</w:t>
      </w:r>
    </w:p>
    <w:p w14:paraId="2AEE2152" w14:textId="2C9BCCB9" w:rsidR="00C83475" w:rsidRPr="00C95328" w:rsidRDefault="00C83475" w:rsidP="001B69FB">
      <w:pPr>
        <w:spacing w:before="240" w:after="80" w:line="252" w:lineRule="auto"/>
        <w:ind w:left="360" w:hanging="360"/>
      </w:pPr>
      <w:r w:rsidRPr="00C95328">
        <w:lastRenderedPageBreak/>
        <w:t xml:space="preserve">Berland, A., and G. P. Elliott. 2014. Unexpected connections between residential urban forest diversity and vulnerability to two invasive beetles. Landscape Ecology 29:141–152. </w:t>
      </w:r>
    </w:p>
    <w:p w14:paraId="42F8FD32" w14:textId="5EE24E99" w:rsidR="00AF0AC1" w:rsidRPr="00C95328" w:rsidRDefault="00AF0AC1" w:rsidP="001B69FB">
      <w:pPr>
        <w:spacing w:before="240" w:after="80" w:line="252" w:lineRule="auto"/>
        <w:ind w:left="360" w:hanging="360"/>
      </w:pPr>
      <w:r w:rsidRPr="00C95328">
        <w:t xml:space="preserve">Coop, L. 2018. IPPC model analysis summary: Asian longhorned beetle phenology (degree-day) model. Developed for Animal and Plant Health Inspection Service (APHIS) – Plant Protection and Quarantine (PPQ) – Cooperative Agricultural Pest Survey (CAPS) – Center for Plant Health Science and Technology (CPHST). Vs. 1.1 (12/17/2018). Available at: </w:t>
      </w:r>
      <w:hyperlink r:id="rId8">
        <w:r w:rsidRPr="00C95328">
          <w:rPr>
            <w:u w:val="single"/>
          </w:rPr>
          <w:t>https://uspest.org/wea/ALB_model_v11.pdf</w:t>
        </w:r>
      </w:hyperlink>
      <w:r w:rsidRPr="00C95328">
        <w:t xml:space="preserve"> (accessed 1</w:t>
      </w:r>
      <w:r w:rsidR="00751D1F" w:rsidRPr="00C95328">
        <w:t>7</w:t>
      </w:r>
      <w:r w:rsidRPr="00C95328">
        <w:t xml:space="preserve"> </w:t>
      </w:r>
      <w:r w:rsidR="00751D1F" w:rsidRPr="00C95328">
        <w:t>March</w:t>
      </w:r>
      <w:r w:rsidRPr="00C95328">
        <w:t xml:space="preserve"> 202</w:t>
      </w:r>
      <w:r w:rsidR="00751D1F" w:rsidRPr="00C95328">
        <w:t>6</w:t>
      </w:r>
      <w:r w:rsidRPr="00C95328">
        <w:t>).</w:t>
      </w:r>
    </w:p>
    <w:p w14:paraId="651651B6" w14:textId="77777777" w:rsidR="00AF0AC1" w:rsidRPr="00C95328" w:rsidRDefault="00AF0AC1" w:rsidP="001B69FB">
      <w:pPr>
        <w:spacing w:before="240" w:after="80" w:line="252" w:lineRule="auto"/>
        <w:ind w:left="360" w:hanging="360"/>
      </w:pPr>
      <w:r w:rsidRPr="00C95328">
        <w:t>Coyle, D. R., R. T. Trotter, M. S. Bean, and S. E. Pfister. 2021. First recorded Asian longhorned beetle (Coleoptera: Cerambycidae) infestation in the southern United States. Journal of Integrated Pest Management 12:10.</w:t>
      </w:r>
    </w:p>
    <w:p w14:paraId="24499833" w14:textId="77777777" w:rsidR="00AF0AC1" w:rsidRPr="00C95328" w:rsidRDefault="00AF0AC1" w:rsidP="001B69FB">
      <w:pPr>
        <w:spacing w:before="240" w:after="80" w:line="252" w:lineRule="auto"/>
        <w:ind w:left="360" w:hanging="360"/>
      </w:pPr>
      <w:r w:rsidRPr="00C95328">
        <w:t>Ding, W., H. Li, C. Wen, and J. Wen. 2025. The ecological niche of two invasive species, Asian longhorned beetle and its host Russian olive, has been affected by invasion and climate change. Entomologia Generalis 45:105–116.</w:t>
      </w:r>
    </w:p>
    <w:p w14:paraId="36609147" w14:textId="77777777" w:rsidR="00AF0AC1" w:rsidRPr="00C95328" w:rsidRDefault="00AF0AC1" w:rsidP="001B69FB">
      <w:pPr>
        <w:spacing w:before="240" w:after="80" w:line="252" w:lineRule="auto"/>
        <w:ind w:left="360" w:hanging="360"/>
      </w:pPr>
      <w:r w:rsidRPr="00C95328">
        <w:t xml:space="preserve">EPPO. 2019. </w:t>
      </w:r>
      <w:r w:rsidRPr="00C95328">
        <w:rPr>
          <w:i/>
          <w:iCs/>
        </w:rPr>
        <w:t>Anoplophora glabripennis</w:t>
      </w:r>
      <w:r w:rsidRPr="00C95328">
        <w:t xml:space="preserve">. EPPO datasheets on pests recommended for regulation. Available at: </w:t>
      </w:r>
      <w:hyperlink r:id="rId9">
        <w:r w:rsidRPr="00C95328">
          <w:rPr>
            <w:u w:val="single"/>
          </w:rPr>
          <w:t>https://gd.eppo.int/</w:t>
        </w:r>
      </w:hyperlink>
      <w:r w:rsidRPr="00C95328">
        <w:t xml:space="preserve"> (accessed 10 December 2025).</w:t>
      </w:r>
    </w:p>
    <w:p w14:paraId="31B225D6" w14:textId="77777777" w:rsidR="00AF0AC1" w:rsidRPr="00C95328" w:rsidRDefault="00AF0AC1" w:rsidP="001B69FB">
      <w:pPr>
        <w:spacing w:before="240" w:after="80" w:line="252" w:lineRule="auto"/>
        <w:ind w:left="360" w:hanging="360"/>
      </w:pPr>
      <w:r w:rsidRPr="00C95328">
        <w:t xml:space="preserve">Faccoli, M., R. Favaro, M. T. Smith, and J. Wu. 2015. Life history of the Asian longhorn beetle </w:t>
      </w:r>
      <w:r w:rsidRPr="00C95328">
        <w:rPr>
          <w:i/>
          <w:iCs/>
        </w:rPr>
        <w:t>Anoplophora glabripennis</w:t>
      </w:r>
      <w:r w:rsidRPr="00C95328">
        <w:t xml:space="preserve"> (Coleoptera Cerambycidae) in southern Europe. Agricultural and Forest Entomology 17:188–196.</w:t>
      </w:r>
    </w:p>
    <w:p w14:paraId="1A6262CE" w14:textId="77777777" w:rsidR="00AF0AC1" w:rsidRPr="00C95328" w:rsidRDefault="00AF0AC1" w:rsidP="001B69FB">
      <w:pPr>
        <w:spacing w:before="240" w:after="80" w:line="252" w:lineRule="auto"/>
        <w:ind w:left="360" w:hanging="360"/>
      </w:pPr>
      <w:r w:rsidRPr="00C95328">
        <w:t xml:space="preserve">van der Gaag, D. J., and A. J. M. Loomans. 2014. Host plants of </w:t>
      </w:r>
      <w:r w:rsidRPr="00C95328">
        <w:rPr>
          <w:i/>
          <w:iCs/>
        </w:rPr>
        <w:t>Anoplophora glabripennis</w:t>
      </w:r>
      <w:r w:rsidRPr="00C95328">
        <w:t>, a review. EPPO Bulletin 44:518–528.</w:t>
      </w:r>
    </w:p>
    <w:p w14:paraId="4B752711" w14:textId="77777777" w:rsidR="00AF0AC1" w:rsidRPr="00C95328" w:rsidRDefault="00AF0AC1" w:rsidP="001B69FB">
      <w:pPr>
        <w:spacing w:before="240" w:after="80" w:line="252" w:lineRule="auto"/>
        <w:ind w:left="360" w:hanging="360"/>
      </w:pPr>
      <w:r w:rsidRPr="00C95328">
        <w:t>Haack, R. A. 2006. Exotic bark-and wood-boring Coleoptera in the United States: recent establishments and interceptions. Canadian Journal of Forest Research 36:269–288.</w:t>
      </w:r>
    </w:p>
    <w:p w14:paraId="686893C9" w14:textId="77777777" w:rsidR="00AF0AC1" w:rsidRPr="00C95328" w:rsidRDefault="00AF0AC1" w:rsidP="001B69FB">
      <w:pPr>
        <w:spacing w:before="240" w:after="80" w:line="252" w:lineRule="auto"/>
        <w:ind w:left="360" w:hanging="360"/>
      </w:pPr>
      <w:r w:rsidRPr="00C95328">
        <w:t xml:space="preserve">Haack, R., and E. R. Hoebeke. 1996. </w:t>
      </w:r>
      <w:r w:rsidRPr="00C95328">
        <w:rPr>
          <w:i/>
          <w:iCs/>
        </w:rPr>
        <w:t>Anoplophora glabripennis</w:t>
      </w:r>
      <w:r w:rsidRPr="00C95328">
        <w:t>: A new tree infesting exotic cerambycid invades New York. Newsletter of the Michigan Entomological Society 41:411–413.</w:t>
      </w:r>
    </w:p>
    <w:p w14:paraId="0EFA7358" w14:textId="77777777" w:rsidR="00AF0AC1" w:rsidRPr="00C95328" w:rsidRDefault="00AF0AC1" w:rsidP="001B69FB">
      <w:pPr>
        <w:spacing w:before="240" w:after="80" w:line="252" w:lineRule="auto"/>
        <w:ind w:left="360" w:hanging="360"/>
      </w:pPr>
      <w:r w:rsidRPr="00C95328">
        <w:t xml:space="preserve">Herard, F., M. Maspero, N. Ramualde, C. Jucker, M. Colombo, M. Ciampitti, and B. Cavagna. 2009. </w:t>
      </w:r>
      <w:r w:rsidRPr="00C95328">
        <w:rPr>
          <w:i/>
          <w:iCs/>
        </w:rPr>
        <w:t>Anoplophora glabripennis</w:t>
      </w:r>
      <w:r w:rsidRPr="00C95328">
        <w:t>-Eradication programme in Italy (April 2009). EPPO.</w:t>
      </w:r>
    </w:p>
    <w:p w14:paraId="3927AAF8" w14:textId="77777777" w:rsidR="00AF0AC1" w:rsidRPr="00C95328" w:rsidRDefault="00AF0AC1" w:rsidP="001B69FB">
      <w:pPr>
        <w:spacing w:before="240" w:after="80" w:line="252" w:lineRule="auto"/>
        <w:ind w:left="360" w:hanging="360"/>
      </w:pPr>
      <w:r w:rsidRPr="00C95328">
        <w:t xml:space="preserve">Hu, J., S. Angeli, S. Schuetz, Y. Luo, and A. E. Hajek. 2009. Ecology and management of exotic and endemic Asian longhorned beetle </w:t>
      </w:r>
      <w:r w:rsidRPr="00C95328">
        <w:rPr>
          <w:i/>
          <w:iCs/>
        </w:rPr>
        <w:t>Anoplophora glabripennis</w:t>
      </w:r>
      <w:r w:rsidRPr="00C95328">
        <w:t>. Agricultural and Forest Entomology 11:359–375.</w:t>
      </w:r>
    </w:p>
    <w:p w14:paraId="41D6C82E" w14:textId="77777777" w:rsidR="00AF0AC1" w:rsidRPr="00C95328" w:rsidRDefault="00AF0AC1" w:rsidP="001B69FB">
      <w:pPr>
        <w:spacing w:before="240" w:after="80" w:line="252" w:lineRule="auto"/>
        <w:ind w:left="360" w:hanging="360"/>
      </w:pPr>
      <w:r w:rsidRPr="00C95328">
        <w:t xml:space="preserve">Huang, J., X. Lu, H. Liu, and S. Zong. 2021. The driving forces of </w:t>
      </w:r>
      <w:r w:rsidRPr="00C95328">
        <w:rPr>
          <w:i/>
          <w:iCs/>
        </w:rPr>
        <w:t>Anoplophora glabripennis</w:t>
      </w:r>
      <w:r w:rsidRPr="00C95328">
        <w:t xml:space="preserve"> have spatial spillover effects. Forests 12:1678.</w:t>
      </w:r>
    </w:p>
    <w:p w14:paraId="67CA6F9D" w14:textId="77777777" w:rsidR="00AF0AC1" w:rsidRPr="00C95328" w:rsidRDefault="00AF0AC1" w:rsidP="001B69FB">
      <w:pPr>
        <w:spacing w:before="240" w:after="80" w:line="252" w:lineRule="auto"/>
        <w:ind w:left="360" w:hanging="360"/>
      </w:pPr>
      <w:r w:rsidRPr="00C95328">
        <w:t>Li W, and C. Wu. 1993. Species, distributions, and host plants of the longhorned beetles injuring poplars. Chapter 2 in Integrated management of longhorned beetles damaging poplar trees. China Forest Press, Beijing, China (in Standard Chinese).</w:t>
      </w:r>
    </w:p>
    <w:p w14:paraId="5C28D13F" w14:textId="77777777" w:rsidR="00AF0AC1" w:rsidRPr="00C95328" w:rsidRDefault="00AF0AC1" w:rsidP="001B69FB">
      <w:pPr>
        <w:spacing w:before="240" w:after="80" w:line="252" w:lineRule="auto"/>
        <w:ind w:left="360" w:hanging="360"/>
      </w:pPr>
      <w:r w:rsidRPr="00C95328">
        <w:lastRenderedPageBreak/>
        <w:t>Kappel, A. P., R. T. Trotter, M. A. Keena, J. Rogan, and C. A. Williams. 2017. Mapping of the Asian longhorned beetle’s time to maturity and risk to invasion at contiguous United States extent. Biological Invasions 19:1999–2013.</w:t>
      </w:r>
    </w:p>
    <w:p w14:paraId="3DF0C24D" w14:textId="261A59D5" w:rsidR="00BD0190" w:rsidRDefault="00BD0190" w:rsidP="001B69FB">
      <w:pPr>
        <w:spacing w:before="240" w:after="80" w:line="252" w:lineRule="auto"/>
        <w:ind w:left="360" w:hanging="360"/>
      </w:pPr>
      <w:r w:rsidRPr="00BD0190">
        <w:t xml:space="preserve">National Centers for Environmental Information (NCEI). 2021. </w:t>
      </w:r>
      <w:r w:rsidRPr="00BD0190">
        <w:rPr>
          <w:i/>
          <w:iCs/>
        </w:rPr>
        <w:t>U.S. Climate Normals</w:t>
      </w:r>
      <w:r w:rsidRPr="00BD0190">
        <w:t xml:space="preserve">. National Oceanic and Atmospheric Administration, National Centers for Environmental Information. </w:t>
      </w:r>
      <w:hyperlink r:id="rId10" w:history="1">
        <w:r w:rsidRPr="00BD0190">
          <w:rPr>
            <w:rStyle w:val="Hyperlink"/>
          </w:rPr>
          <w:t>https://www.ncei.noaa.gov/products/land-based-station/us-climate-normals</w:t>
        </w:r>
      </w:hyperlink>
      <w:r>
        <w:t xml:space="preserve"> </w:t>
      </w:r>
      <w:r w:rsidRPr="00BD0190">
        <w:t>(accessed 7 October 2026)</w:t>
      </w:r>
      <w:r>
        <w:t>.</w:t>
      </w:r>
    </w:p>
    <w:p w14:paraId="24F0375A" w14:textId="35B00D08" w:rsidR="00AF0AC1" w:rsidRPr="00C95328" w:rsidRDefault="00AF0AC1" w:rsidP="001B69FB">
      <w:pPr>
        <w:spacing w:before="240" w:after="80" w:line="252" w:lineRule="auto"/>
        <w:ind w:left="360" w:hanging="360"/>
      </w:pPr>
      <w:r w:rsidRPr="00C95328">
        <w:t xml:space="preserve">Nowak, D. J., J. E. Pasek, R. A. Sequeira, D. E. Crane, and V. C. Mastro. 2001. Potential effect of </w:t>
      </w:r>
      <w:r w:rsidRPr="00C95328">
        <w:rPr>
          <w:i/>
          <w:iCs/>
        </w:rPr>
        <w:t xml:space="preserve">Anoplophora glabripennis </w:t>
      </w:r>
      <w:r w:rsidRPr="00C95328">
        <w:t>(Coleoptera: Cerambycidae) on urban trees in the United States. Journal of Economic Entomology 94:116–122.</w:t>
      </w:r>
    </w:p>
    <w:p w14:paraId="2E884CE4" w14:textId="77777777" w:rsidR="00AF0AC1" w:rsidRPr="00C95328" w:rsidRDefault="00AF0AC1" w:rsidP="001B69FB">
      <w:pPr>
        <w:spacing w:before="240" w:after="80" w:line="252" w:lineRule="auto"/>
        <w:ind w:left="360" w:hanging="360"/>
      </w:pPr>
      <w:r w:rsidRPr="00C95328">
        <w:t xml:space="preserve">Roden, D. B., R. A. Haack, M. A. Keena, D. W. McKenney, F. D. Beall, and P. M. Roden. 2008. Potential Northern Distribution of Asian Longhorned Beetle in North America. Pages 65–67 </w:t>
      </w:r>
      <w:r w:rsidRPr="00C95328">
        <w:rPr>
          <w:i/>
          <w:iCs/>
        </w:rPr>
        <w:t xml:space="preserve">in </w:t>
      </w:r>
      <w:r w:rsidRPr="00C95328">
        <w:t>K. McManus and K. Gottschalk, editors. 2008 USDA Research Forum on Invasive Species, General Technical Report NRS-P-36. U.S. Department of Agriculture, Forest Service, Northern Research Station, Newtown Square, PA.</w:t>
      </w:r>
    </w:p>
    <w:p w14:paraId="3DFA8E76" w14:textId="77777777" w:rsidR="00AF0AC1" w:rsidRPr="00C95328" w:rsidRDefault="00AF0AC1" w:rsidP="001B69FB">
      <w:pPr>
        <w:spacing w:before="240" w:after="80" w:line="252" w:lineRule="auto"/>
        <w:ind w:left="360" w:hanging="360"/>
      </w:pPr>
      <w:r w:rsidRPr="00C95328">
        <w:t>Schmitt, L. R., R. T. Trotter III, and D. R. Coyle. 2025a. Validating a variable-instar, climate-based phenology model for the Asian longhorned beetle (Coleoptera: Cerambycidae) using field data from South Carolina. Environmental Entomology 54:710–717.</w:t>
      </w:r>
    </w:p>
    <w:p w14:paraId="50381138" w14:textId="77777777" w:rsidR="00AF0AC1" w:rsidRPr="00C95328" w:rsidRDefault="00AF0AC1" w:rsidP="001B69FB">
      <w:pPr>
        <w:spacing w:before="240" w:after="80" w:line="252" w:lineRule="auto"/>
        <w:ind w:left="360" w:hanging="360"/>
      </w:pPr>
      <w:r w:rsidRPr="00C95328">
        <w:t>Schmitt, L. R., R. T. Trotter III, C. J. Bishop, K. E. Crout, S. E. Pfister, and D. R. Coyle. 2025b. Phenology and voltinism of the Asian longhorned beetle (Coleoptera: Cerambycidae) in South Carolina, United States. Environmental Entomology 54:367–377.</w:t>
      </w:r>
    </w:p>
    <w:p w14:paraId="11F96EB5" w14:textId="77777777" w:rsidR="00AF0AC1" w:rsidRPr="00C95328" w:rsidRDefault="00AF0AC1" w:rsidP="001B69FB">
      <w:pPr>
        <w:spacing w:before="240" w:after="80" w:line="252" w:lineRule="auto"/>
        <w:ind w:left="360" w:hanging="360"/>
      </w:pPr>
      <w:r w:rsidRPr="00C95328">
        <w:t>Smith, M., and J. Wu. 2008. Asian longhorned beetle: renewed threat to northeastern USA and implications worldwide. International Pest Control 50:311–316.</w:t>
      </w:r>
    </w:p>
    <w:p w14:paraId="2918D5AB" w14:textId="77777777" w:rsidR="00AF0AC1" w:rsidRPr="00C95328" w:rsidRDefault="00AF0AC1" w:rsidP="001B69FB">
      <w:pPr>
        <w:spacing w:before="240" w:after="80" w:line="252" w:lineRule="auto"/>
        <w:ind w:left="360" w:hanging="360"/>
      </w:pPr>
      <w:r w:rsidRPr="00C95328">
        <w:t>Srivastava, V., A. D. Roe, M. A. Keena, R. C. Hamelin, and V. C. Griess. 2021. Oh the places they’ll go: improving species distribution modelling for invasive forest pests in an uncertain world. Biological Invasions 23:297–349.</w:t>
      </w:r>
    </w:p>
    <w:p w14:paraId="38C9D8A3" w14:textId="77777777" w:rsidR="00AF0AC1" w:rsidRPr="00C95328" w:rsidRDefault="00AF0AC1" w:rsidP="001B69FB">
      <w:pPr>
        <w:spacing w:before="240" w:after="80" w:line="252" w:lineRule="auto"/>
        <w:ind w:left="360" w:hanging="360"/>
      </w:pPr>
      <w:r w:rsidRPr="00C95328">
        <w:t xml:space="preserve">Torson, A. S., M. Lei Zhang, A. J. Smith, L. Mohammad, K. Ong, D. Doucet, A. D. Roe, and B. J. Sinclair. 2021. Dormancy in laboratory-reared Asian longhorned beetles, </w:t>
      </w:r>
      <w:r w:rsidRPr="00C95328">
        <w:rPr>
          <w:i/>
          <w:iCs/>
        </w:rPr>
        <w:t>Anoplophora glabripennis</w:t>
      </w:r>
      <w:r w:rsidRPr="00C95328">
        <w:t>. Journal of Insect Physiology 130:104179.</w:t>
      </w:r>
    </w:p>
    <w:p w14:paraId="1AB6457A" w14:textId="77777777" w:rsidR="002F0967" w:rsidRPr="00C95328" w:rsidRDefault="00AF0AC1" w:rsidP="001B69FB">
      <w:pPr>
        <w:spacing w:before="240" w:after="80" w:line="252" w:lineRule="auto"/>
        <w:ind w:left="360" w:hanging="360"/>
      </w:pPr>
      <w:r w:rsidRPr="00C95328">
        <w:t>Trotter, R. T., and M. A. Keena. 2016. A variable-instar climate-driven individual beetle-based phenology model for the invasive Asian longhorned beetle (Coleoptera: Cerambycidae). Environmental Entomology 45:1360–1370.</w:t>
      </w:r>
    </w:p>
    <w:p w14:paraId="3945D9E2" w14:textId="34F2994D" w:rsidR="00BF3DDA" w:rsidRPr="00C95328" w:rsidRDefault="00AF0AC1" w:rsidP="00B96516">
      <w:pPr>
        <w:spacing w:before="240" w:after="80" w:line="252" w:lineRule="auto"/>
        <w:ind w:left="360" w:hanging="360"/>
        <w:rPr>
          <w:lang w:val="en-US"/>
        </w:rPr>
      </w:pPr>
      <w:r w:rsidRPr="00C95328">
        <w:t xml:space="preserve">USDA-APIHS. 2025, July 10. Asian Longhorned Beetle. U.S. Department of Agriculture, Animal and Plant Health Inspection Service. Available online: </w:t>
      </w:r>
      <w:hyperlink r:id="rId11">
        <w:r w:rsidRPr="00C95328">
          <w:rPr>
            <w:u w:val="single"/>
          </w:rPr>
          <w:t>https://www.aphis.usda.gov/plant-pests-diseases/alb</w:t>
        </w:r>
      </w:hyperlink>
      <w:r w:rsidRPr="00C95328">
        <w:t xml:space="preserve"> (accessed 10 December 2025).</w:t>
      </w:r>
      <w:r w:rsidR="00614409" w:rsidRPr="00C95328">
        <w:rPr>
          <w:lang w:val="en-US"/>
        </w:rPr>
        <w:t xml:space="preserve"> </w:t>
      </w:r>
    </w:p>
    <w:p w14:paraId="05D3A408" w14:textId="0C8E514C" w:rsidR="001E0C91" w:rsidRDefault="001E0C91" w:rsidP="001E0C91">
      <w:pPr>
        <w:spacing w:before="240" w:after="80" w:line="252" w:lineRule="auto"/>
        <w:ind w:left="360" w:hanging="360"/>
        <w:rPr>
          <w:lang w:val="en-US"/>
        </w:rPr>
      </w:pPr>
      <w:r w:rsidRPr="00C95328">
        <w:rPr>
          <w:lang w:val="en-US"/>
        </w:rPr>
        <w:t xml:space="preserve">Wang, Y., D. O. Hessen, H. Samset, and F. Stordal. 2022. Remote sensing of environment evaluating global and regional land warming trends in the past decades with both MODIS </w:t>
      </w:r>
      <w:r w:rsidRPr="00C95328">
        <w:rPr>
          <w:lang w:val="en-US"/>
        </w:rPr>
        <w:lastRenderedPageBreak/>
        <w:t>and ERA5-Land land surface temperature data. Remote Sensing of Environment 280:113181.</w:t>
      </w:r>
    </w:p>
    <w:p w14:paraId="3E4E2627" w14:textId="3E7C33AA" w:rsidR="00FD378B" w:rsidRPr="00F2454D" w:rsidRDefault="00FD378B" w:rsidP="00F2454D">
      <w:pPr>
        <w:widowControl w:val="0"/>
        <w:autoSpaceDE w:val="0"/>
        <w:autoSpaceDN w:val="0"/>
        <w:adjustRightInd w:val="0"/>
        <w:spacing w:after="80" w:line="240" w:lineRule="auto"/>
        <w:ind w:left="480" w:hanging="480"/>
      </w:pPr>
      <w:r w:rsidRPr="00BA153C">
        <w:t>pa</w:t>
      </w:r>
      <w:r w:rsidR="00125563">
        <w:t>r</w:t>
      </w:r>
      <w:r w:rsidR="00F2454D">
        <w:br/>
      </w:r>
      <w:r w:rsidRPr="00BA153C">
        <w:t>endgroup</w:t>
      </w:r>
    </w:p>
    <w:sectPr w:rsidR="00FD378B" w:rsidRPr="00F2454D" w:rsidSect="003768E6">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C5132" w14:textId="77777777" w:rsidR="00F64797" w:rsidRDefault="00F64797" w:rsidP="00AF0AC1">
      <w:pPr>
        <w:spacing w:line="240" w:lineRule="auto"/>
      </w:pPr>
      <w:r>
        <w:separator/>
      </w:r>
    </w:p>
  </w:endnote>
  <w:endnote w:type="continuationSeparator" w:id="0">
    <w:p w14:paraId="642FA5F2" w14:textId="77777777" w:rsidR="00F64797" w:rsidRDefault="00F64797" w:rsidP="00AF0A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952466"/>
      <w:docPartObj>
        <w:docPartGallery w:val="Page Numbers (Bottom of Page)"/>
        <w:docPartUnique/>
      </w:docPartObj>
    </w:sdtPr>
    <w:sdtEndPr>
      <w:rPr>
        <w:noProof/>
      </w:rPr>
    </w:sdtEndPr>
    <w:sdtContent>
      <w:p w14:paraId="5E83E3D8" w14:textId="267807A5" w:rsidR="00AF0AC1" w:rsidRDefault="00AF0A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273DB" w14:textId="77777777" w:rsidR="00AF0AC1" w:rsidRDefault="00AF0A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ECEF5" w14:textId="77777777" w:rsidR="00F64797" w:rsidRDefault="00F64797" w:rsidP="00AF0AC1">
      <w:pPr>
        <w:spacing w:line="240" w:lineRule="auto"/>
      </w:pPr>
      <w:r>
        <w:separator/>
      </w:r>
    </w:p>
  </w:footnote>
  <w:footnote w:type="continuationSeparator" w:id="0">
    <w:p w14:paraId="4B48C4CF" w14:textId="77777777" w:rsidR="00F64797" w:rsidRDefault="00F64797" w:rsidP="00AF0AC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1C"/>
    <w:rsid w:val="00007A59"/>
    <w:rsid w:val="00007FCD"/>
    <w:rsid w:val="000124C7"/>
    <w:rsid w:val="00017899"/>
    <w:rsid w:val="00033A88"/>
    <w:rsid w:val="00091BE2"/>
    <w:rsid w:val="00094026"/>
    <w:rsid w:val="000941C1"/>
    <w:rsid w:val="000B1630"/>
    <w:rsid w:val="000C1559"/>
    <w:rsid w:val="000D2EDA"/>
    <w:rsid w:val="000F0D27"/>
    <w:rsid w:val="001031F3"/>
    <w:rsid w:val="00116458"/>
    <w:rsid w:val="00125563"/>
    <w:rsid w:val="00130F8D"/>
    <w:rsid w:val="00137E4A"/>
    <w:rsid w:val="001403F7"/>
    <w:rsid w:val="001602C6"/>
    <w:rsid w:val="00164F0A"/>
    <w:rsid w:val="001722DD"/>
    <w:rsid w:val="001A6A92"/>
    <w:rsid w:val="001B69FB"/>
    <w:rsid w:val="001C5111"/>
    <w:rsid w:val="001E0C91"/>
    <w:rsid w:val="001E5CF8"/>
    <w:rsid w:val="001F1FAF"/>
    <w:rsid w:val="001F47AD"/>
    <w:rsid w:val="0021013E"/>
    <w:rsid w:val="00213D02"/>
    <w:rsid w:val="00225D63"/>
    <w:rsid w:val="002312AC"/>
    <w:rsid w:val="00233508"/>
    <w:rsid w:val="0024553D"/>
    <w:rsid w:val="002558C5"/>
    <w:rsid w:val="002570D5"/>
    <w:rsid w:val="00257D25"/>
    <w:rsid w:val="00265BF4"/>
    <w:rsid w:val="00272F4D"/>
    <w:rsid w:val="00274B99"/>
    <w:rsid w:val="002867F1"/>
    <w:rsid w:val="00295ADA"/>
    <w:rsid w:val="00296D2A"/>
    <w:rsid w:val="002B2B53"/>
    <w:rsid w:val="002C5F83"/>
    <w:rsid w:val="002D1572"/>
    <w:rsid w:val="002D57AB"/>
    <w:rsid w:val="002F0967"/>
    <w:rsid w:val="003024DA"/>
    <w:rsid w:val="00314E25"/>
    <w:rsid w:val="0032404F"/>
    <w:rsid w:val="0032524C"/>
    <w:rsid w:val="00364C36"/>
    <w:rsid w:val="00372E8E"/>
    <w:rsid w:val="003768E6"/>
    <w:rsid w:val="0037766E"/>
    <w:rsid w:val="003821D2"/>
    <w:rsid w:val="00387475"/>
    <w:rsid w:val="003A1B94"/>
    <w:rsid w:val="003A1CF3"/>
    <w:rsid w:val="003D3FC8"/>
    <w:rsid w:val="003D535C"/>
    <w:rsid w:val="003E1C08"/>
    <w:rsid w:val="003F2248"/>
    <w:rsid w:val="003F24EB"/>
    <w:rsid w:val="003F64A6"/>
    <w:rsid w:val="004057E0"/>
    <w:rsid w:val="00411897"/>
    <w:rsid w:val="00420C78"/>
    <w:rsid w:val="0042118D"/>
    <w:rsid w:val="00425B64"/>
    <w:rsid w:val="00426B0A"/>
    <w:rsid w:val="004274FD"/>
    <w:rsid w:val="0042774D"/>
    <w:rsid w:val="00427A75"/>
    <w:rsid w:val="00433B8A"/>
    <w:rsid w:val="0043688E"/>
    <w:rsid w:val="004465AB"/>
    <w:rsid w:val="004612B1"/>
    <w:rsid w:val="00464D90"/>
    <w:rsid w:val="004706BA"/>
    <w:rsid w:val="00473144"/>
    <w:rsid w:val="00474362"/>
    <w:rsid w:val="004943DE"/>
    <w:rsid w:val="004A48D8"/>
    <w:rsid w:val="004A54E4"/>
    <w:rsid w:val="004B0386"/>
    <w:rsid w:val="004C1793"/>
    <w:rsid w:val="004D1C13"/>
    <w:rsid w:val="004D488F"/>
    <w:rsid w:val="004D5399"/>
    <w:rsid w:val="00513500"/>
    <w:rsid w:val="00513B76"/>
    <w:rsid w:val="0054589D"/>
    <w:rsid w:val="00547E95"/>
    <w:rsid w:val="0055091D"/>
    <w:rsid w:val="0058270C"/>
    <w:rsid w:val="00585989"/>
    <w:rsid w:val="005F212A"/>
    <w:rsid w:val="005F5097"/>
    <w:rsid w:val="006041E4"/>
    <w:rsid w:val="00614409"/>
    <w:rsid w:val="00627BE0"/>
    <w:rsid w:val="00632A2A"/>
    <w:rsid w:val="00636C4D"/>
    <w:rsid w:val="00641132"/>
    <w:rsid w:val="006712D7"/>
    <w:rsid w:val="00672DA3"/>
    <w:rsid w:val="006835FD"/>
    <w:rsid w:val="00683B21"/>
    <w:rsid w:val="00685AEA"/>
    <w:rsid w:val="00694FD3"/>
    <w:rsid w:val="006B15AF"/>
    <w:rsid w:val="006C24CF"/>
    <w:rsid w:val="006C2F72"/>
    <w:rsid w:val="006C4292"/>
    <w:rsid w:val="006C4A27"/>
    <w:rsid w:val="006C4E5D"/>
    <w:rsid w:val="006C5921"/>
    <w:rsid w:val="006D69BA"/>
    <w:rsid w:val="006F7AA4"/>
    <w:rsid w:val="00717B9B"/>
    <w:rsid w:val="007276BE"/>
    <w:rsid w:val="00737520"/>
    <w:rsid w:val="007400C6"/>
    <w:rsid w:val="00751D1F"/>
    <w:rsid w:val="007524A4"/>
    <w:rsid w:val="007571AA"/>
    <w:rsid w:val="00777682"/>
    <w:rsid w:val="00791B53"/>
    <w:rsid w:val="007D4577"/>
    <w:rsid w:val="007D5AF0"/>
    <w:rsid w:val="007D6F88"/>
    <w:rsid w:val="007E4C86"/>
    <w:rsid w:val="007F3863"/>
    <w:rsid w:val="007F7FD6"/>
    <w:rsid w:val="008012B1"/>
    <w:rsid w:val="00802CDD"/>
    <w:rsid w:val="0080539D"/>
    <w:rsid w:val="00833F88"/>
    <w:rsid w:val="00834018"/>
    <w:rsid w:val="0083648C"/>
    <w:rsid w:val="008413B2"/>
    <w:rsid w:val="00864E8A"/>
    <w:rsid w:val="00865902"/>
    <w:rsid w:val="00866647"/>
    <w:rsid w:val="00873FE5"/>
    <w:rsid w:val="0088016A"/>
    <w:rsid w:val="008A70BF"/>
    <w:rsid w:val="008B1012"/>
    <w:rsid w:val="008B705D"/>
    <w:rsid w:val="008D0836"/>
    <w:rsid w:val="008D4193"/>
    <w:rsid w:val="008E3833"/>
    <w:rsid w:val="008E7D5D"/>
    <w:rsid w:val="008F085F"/>
    <w:rsid w:val="008F4CD6"/>
    <w:rsid w:val="00901153"/>
    <w:rsid w:val="009201CD"/>
    <w:rsid w:val="00920335"/>
    <w:rsid w:val="0092176F"/>
    <w:rsid w:val="00924669"/>
    <w:rsid w:val="00936694"/>
    <w:rsid w:val="00943422"/>
    <w:rsid w:val="00954CDA"/>
    <w:rsid w:val="009619E0"/>
    <w:rsid w:val="00972D0A"/>
    <w:rsid w:val="009733E9"/>
    <w:rsid w:val="009818CE"/>
    <w:rsid w:val="00984AB6"/>
    <w:rsid w:val="0098559F"/>
    <w:rsid w:val="009A6467"/>
    <w:rsid w:val="009A7EE6"/>
    <w:rsid w:val="009B1DE3"/>
    <w:rsid w:val="009B1F51"/>
    <w:rsid w:val="009D0CAD"/>
    <w:rsid w:val="009D2ED6"/>
    <w:rsid w:val="009D4352"/>
    <w:rsid w:val="009E11B2"/>
    <w:rsid w:val="00A04083"/>
    <w:rsid w:val="00A27CE0"/>
    <w:rsid w:val="00A30D05"/>
    <w:rsid w:val="00A36AC6"/>
    <w:rsid w:val="00A67D93"/>
    <w:rsid w:val="00A70669"/>
    <w:rsid w:val="00A771C4"/>
    <w:rsid w:val="00A81727"/>
    <w:rsid w:val="00AC0459"/>
    <w:rsid w:val="00AC12F1"/>
    <w:rsid w:val="00AD0505"/>
    <w:rsid w:val="00AD2EFF"/>
    <w:rsid w:val="00AE35E7"/>
    <w:rsid w:val="00AF0AC1"/>
    <w:rsid w:val="00B00145"/>
    <w:rsid w:val="00B047E2"/>
    <w:rsid w:val="00B0594B"/>
    <w:rsid w:val="00B11524"/>
    <w:rsid w:val="00B234C1"/>
    <w:rsid w:val="00B317A5"/>
    <w:rsid w:val="00B325A6"/>
    <w:rsid w:val="00B32D70"/>
    <w:rsid w:val="00B40487"/>
    <w:rsid w:val="00B41EA1"/>
    <w:rsid w:val="00B47542"/>
    <w:rsid w:val="00B62A26"/>
    <w:rsid w:val="00B90649"/>
    <w:rsid w:val="00B96516"/>
    <w:rsid w:val="00BA0D98"/>
    <w:rsid w:val="00BA17BB"/>
    <w:rsid w:val="00BA1D0A"/>
    <w:rsid w:val="00BA30CE"/>
    <w:rsid w:val="00BA7108"/>
    <w:rsid w:val="00BA72BE"/>
    <w:rsid w:val="00BB3A1E"/>
    <w:rsid w:val="00BC6C77"/>
    <w:rsid w:val="00BD0190"/>
    <w:rsid w:val="00BD692E"/>
    <w:rsid w:val="00BE677A"/>
    <w:rsid w:val="00BF3DDA"/>
    <w:rsid w:val="00BF3E3C"/>
    <w:rsid w:val="00BF557A"/>
    <w:rsid w:val="00BF5FAE"/>
    <w:rsid w:val="00C03BC9"/>
    <w:rsid w:val="00C253EB"/>
    <w:rsid w:val="00C55090"/>
    <w:rsid w:val="00C60B1C"/>
    <w:rsid w:val="00C649D7"/>
    <w:rsid w:val="00C71D8C"/>
    <w:rsid w:val="00C76A9E"/>
    <w:rsid w:val="00C83475"/>
    <w:rsid w:val="00C95328"/>
    <w:rsid w:val="00CB7B6B"/>
    <w:rsid w:val="00CC3827"/>
    <w:rsid w:val="00CD5BB8"/>
    <w:rsid w:val="00CE0015"/>
    <w:rsid w:val="00CF7CD3"/>
    <w:rsid w:val="00D03083"/>
    <w:rsid w:val="00D05ED2"/>
    <w:rsid w:val="00D2429C"/>
    <w:rsid w:val="00D30095"/>
    <w:rsid w:val="00D34645"/>
    <w:rsid w:val="00D45674"/>
    <w:rsid w:val="00D473B0"/>
    <w:rsid w:val="00D611D7"/>
    <w:rsid w:val="00D923EC"/>
    <w:rsid w:val="00D9613C"/>
    <w:rsid w:val="00DA0747"/>
    <w:rsid w:val="00DC0686"/>
    <w:rsid w:val="00DE6732"/>
    <w:rsid w:val="00DF7F7B"/>
    <w:rsid w:val="00E101BF"/>
    <w:rsid w:val="00E4060A"/>
    <w:rsid w:val="00E517AD"/>
    <w:rsid w:val="00E60E16"/>
    <w:rsid w:val="00E6580A"/>
    <w:rsid w:val="00E722AE"/>
    <w:rsid w:val="00E73855"/>
    <w:rsid w:val="00E8346D"/>
    <w:rsid w:val="00E87BAF"/>
    <w:rsid w:val="00E93FC4"/>
    <w:rsid w:val="00E94380"/>
    <w:rsid w:val="00EA032E"/>
    <w:rsid w:val="00EB2DF2"/>
    <w:rsid w:val="00EE02DE"/>
    <w:rsid w:val="00EE2B22"/>
    <w:rsid w:val="00EE6933"/>
    <w:rsid w:val="00EF0159"/>
    <w:rsid w:val="00F04A67"/>
    <w:rsid w:val="00F065FD"/>
    <w:rsid w:val="00F221F3"/>
    <w:rsid w:val="00F2454D"/>
    <w:rsid w:val="00F25DB0"/>
    <w:rsid w:val="00F447EA"/>
    <w:rsid w:val="00F53F1E"/>
    <w:rsid w:val="00F6448B"/>
    <w:rsid w:val="00F64797"/>
    <w:rsid w:val="00F71E01"/>
    <w:rsid w:val="00F83D25"/>
    <w:rsid w:val="00F90902"/>
    <w:rsid w:val="00F90B87"/>
    <w:rsid w:val="00FA2051"/>
    <w:rsid w:val="00FD378B"/>
    <w:rsid w:val="00FE1615"/>
    <w:rsid w:val="00FF6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DAF40"/>
  <w15:chartTrackingRefBased/>
  <w15:docId w15:val="{EE3277D1-75F1-49E7-ABDC-8A33D895E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B1C"/>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C60B1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C60B1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C60B1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unhideWhenUsed/>
    <w:qFormat/>
    <w:rsid w:val="00C60B1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C60B1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C60B1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C60B1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60B1C"/>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60B1C"/>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0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B1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C60B1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C60B1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C60B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B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B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B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B1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60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B1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60B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B1C"/>
    <w:pPr>
      <w:spacing w:before="160" w:after="160" w:line="278" w:lineRule="auto"/>
      <w:jc w:val="center"/>
    </w:pPr>
    <w:rPr>
      <w:rFonts w:ascii="Times New Roman" w:eastAsiaTheme="minorHAnsi" w:hAnsi="Times New Roman"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60B1C"/>
    <w:rPr>
      <w:i/>
      <w:iCs/>
      <w:color w:val="404040" w:themeColor="text1" w:themeTint="BF"/>
    </w:rPr>
  </w:style>
  <w:style w:type="paragraph" w:styleId="ListParagraph">
    <w:name w:val="List Paragraph"/>
    <w:basedOn w:val="Normal"/>
    <w:uiPriority w:val="34"/>
    <w:qFormat/>
    <w:rsid w:val="00C60B1C"/>
    <w:pPr>
      <w:spacing w:after="160" w:line="278" w:lineRule="auto"/>
      <w:ind w:left="720"/>
      <w:contextualSpacing/>
    </w:pPr>
    <w:rPr>
      <w:rFonts w:ascii="Times New Roman" w:eastAsiaTheme="minorHAnsi" w:hAnsi="Times New Roman" w:cstheme="minorBidi"/>
      <w:kern w:val="2"/>
      <w:sz w:val="24"/>
      <w:szCs w:val="24"/>
      <w:lang w:val="en-US"/>
      <w14:ligatures w14:val="standardContextual"/>
    </w:rPr>
  </w:style>
  <w:style w:type="character" w:styleId="IntenseEmphasis">
    <w:name w:val="Intense Emphasis"/>
    <w:basedOn w:val="DefaultParagraphFont"/>
    <w:uiPriority w:val="21"/>
    <w:qFormat/>
    <w:rsid w:val="00C60B1C"/>
    <w:rPr>
      <w:i/>
      <w:iCs/>
      <w:color w:val="0F4761" w:themeColor="accent1" w:themeShade="BF"/>
    </w:rPr>
  </w:style>
  <w:style w:type="paragraph" w:styleId="IntenseQuote">
    <w:name w:val="Intense Quote"/>
    <w:basedOn w:val="Normal"/>
    <w:next w:val="Normal"/>
    <w:link w:val="IntenseQuoteChar"/>
    <w:uiPriority w:val="30"/>
    <w:qFormat/>
    <w:rsid w:val="00C60B1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60B1C"/>
    <w:rPr>
      <w:i/>
      <w:iCs/>
      <w:color w:val="0F4761" w:themeColor="accent1" w:themeShade="BF"/>
    </w:rPr>
  </w:style>
  <w:style w:type="character" w:styleId="IntenseReference">
    <w:name w:val="Intense Reference"/>
    <w:basedOn w:val="DefaultParagraphFont"/>
    <w:uiPriority w:val="32"/>
    <w:qFormat/>
    <w:rsid w:val="00C60B1C"/>
    <w:rPr>
      <w:b/>
      <w:bCs/>
      <w:smallCaps/>
      <w:color w:val="0F4761" w:themeColor="accent1" w:themeShade="BF"/>
      <w:spacing w:val="5"/>
    </w:rPr>
  </w:style>
  <w:style w:type="table" w:styleId="TableGrid">
    <w:name w:val="Table Grid"/>
    <w:basedOn w:val="TableNormal"/>
    <w:uiPriority w:val="39"/>
    <w:rsid w:val="00272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0AC1"/>
    <w:pPr>
      <w:tabs>
        <w:tab w:val="center" w:pos="4680"/>
        <w:tab w:val="right" w:pos="9360"/>
      </w:tabs>
      <w:spacing w:line="240" w:lineRule="auto"/>
    </w:pPr>
  </w:style>
  <w:style w:type="character" w:customStyle="1" w:styleId="HeaderChar">
    <w:name w:val="Header Char"/>
    <w:basedOn w:val="DefaultParagraphFont"/>
    <w:link w:val="Header"/>
    <w:uiPriority w:val="99"/>
    <w:rsid w:val="00AF0AC1"/>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AF0AC1"/>
    <w:pPr>
      <w:tabs>
        <w:tab w:val="center" w:pos="4680"/>
        <w:tab w:val="right" w:pos="9360"/>
      </w:tabs>
      <w:spacing w:line="240" w:lineRule="auto"/>
    </w:pPr>
  </w:style>
  <w:style w:type="character" w:customStyle="1" w:styleId="FooterChar">
    <w:name w:val="Footer Char"/>
    <w:basedOn w:val="DefaultParagraphFont"/>
    <w:link w:val="Footer"/>
    <w:uiPriority w:val="99"/>
    <w:rsid w:val="00AF0AC1"/>
    <w:rPr>
      <w:rFonts w:ascii="Arial" w:eastAsia="Arial" w:hAnsi="Arial" w:cs="Arial"/>
      <w:kern w:val="0"/>
      <w:sz w:val="22"/>
      <w:szCs w:val="22"/>
      <w:lang w:val="en"/>
      <w14:ligatures w14:val="none"/>
    </w:rPr>
  </w:style>
  <w:style w:type="character" w:styleId="Hyperlink">
    <w:name w:val="Hyperlink"/>
    <w:basedOn w:val="DefaultParagraphFont"/>
    <w:uiPriority w:val="99"/>
    <w:unhideWhenUsed/>
    <w:rsid w:val="0058270C"/>
    <w:rPr>
      <w:color w:val="467886" w:themeColor="hyperlink"/>
      <w:u w:val="single"/>
    </w:rPr>
  </w:style>
  <w:style w:type="character" w:styleId="UnresolvedMention">
    <w:name w:val="Unresolved Mention"/>
    <w:basedOn w:val="DefaultParagraphFont"/>
    <w:uiPriority w:val="99"/>
    <w:semiHidden/>
    <w:unhideWhenUsed/>
    <w:rsid w:val="00582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pest.org/wea/ALB_model_v11.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spest.org/DDRP"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aphis.usda.gov/plant-pests-diseases/alb" TargetMode="External"/><Relationship Id="rId5" Type="http://schemas.openxmlformats.org/officeDocument/2006/relationships/footnotes" Target="footnotes.xml"/><Relationship Id="rId10" Type="http://schemas.openxmlformats.org/officeDocument/2006/relationships/hyperlink" Target="https://www.ncei.noaa.gov/products/land-based-station/us-climate-normals?utm_source=chatgpt.com" TargetMode="External"/><Relationship Id="rId4" Type="http://schemas.openxmlformats.org/officeDocument/2006/relationships/webSettings" Target="webSettings.xml"/><Relationship Id="rId9" Type="http://schemas.openxmlformats.org/officeDocument/2006/relationships/hyperlink" Target="https://gd.eppo.int/taxon/CHILS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F5B2C-1411-4C72-95CF-1C66E4602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2807</TotalTime>
  <Pages>8</Pages>
  <Words>2785</Words>
  <Characters>15878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Barker, Brittany S</dc:creator>
  <cp:keywords/>
  <dc:description/>
  <cp:lastModifiedBy>Barker, Brittany S</cp:lastModifiedBy>
  <cp:revision>21</cp:revision>
  <dcterms:created xsi:type="dcterms:W3CDTF">2026-04-23T18:16:00Z</dcterms:created>
  <dcterms:modified xsi:type="dcterms:W3CDTF">2026-10-08T02:54:00Z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http://www.zotero.org/styles/harvard-cite-them-right</vt:lpwstr>
  </property>
  <property fmtid="{D5CDD505-2E9C-101B-9397-08002B2CF9AE}" pid="5" name="Mendeley Recent Style Name 1_1">
    <vt:lpwstr>Cite Them Right 12th edition - Harvard</vt:lpwstr>
  </property>
  <property fmtid="{D5CDD505-2E9C-101B-9397-08002B2CF9AE}" pid="6" name="Mendeley Recent Style Id 2_1">
    <vt:lpwstr>http://www.zotero.org/styles/ecological-applications</vt:lpwstr>
  </property>
  <property fmtid="{D5CDD505-2E9C-101B-9397-08002B2CF9AE}" pid="7" name="Mendeley Recent Style Name 2_1">
    <vt:lpwstr>Ecological Applications</vt:lpwstr>
  </property>
  <property fmtid="{D5CDD505-2E9C-101B-9397-08002B2CF9AE}" pid="8" name="Mendeley Recent Style Id 3_1">
    <vt:lpwstr>https://csl.mendeley.com/styles/3300901/entomological-society-of-america</vt:lpwstr>
  </property>
  <property fmtid="{D5CDD505-2E9C-101B-9397-08002B2CF9AE}" pid="9" name="Mendeley Recent Style Name 3_1">
    <vt:lpwstr>Entomological Society of America - Brittany Barker</vt:lpwstr>
  </property>
  <property fmtid="{D5CDD505-2E9C-101B-9397-08002B2CF9AE}" pid="10" name="Mendeley Recent Style Id 4_1">
    <vt:lpwstr>http://www.zotero.org/styles/environmental-entomology</vt:lpwstr>
  </property>
  <property fmtid="{D5CDD505-2E9C-101B-9397-08002B2CF9AE}" pid="11" name="Mendeley Recent Style Name 4_1">
    <vt:lpwstr>Environmental Entomology</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http://www.zotero.org/styles/journal-of-economic-entomology</vt:lpwstr>
  </property>
  <property fmtid="{D5CDD505-2E9C-101B-9397-08002B2CF9AE}" pid="15" name="Mendeley Recent Style Name 6_1">
    <vt:lpwstr>Journal of Economic Entomology</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http://www.zotero.org/styles/peerj</vt:lpwstr>
  </property>
  <property fmtid="{D5CDD505-2E9C-101B-9397-08002B2CF9AE}" pid="21" name="Mendeley Recent Style Name 9_1">
    <vt:lpwstr>PeerJ</vt:lpwstr>
  </property>
  <property fmtid="{D5CDD505-2E9C-101B-9397-08002B2CF9AE}" pid="22" name="Mendeley Document_1">
    <vt:lpwstr>True</vt:lpwstr>
  </property>
  <property fmtid="{D5CDD505-2E9C-101B-9397-08002B2CF9AE}" pid="23" name="Mendeley Unique User Id_1">
    <vt:lpwstr>b6faf91e-2141-35e3-a497-45679276b8c1</vt:lpwstr>
  </property>
  <property fmtid="{D5CDD505-2E9C-101B-9397-08002B2CF9AE}" pid="24" name="Mendeley Citation Style_1">
    <vt:lpwstr>http://www.zotero.org/styles/peerj</vt:lpwstr>
  </property>
</Properties>
</file>