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ListParagraph"/>
        <w:numPr>
          <w:ilvl w:val="0"/>
          <w:numId w:val="1"/>
        </w:numPr>
        <w:tabs>
          <w:tab w:pos="603" w:val="left" w:leader="none"/>
        </w:tabs>
        <w:spacing w:line="240" w:lineRule="auto" w:before="122" w:after="0"/>
        <w:ind w:left="603" w:right="0" w:hanging="473"/>
        <w:jc w:val="left"/>
        <w:rPr>
          <w:rFonts w:ascii="Palatino Linotype"/>
          <w:b/>
          <w:sz w:val="34"/>
        </w:rPr>
      </w:pPr>
      <w:r>
        <w:rPr>
          <w:rFonts w:ascii="Palatino Linotype"/>
          <w:b/>
          <w:sz w:val="34"/>
        </w:rPr>
        <w:t>False</w:t>
      </w:r>
      <w:r>
        <w:rPr>
          <w:rFonts w:ascii="Palatino Linotype"/>
          <w:b/>
          <w:spacing w:val="49"/>
          <w:sz w:val="34"/>
        </w:rPr>
        <w:t> </w:t>
      </w:r>
      <w:r>
        <w:rPr>
          <w:rFonts w:ascii="Palatino Linotype"/>
          <w:b/>
          <w:sz w:val="34"/>
        </w:rPr>
        <w:t>codling</w:t>
      </w:r>
      <w:r>
        <w:rPr>
          <w:rFonts w:ascii="Palatino Linotype"/>
          <w:b/>
          <w:spacing w:val="49"/>
          <w:sz w:val="34"/>
        </w:rPr>
        <w:t> </w:t>
      </w:r>
      <w:r>
        <w:rPr>
          <w:rFonts w:ascii="Palatino Linotype"/>
          <w:b/>
          <w:sz w:val="34"/>
        </w:rPr>
        <w:t>moth</w:t>
      </w:r>
      <w:r>
        <w:rPr>
          <w:rFonts w:ascii="Palatino Linotype"/>
          <w:b/>
          <w:spacing w:val="49"/>
          <w:sz w:val="34"/>
        </w:rPr>
        <w:t> </w:t>
      </w:r>
      <w:r>
        <w:rPr>
          <w:rFonts w:ascii="Palatino Linotype"/>
          <w:b/>
          <w:sz w:val="34"/>
        </w:rPr>
        <w:t>(</w:t>
      </w:r>
      <w:r>
        <w:rPr>
          <w:rFonts w:ascii="Georgia"/>
          <w:b/>
          <w:i/>
          <w:sz w:val="34"/>
        </w:rPr>
        <w:t>Thaumatotibia</w:t>
      </w:r>
      <w:r>
        <w:rPr>
          <w:rFonts w:ascii="Georgia"/>
          <w:b/>
          <w:i/>
          <w:spacing w:val="60"/>
          <w:sz w:val="34"/>
        </w:rPr>
        <w:t> </w:t>
      </w:r>
      <w:r>
        <w:rPr>
          <w:rFonts w:ascii="Georgia"/>
          <w:b/>
          <w:i/>
          <w:spacing w:val="-2"/>
          <w:sz w:val="34"/>
        </w:rPr>
        <w:t>leucotreta</w:t>
      </w:r>
      <w:r>
        <w:rPr>
          <w:rFonts w:ascii="Palatino Linotype"/>
          <w:b/>
          <w:spacing w:val="-2"/>
          <w:sz w:val="34"/>
        </w:rPr>
        <w:t>)</w:t>
      </w:r>
    </w:p>
    <w:p>
      <w:pPr>
        <w:spacing w:before="376"/>
        <w:ind w:left="130" w:right="0" w:firstLine="0"/>
        <w:jc w:val="left"/>
        <w:rPr>
          <w:sz w:val="24"/>
        </w:rPr>
      </w:pPr>
      <w:r>
        <w:rPr>
          <w:spacing w:val="-2"/>
          <w:sz w:val="24"/>
        </w:rPr>
        <w:t>Last</w:t>
      </w:r>
      <w:r>
        <w:rPr>
          <w:sz w:val="24"/>
        </w:rPr>
        <w:t> </w:t>
      </w:r>
      <w:r>
        <w:rPr>
          <w:spacing w:val="-2"/>
          <w:sz w:val="24"/>
        </w:rPr>
        <w:t>modified:</w:t>
      </w:r>
      <w:r>
        <w:rPr>
          <w:spacing w:val="21"/>
          <w:sz w:val="24"/>
        </w:rPr>
        <w:t> </w:t>
      </w:r>
      <w:r>
        <w:rPr>
          <w:spacing w:val="-2"/>
          <w:sz w:val="24"/>
        </w:rPr>
        <w:t>October</w:t>
      </w:r>
      <w:r>
        <w:rPr>
          <w:sz w:val="24"/>
        </w:rPr>
        <w:t> </w:t>
      </w:r>
      <w:r>
        <w:rPr>
          <w:spacing w:val="-2"/>
          <w:sz w:val="24"/>
        </w:rPr>
        <w:t>16,</w:t>
      </w:r>
      <w:r>
        <w:rPr>
          <w:sz w:val="24"/>
        </w:rPr>
        <w:t> </w:t>
      </w:r>
      <w:r>
        <w:rPr>
          <w:spacing w:val="-4"/>
          <w:sz w:val="24"/>
        </w:rPr>
        <w:t>2026</w:t>
      </w:r>
    </w:p>
    <w:p>
      <w:pPr>
        <w:pStyle w:val="BodyText"/>
        <w:spacing w:before="295"/>
        <w:rPr>
          <w:sz w:val="24"/>
        </w:rPr>
      </w:pPr>
    </w:p>
    <w:p>
      <w:pPr>
        <w:pStyle w:val="Heading1"/>
        <w:rPr>
          <w:b w:val="0"/>
        </w:rPr>
      </w:pPr>
      <w:bookmarkStart w:name="6A. Introduction" w:id="1"/>
      <w:bookmarkEnd w:id="1"/>
      <w:r>
        <w:rPr>
          <w:b w:val="0"/>
        </w:rPr>
      </w:r>
      <w:r>
        <w:rPr>
          <w:b w:val="0"/>
          <w:w w:val="95"/>
        </w:rPr>
        <w:t>6A.</w:t>
      </w:r>
      <w:r>
        <w:rPr>
          <w:b w:val="0"/>
          <w:spacing w:val="-15"/>
          <w:w w:val="95"/>
        </w:rPr>
        <w:t> </w:t>
      </w:r>
      <w:r>
        <w:rPr>
          <w:b w:val="0"/>
          <w:spacing w:val="-2"/>
          <w:w w:val="95"/>
        </w:rPr>
        <w:t>Introduction</w:t>
      </w:r>
    </w:p>
    <w:p>
      <w:pPr>
        <w:pStyle w:val="BodyText"/>
        <w:spacing w:line="218" w:lineRule="auto" w:before="99"/>
        <w:ind w:left="104" w:right="98" w:firstLine="25"/>
        <w:jc w:val="both"/>
      </w:pPr>
      <w:r>
        <w:rPr/>
        <w:t>Native to sub-Saharan Africa, the false codling moth (FCM), </w:t>
      </w:r>
      <w:r>
        <w:rPr>
          <w:i/>
        </w:rPr>
        <w:t>Thaumatotibia leucotreta </w:t>
      </w:r>
      <w:r>
        <w:rPr/>
        <w:t>Meyrick (Lepidoptera: Tortricidae),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highly</w:t>
      </w:r>
      <w:r>
        <w:rPr>
          <w:spacing w:val="-12"/>
        </w:rPr>
        <w:t> </w:t>
      </w:r>
      <w:r>
        <w:rPr/>
        <w:t>polyphagous</w:t>
      </w:r>
      <w:r>
        <w:rPr>
          <w:spacing w:val="-12"/>
        </w:rPr>
        <w:t> </w:t>
      </w:r>
      <w:r>
        <w:rPr/>
        <w:t>pest</w:t>
      </w:r>
      <w:r>
        <w:rPr>
          <w:spacing w:val="-12"/>
        </w:rPr>
        <w:t> </w:t>
      </w:r>
      <w:r>
        <w:rPr/>
        <w:t>distributed</w:t>
      </w:r>
      <w:r>
        <w:rPr>
          <w:spacing w:val="-12"/>
        </w:rPr>
        <w:t> </w:t>
      </w:r>
      <w:r>
        <w:rPr/>
        <w:t>throughout</w:t>
      </w:r>
      <w:r>
        <w:rPr>
          <w:spacing w:val="-12"/>
        </w:rPr>
        <w:t> </w:t>
      </w:r>
      <w:r>
        <w:rPr/>
        <w:t>much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Africa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parts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Middle</w:t>
      </w:r>
      <w:r>
        <w:rPr>
          <w:spacing w:val="-12"/>
        </w:rPr>
        <w:t> </w:t>
      </w:r>
      <w:r>
        <w:rPr/>
        <w:t>East, including</w:t>
      </w:r>
      <w:r>
        <w:rPr>
          <w:spacing w:val="-8"/>
        </w:rPr>
        <w:t> </w:t>
      </w:r>
      <w:r>
        <w:rPr/>
        <w:t>Israel</w:t>
      </w:r>
      <w:r>
        <w:rPr>
          <w:spacing w:val="-8"/>
        </w:rPr>
        <w:t> </w:t>
      </w:r>
      <w:r>
        <w:rPr/>
        <w:t>(</w:t>
      </w:r>
      <w:hyperlink w:history="true" w:anchor="_bookmark11">
        <w:r>
          <w:rPr>
            <w:color w:val="0000FF"/>
          </w:rPr>
          <w:t>Carstens</w:t>
        </w:r>
        <w:r>
          <w:rPr>
            <w:color w:val="0000FF"/>
            <w:spacing w:val="-8"/>
          </w:rPr>
          <w:t> </w:t>
        </w:r>
        <w:r>
          <w:rPr>
            <w:color w:val="0000FF"/>
          </w:rPr>
          <w:t>and</w:t>
        </w:r>
        <w:r>
          <w:rPr>
            <w:color w:val="0000FF"/>
            <w:spacing w:val="-8"/>
          </w:rPr>
          <w:t> </w:t>
        </w:r>
        <w:r>
          <w:rPr>
            <w:color w:val="0000FF"/>
          </w:rPr>
          <w:t>Moore</w:t>
        </w:r>
        <w:r>
          <w:rPr>
            <w:color w:val="0000FF"/>
            <w:spacing w:val="-8"/>
          </w:rPr>
          <w:t> </w:t>
        </w:r>
        <w:r>
          <w:rPr>
            <w:color w:val="0000FF"/>
          </w:rPr>
          <w:t>2020</w:t>
        </w:r>
      </w:hyperlink>
      <w:r>
        <w:rPr/>
        <w:t>). Economically</w:t>
      </w:r>
      <w:r>
        <w:rPr>
          <w:spacing w:val="-8"/>
        </w:rPr>
        <w:t> </w:t>
      </w:r>
      <w:r>
        <w:rPr/>
        <w:t>important</w:t>
      </w:r>
      <w:r>
        <w:rPr>
          <w:spacing w:val="-8"/>
        </w:rPr>
        <w:t> </w:t>
      </w:r>
      <w:r>
        <w:rPr/>
        <w:t>hosts</w:t>
      </w:r>
      <w:r>
        <w:rPr>
          <w:spacing w:val="-8"/>
        </w:rPr>
        <w:t> </w:t>
      </w:r>
      <w:r>
        <w:rPr/>
        <w:t>include</w:t>
      </w:r>
      <w:r>
        <w:rPr>
          <w:spacing w:val="-8"/>
        </w:rPr>
        <w:t> </w:t>
      </w:r>
      <w:r>
        <w:rPr/>
        <w:t>avocado,</w:t>
      </w:r>
      <w:r>
        <w:rPr>
          <w:spacing w:val="-8"/>
        </w:rPr>
        <w:t> </w:t>
      </w:r>
      <w:r>
        <w:rPr/>
        <w:t>Citrus</w:t>
      </w:r>
      <w:r>
        <w:rPr>
          <w:spacing w:val="-8"/>
        </w:rPr>
        <w:t> </w:t>
      </w:r>
      <w:r>
        <w:rPr/>
        <w:t>spp.,</w:t>
      </w:r>
      <w:r>
        <w:rPr>
          <w:spacing w:val="-8"/>
        </w:rPr>
        <w:t> </w:t>
      </w:r>
      <w:r>
        <w:rPr/>
        <w:t>corn, cotton,</w:t>
      </w:r>
      <w:r>
        <w:rPr>
          <w:spacing w:val="-3"/>
        </w:rPr>
        <w:t> </w:t>
      </w:r>
      <w:r>
        <w:rPr/>
        <w:t>eggplant,</w:t>
      </w:r>
      <w:r>
        <w:rPr>
          <w:spacing w:val="-3"/>
        </w:rPr>
        <w:t> </w:t>
      </w:r>
      <w:r>
        <w:rPr/>
        <w:t>grapes,</w:t>
      </w:r>
      <w:r>
        <w:rPr>
          <w:spacing w:val="-3"/>
        </w:rPr>
        <w:t> </w:t>
      </w:r>
      <w:r>
        <w:rPr/>
        <w:t>stone</w:t>
      </w:r>
      <w:r>
        <w:rPr>
          <w:spacing w:val="-3"/>
        </w:rPr>
        <w:t> </w:t>
      </w:r>
      <w:r>
        <w:rPr/>
        <w:t>fruits,</w:t>
      </w:r>
      <w:r>
        <w:rPr>
          <w:spacing w:val="-3"/>
        </w:rPr>
        <w:t> </w:t>
      </w:r>
      <w:r>
        <w:rPr/>
        <w:t>peppers,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cut</w:t>
      </w:r>
      <w:r>
        <w:rPr>
          <w:spacing w:val="-3"/>
        </w:rPr>
        <w:t> </w:t>
      </w:r>
      <w:r>
        <w:rPr/>
        <w:t>roses</w:t>
      </w:r>
      <w:r>
        <w:rPr>
          <w:spacing w:val="-3"/>
        </w:rPr>
        <w:t> </w:t>
      </w:r>
      <w:r>
        <w:rPr/>
        <w:t>(</w:t>
      </w:r>
      <w:hyperlink w:history="true" w:anchor="_bookmark14">
        <w:r>
          <w:rPr>
            <w:color w:val="0000FF"/>
          </w:rPr>
          <w:t>EPPO</w:t>
        </w:r>
        <w:r>
          <w:rPr>
            <w:color w:val="0000FF"/>
            <w:spacing w:val="-3"/>
          </w:rPr>
          <w:t> </w:t>
        </w:r>
        <w:r>
          <w:rPr>
            <w:color w:val="0000FF"/>
          </w:rPr>
          <w:t>2025</w:t>
        </w:r>
      </w:hyperlink>
      <w:r>
        <w:rPr/>
        <w:t>). FCM</w:t>
      </w:r>
      <w:r>
        <w:rPr>
          <w:spacing w:val="-3"/>
        </w:rPr>
        <w:t> </w:t>
      </w:r>
      <w:r>
        <w:rPr/>
        <w:t>undergoes</w:t>
      </w:r>
      <w:r>
        <w:rPr>
          <w:spacing w:val="-3"/>
        </w:rPr>
        <w:t> </w:t>
      </w:r>
      <w:r>
        <w:rPr/>
        <w:t>five</w:t>
      </w:r>
      <w:r>
        <w:rPr>
          <w:spacing w:val="-3"/>
        </w:rPr>
        <w:t> </w:t>
      </w:r>
      <w:r>
        <w:rPr/>
        <w:t>larval</w:t>
      </w:r>
      <w:r>
        <w:rPr>
          <w:spacing w:val="-3"/>
        </w:rPr>
        <w:t> </w:t>
      </w:r>
      <w:r>
        <w:rPr/>
        <w:t>instars, during which larvae bore into and feed within plant tissues, particularly fruit, causing direct damage before exiting the host to form cocoons in the soil (</w:t>
      </w:r>
      <w:hyperlink w:history="true" w:anchor="_bookmark16">
        <w:r>
          <w:rPr>
            <w:color w:val="0000FF"/>
          </w:rPr>
          <w:t>NAPPFAST 2003</w:t>
        </w:r>
      </w:hyperlink>
      <w:r>
        <w:rPr/>
        <w:t>, </w:t>
      </w:r>
      <w:hyperlink w:history="true" w:anchor="_bookmark15">
        <w:r>
          <w:rPr>
            <w:color w:val="0000FF"/>
          </w:rPr>
          <w:t>Gilligan et al.</w:t>
        </w:r>
        <w:r>
          <w:rPr>
            <w:color w:val="0000FF"/>
            <w:spacing w:val="40"/>
          </w:rPr>
          <w:t> </w:t>
        </w:r>
        <w:r>
          <w:rPr>
            <w:color w:val="0000FF"/>
          </w:rPr>
          <w:t>2011</w:t>
        </w:r>
      </w:hyperlink>
      <w:r>
        <w:rPr/>
        <w:t>).</w:t>
      </w:r>
      <w:r>
        <w:rPr>
          <w:spacing w:val="40"/>
        </w:rPr>
        <w:t> </w:t>
      </w:r>
      <w:r>
        <w:rPr/>
        <w:t>In 2008, a single adult </w:t>
      </w:r>
      <w:r>
        <w:rPr>
          <w:spacing w:val="-2"/>
        </w:rPr>
        <w:t>male</w:t>
      </w:r>
      <w:r>
        <w:rPr>
          <w:spacing w:val="-8"/>
        </w:rPr>
        <w:t> </w:t>
      </w:r>
      <w:r>
        <w:rPr>
          <w:spacing w:val="-2"/>
        </w:rPr>
        <w:t>was</w:t>
      </w:r>
      <w:r>
        <w:rPr>
          <w:spacing w:val="-8"/>
        </w:rPr>
        <w:t> </w:t>
      </w:r>
      <w:r>
        <w:rPr>
          <w:spacing w:val="-2"/>
        </w:rPr>
        <w:t>discovered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Ventura</w:t>
      </w:r>
      <w:r>
        <w:rPr>
          <w:spacing w:val="-8"/>
        </w:rPr>
        <w:t> </w:t>
      </w:r>
      <w:r>
        <w:rPr>
          <w:spacing w:val="-2"/>
        </w:rPr>
        <w:t>County,</w:t>
      </w:r>
      <w:r>
        <w:rPr>
          <w:spacing w:val="-8"/>
        </w:rPr>
        <w:t> </w:t>
      </w:r>
      <w:r>
        <w:rPr>
          <w:spacing w:val="-2"/>
        </w:rPr>
        <w:t>California,</w:t>
      </w:r>
      <w:r>
        <w:rPr>
          <w:spacing w:val="-8"/>
        </w:rPr>
        <w:t> </w:t>
      </w:r>
      <w:r>
        <w:rPr>
          <w:spacing w:val="-2"/>
        </w:rPr>
        <w:t>representing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first</w:t>
      </w:r>
      <w:r>
        <w:rPr>
          <w:spacing w:val="-8"/>
        </w:rPr>
        <w:t> </w:t>
      </w:r>
      <w:r>
        <w:rPr>
          <w:spacing w:val="-2"/>
        </w:rPr>
        <w:t>domestic</w:t>
      </w:r>
      <w:r>
        <w:rPr>
          <w:spacing w:val="-8"/>
        </w:rPr>
        <w:t> </w:t>
      </w:r>
      <w:r>
        <w:rPr>
          <w:spacing w:val="-2"/>
        </w:rPr>
        <w:t>detection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FCM,</w:t>
      </w:r>
      <w:r>
        <w:rPr>
          <w:spacing w:val="-8"/>
        </w:rPr>
        <w:t> </w:t>
      </w:r>
      <w:r>
        <w:rPr>
          <w:spacing w:val="-2"/>
        </w:rPr>
        <w:t>extensive </w:t>
      </w:r>
      <w:r>
        <w:rPr/>
        <w:t>subsequent</w:t>
      </w:r>
      <w:r>
        <w:rPr>
          <w:spacing w:val="-3"/>
        </w:rPr>
        <w:t> </w:t>
      </w:r>
      <w:r>
        <w:rPr/>
        <w:t>trapping</w:t>
      </w:r>
      <w:r>
        <w:rPr>
          <w:spacing w:val="-3"/>
        </w:rPr>
        <w:t> </w:t>
      </w:r>
      <w:r>
        <w:rPr/>
        <w:t>failed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detect</w:t>
      </w:r>
      <w:r>
        <w:rPr>
          <w:spacing w:val="-3"/>
        </w:rPr>
        <w:t> </w:t>
      </w:r>
      <w:r>
        <w:rPr/>
        <w:t>additional</w:t>
      </w:r>
      <w:r>
        <w:rPr>
          <w:spacing w:val="-3"/>
        </w:rPr>
        <w:t> </w:t>
      </w:r>
      <w:r>
        <w:rPr/>
        <w:t>individuals,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introduction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successfully</w:t>
      </w:r>
      <w:r>
        <w:rPr>
          <w:spacing w:val="-3"/>
        </w:rPr>
        <w:t> </w:t>
      </w:r>
      <w:r>
        <w:rPr/>
        <w:t>eradicated (</w:t>
      </w:r>
      <w:hyperlink w:history="true" w:anchor="_bookmark15">
        <w:r>
          <w:rPr>
            <w:color w:val="0000FF"/>
          </w:rPr>
          <w:t>Gilligan</w:t>
        </w:r>
        <w:r>
          <w:rPr>
            <w:color w:val="0000FF"/>
            <w:spacing w:val="-6"/>
          </w:rPr>
          <w:t> </w:t>
        </w:r>
        <w:r>
          <w:rPr>
            <w:color w:val="0000FF"/>
          </w:rPr>
          <w:t>et</w:t>
        </w:r>
        <w:r>
          <w:rPr>
            <w:color w:val="0000FF"/>
            <w:spacing w:val="-6"/>
          </w:rPr>
          <w:t> </w:t>
        </w:r>
        <w:r>
          <w:rPr>
            <w:color w:val="0000FF"/>
          </w:rPr>
          <w:t>al. 2011</w:t>
        </w:r>
      </w:hyperlink>
      <w:r>
        <w:rPr/>
        <w:t>). Although</w:t>
      </w:r>
      <w:r>
        <w:rPr>
          <w:spacing w:val="-6"/>
        </w:rPr>
        <w:t> </w:t>
      </w:r>
      <w:r>
        <w:rPr/>
        <w:t>FCM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established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United</w:t>
      </w:r>
      <w:r>
        <w:rPr>
          <w:spacing w:val="-6"/>
        </w:rPr>
        <w:t> </w:t>
      </w:r>
      <w:r>
        <w:rPr/>
        <w:t>States,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has</w:t>
      </w:r>
      <w:r>
        <w:rPr>
          <w:spacing w:val="-6"/>
        </w:rPr>
        <w:t> </w:t>
      </w:r>
      <w:r>
        <w:rPr/>
        <w:t>been</w:t>
      </w:r>
      <w:r>
        <w:rPr>
          <w:spacing w:val="-6"/>
        </w:rPr>
        <w:t> </w:t>
      </w:r>
      <w:r>
        <w:rPr/>
        <w:t>repeatedly</w:t>
      </w:r>
      <w:r>
        <w:rPr>
          <w:spacing w:val="-6"/>
        </w:rPr>
        <w:t> </w:t>
      </w:r>
      <w:r>
        <w:rPr/>
        <w:t>intercepted at</w:t>
      </w:r>
      <w:r>
        <w:rPr>
          <w:spacing w:val="-8"/>
        </w:rPr>
        <w:t> </w:t>
      </w:r>
      <w:r>
        <w:rPr/>
        <w:t>United</w:t>
      </w:r>
      <w:r>
        <w:rPr>
          <w:spacing w:val="-8"/>
        </w:rPr>
        <w:t> </w:t>
      </w:r>
      <w:r>
        <w:rPr/>
        <w:t>States</w:t>
      </w:r>
      <w:r>
        <w:rPr>
          <w:spacing w:val="-8"/>
        </w:rPr>
        <w:t> </w:t>
      </w:r>
      <w:r>
        <w:rPr/>
        <w:t>ports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entry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both</w:t>
      </w:r>
      <w:r>
        <w:rPr>
          <w:spacing w:val="-8"/>
        </w:rPr>
        <w:t> </w:t>
      </w:r>
      <w:r>
        <w:rPr/>
        <w:t>cargo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passenger</w:t>
      </w:r>
      <w:r>
        <w:rPr>
          <w:spacing w:val="-8"/>
        </w:rPr>
        <w:t> </w:t>
      </w:r>
      <w:r>
        <w:rPr/>
        <w:t>baggage</w:t>
      </w:r>
      <w:r>
        <w:rPr>
          <w:spacing w:val="-8"/>
        </w:rPr>
        <w:t> </w:t>
      </w:r>
      <w:r>
        <w:rPr/>
        <w:t>(</w:t>
      </w:r>
      <w:hyperlink w:history="true" w:anchor="_bookmark20">
        <w:r>
          <w:rPr>
            <w:color w:val="0000FF"/>
          </w:rPr>
          <w:t>Stibick</w:t>
        </w:r>
        <w:r>
          <w:rPr>
            <w:color w:val="0000FF"/>
            <w:spacing w:val="-8"/>
          </w:rPr>
          <w:t> </w:t>
        </w:r>
        <w:r>
          <w:rPr>
            <w:color w:val="0000FF"/>
          </w:rPr>
          <w:t>2006</w:t>
        </w:r>
      </w:hyperlink>
      <w:r>
        <w:rPr/>
        <w:t>). If</w:t>
      </w:r>
      <w:r>
        <w:rPr>
          <w:spacing w:val="-8"/>
        </w:rPr>
        <w:t> </w:t>
      </w:r>
      <w:r>
        <w:rPr/>
        <w:t>established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United </w:t>
      </w:r>
      <w:r>
        <w:rPr>
          <w:spacing w:val="-2"/>
        </w:rPr>
        <w:t>States,</w:t>
      </w:r>
      <w:r>
        <w:rPr>
          <w:spacing w:val="-7"/>
        </w:rPr>
        <w:t> </w:t>
      </w:r>
      <w:r>
        <w:rPr>
          <w:spacing w:val="-2"/>
        </w:rPr>
        <w:t>FCM</w:t>
      </w:r>
      <w:r>
        <w:rPr>
          <w:spacing w:val="-7"/>
        </w:rPr>
        <w:t> </w:t>
      </w:r>
      <w:r>
        <w:rPr>
          <w:spacing w:val="-2"/>
        </w:rPr>
        <w:t>could</w:t>
      </w:r>
      <w:r>
        <w:rPr>
          <w:spacing w:val="-7"/>
        </w:rPr>
        <w:t> </w:t>
      </w:r>
      <w:r>
        <w:rPr>
          <w:spacing w:val="-2"/>
        </w:rPr>
        <w:t>cause</w:t>
      </w:r>
      <w:r>
        <w:rPr>
          <w:spacing w:val="-7"/>
        </w:rPr>
        <w:t> </w:t>
      </w:r>
      <w:r>
        <w:rPr>
          <w:spacing w:val="-2"/>
        </w:rPr>
        <w:t>substantial</w:t>
      </w:r>
      <w:r>
        <w:rPr>
          <w:spacing w:val="-7"/>
        </w:rPr>
        <w:t> </w:t>
      </w:r>
      <w:r>
        <w:rPr>
          <w:spacing w:val="-2"/>
        </w:rPr>
        <w:t>economic</w:t>
      </w:r>
      <w:r>
        <w:rPr>
          <w:spacing w:val="-7"/>
        </w:rPr>
        <w:t> </w:t>
      </w:r>
      <w:r>
        <w:rPr>
          <w:spacing w:val="-2"/>
        </w:rPr>
        <w:t>losses,</w:t>
      </w:r>
      <w:r>
        <w:rPr>
          <w:spacing w:val="-7"/>
        </w:rPr>
        <w:t> </w:t>
      </w:r>
      <w:r>
        <w:rPr>
          <w:spacing w:val="-2"/>
        </w:rPr>
        <w:t>potentially</w:t>
      </w:r>
      <w:r>
        <w:rPr>
          <w:spacing w:val="-7"/>
        </w:rPr>
        <w:t> </w:t>
      </w:r>
      <w:r>
        <w:rPr>
          <w:spacing w:val="-2"/>
        </w:rPr>
        <w:t>reaching</w:t>
      </w:r>
      <w:r>
        <w:rPr>
          <w:spacing w:val="-7"/>
        </w:rPr>
        <w:t> </w:t>
      </w:r>
      <w:r>
        <w:rPr>
          <w:spacing w:val="-2"/>
        </w:rPr>
        <w:t>billions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dollars</w:t>
      </w:r>
      <w:r>
        <w:rPr>
          <w:spacing w:val="-7"/>
        </w:rPr>
        <w:t> </w:t>
      </w:r>
      <w:r>
        <w:rPr>
          <w:spacing w:val="-2"/>
        </w:rPr>
        <w:t>(</w:t>
      </w:r>
      <w:hyperlink w:history="true" w:anchor="_bookmark21">
        <w:r>
          <w:rPr>
            <w:color w:val="0000FF"/>
            <w:spacing w:val="-2"/>
          </w:rPr>
          <w:t>Venette</w:t>
        </w:r>
        <w:r>
          <w:rPr>
            <w:color w:val="0000FF"/>
            <w:spacing w:val="-7"/>
          </w:rPr>
          <w:t> </w:t>
        </w:r>
        <w:r>
          <w:rPr>
            <w:color w:val="0000FF"/>
            <w:spacing w:val="-2"/>
          </w:rPr>
          <w:t>et</w:t>
        </w:r>
        <w:r>
          <w:rPr>
            <w:color w:val="0000FF"/>
            <w:spacing w:val="-7"/>
          </w:rPr>
          <w:t> </w:t>
        </w:r>
        <w:r>
          <w:rPr>
            <w:color w:val="0000FF"/>
            <w:spacing w:val="-2"/>
          </w:rPr>
          <w:t>al.</w:t>
        </w:r>
        <w:r>
          <w:rPr>
            <w:color w:val="0000FF"/>
            <w:spacing w:val="11"/>
          </w:rPr>
          <w:t> </w:t>
        </w:r>
        <w:r>
          <w:rPr>
            <w:color w:val="0000FF"/>
            <w:spacing w:val="-2"/>
          </w:rPr>
          <w:t>2003</w:t>
        </w:r>
      </w:hyperlink>
      <w:r>
        <w:rPr>
          <w:spacing w:val="-2"/>
        </w:rPr>
        <w:t>, </w:t>
      </w:r>
      <w:hyperlink w:history="true" w:anchor="_bookmark20">
        <w:r>
          <w:rPr>
            <w:color w:val="0000FF"/>
          </w:rPr>
          <w:t>Stibick 2006</w:t>
        </w:r>
      </w:hyperlink>
      <w:r>
        <w:rPr/>
        <w:t>).</w:t>
      </w:r>
    </w:p>
    <w:p>
      <w:pPr>
        <w:pStyle w:val="BodyText"/>
        <w:spacing w:line="218" w:lineRule="auto" w:before="11"/>
        <w:ind w:left="122" w:right="85" w:firstLine="368"/>
        <w:jc w:val="both"/>
      </w:pPr>
      <w:r>
        <w:rPr/>
        <w:t>A risk map for FCM based on biome similarities identified the western and southwestern United States, excluding the Pacific Coast, and small areas of Florida as suitable for establishment (</w:t>
      </w:r>
      <w:hyperlink w:history="true" w:anchor="_bookmark21">
        <w:r>
          <w:rPr>
            <w:color w:val="0000FF"/>
          </w:rPr>
          <w:t>Venette et al.</w:t>
        </w:r>
        <w:r>
          <w:rPr>
            <w:color w:val="0000FF"/>
            <w:spacing w:val="40"/>
          </w:rPr>
          <w:t> </w:t>
        </w:r>
        <w:r>
          <w:rPr>
            <w:color w:val="0000FF"/>
          </w:rPr>
          <w:t>2003</w:t>
        </w:r>
      </w:hyperlink>
      <w:r>
        <w:rPr/>
        <w:t>). </w:t>
      </w:r>
      <w:r>
        <w:rPr>
          <w:spacing w:val="-2"/>
        </w:rPr>
        <w:t>Although</w:t>
      </w:r>
      <w:r>
        <w:rPr>
          <w:spacing w:val="-9"/>
        </w:rPr>
        <w:t> </w:t>
      </w:r>
      <w:r>
        <w:rPr>
          <w:spacing w:val="-2"/>
        </w:rPr>
        <w:t>Mediterranean</w:t>
      </w:r>
      <w:r>
        <w:rPr>
          <w:spacing w:val="-9"/>
        </w:rPr>
        <w:t> </w:t>
      </w:r>
      <w:r>
        <w:rPr>
          <w:spacing w:val="-2"/>
        </w:rPr>
        <w:t>climates,</w:t>
      </w:r>
      <w:r>
        <w:rPr>
          <w:spacing w:val="-9"/>
        </w:rPr>
        <w:t> </w:t>
      </w:r>
      <w:r>
        <w:rPr>
          <w:spacing w:val="-2"/>
        </w:rPr>
        <w:t>including</w:t>
      </w:r>
      <w:r>
        <w:rPr>
          <w:spacing w:val="-9"/>
        </w:rPr>
        <w:t> </w:t>
      </w:r>
      <w:r>
        <w:rPr>
          <w:spacing w:val="-2"/>
        </w:rPr>
        <w:t>California,</w:t>
      </w:r>
      <w:r>
        <w:rPr>
          <w:spacing w:val="-9"/>
        </w:rPr>
        <w:t> </w:t>
      </w:r>
      <w:r>
        <w:rPr>
          <w:spacing w:val="-2"/>
        </w:rPr>
        <w:t>were</w:t>
      </w:r>
      <w:r>
        <w:rPr>
          <w:spacing w:val="-9"/>
        </w:rPr>
        <w:t> </w:t>
      </w:r>
      <w:r>
        <w:rPr>
          <w:spacing w:val="-2"/>
        </w:rPr>
        <w:t>previously</w:t>
      </w:r>
      <w:r>
        <w:rPr>
          <w:spacing w:val="-9"/>
        </w:rPr>
        <w:t> </w:t>
      </w:r>
      <w:r>
        <w:rPr>
          <w:spacing w:val="-2"/>
        </w:rPr>
        <w:t>considered</w:t>
      </w:r>
      <w:r>
        <w:rPr>
          <w:spacing w:val="-9"/>
        </w:rPr>
        <w:t> </w:t>
      </w:r>
      <w:r>
        <w:rPr>
          <w:spacing w:val="-2"/>
        </w:rPr>
        <w:t>unsuitable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FCM</w:t>
      </w:r>
      <w:r>
        <w:rPr>
          <w:spacing w:val="-9"/>
        </w:rPr>
        <w:t> </w:t>
      </w:r>
      <w:r>
        <w:rPr>
          <w:spacing w:val="-2"/>
        </w:rPr>
        <w:t>(</w:t>
      </w:r>
      <w:hyperlink w:history="true" w:anchor="_bookmark13">
        <w:r>
          <w:rPr>
            <w:color w:val="0000FF"/>
            <w:spacing w:val="-2"/>
          </w:rPr>
          <w:t>EPPO</w:t>
        </w:r>
      </w:hyperlink>
      <w:r>
        <w:rPr>
          <w:color w:val="0000FF"/>
          <w:spacing w:val="-2"/>
        </w:rPr>
        <w:t> </w:t>
      </w:r>
      <w:hyperlink w:history="true" w:anchor="_bookmark13">
        <w:r>
          <w:rPr>
            <w:color w:val="0000FF"/>
          </w:rPr>
          <w:t>2013</w:t>
        </w:r>
      </w:hyperlink>
      <w:r>
        <w:rPr/>
        <w:t>),</w:t>
      </w:r>
      <w:r>
        <w:rPr>
          <w:spacing w:val="-10"/>
        </w:rPr>
        <w:t> </w:t>
      </w:r>
      <w:r>
        <w:rPr/>
        <w:t>more</w:t>
      </w:r>
      <w:r>
        <w:rPr>
          <w:spacing w:val="-10"/>
        </w:rPr>
        <w:t> </w:t>
      </w:r>
      <w:r>
        <w:rPr/>
        <w:t>recent</w:t>
      </w:r>
      <w:r>
        <w:rPr>
          <w:spacing w:val="-10"/>
        </w:rPr>
        <w:t> </w:t>
      </w:r>
      <w:r>
        <w:rPr/>
        <w:t>modeling</w:t>
      </w:r>
      <w:r>
        <w:rPr>
          <w:spacing w:val="-10"/>
        </w:rPr>
        <w:t> </w:t>
      </w:r>
      <w:r>
        <w:rPr/>
        <w:t>predicted</w:t>
      </w:r>
      <w:r>
        <w:rPr>
          <w:spacing w:val="-10"/>
        </w:rPr>
        <w:t> </w:t>
      </w:r>
      <w:r>
        <w:rPr/>
        <w:t>suitable</w:t>
      </w:r>
      <w:r>
        <w:rPr>
          <w:spacing w:val="-10"/>
        </w:rPr>
        <w:t> </w:t>
      </w:r>
      <w:r>
        <w:rPr/>
        <w:t>conditions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California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other</w:t>
      </w:r>
      <w:r>
        <w:rPr>
          <w:spacing w:val="-10"/>
        </w:rPr>
        <w:t> </w:t>
      </w:r>
      <w:r>
        <w:rPr/>
        <w:t>areas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Pacific</w:t>
      </w:r>
      <w:r>
        <w:rPr>
          <w:spacing w:val="-10"/>
        </w:rPr>
        <w:t> </w:t>
      </w:r>
      <w:r>
        <w:rPr/>
        <w:t>Coast,</w:t>
      </w:r>
      <w:r>
        <w:rPr>
          <w:spacing w:val="-10"/>
        </w:rPr>
        <w:t> </w:t>
      </w:r>
      <w:r>
        <w:rPr/>
        <w:t>as well</w:t>
      </w:r>
      <w:r>
        <w:rPr>
          <w:spacing w:val="-13"/>
        </w:rPr>
        <w:t> </w:t>
      </w:r>
      <w:r>
        <w:rPr/>
        <w:t>as</w:t>
      </w:r>
      <w:r>
        <w:rPr>
          <w:spacing w:val="-13"/>
        </w:rPr>
        <w:t> </w:t>
      </w:r>
      <w:r>
        <w:rPr/>
        <w:t>portions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southern</w:t>
      </w:r>
      <w:r>
        <w:rPr>
          <w:spacing w:val="-13"/>
        </w:rPr>
        <w:t> </w:t>
      </w:r>
      <w:r>
        <w:rPr/>
        <w:t>United</w:t>
      </w:r>
      <w:r>
        <w:rPr>
          <w:spacing w:val="-13"/>
        </w:rPr>
        <w:t> </w:t>
      </w:r>
      <w:r>
        <w:rPr/>
        <w:t>States</w:t>
      </w:r>
      <w:r>
        <w:rPr>
          <w:spacing w:val="-13"/>
        </w:rPr>
        <w:t> </w:t>
      </w:r>
      <w:r>
        <w:rPr/>
        <w:t>(</w:t>
      </w:r>
      <w:hyperlink w:history="true" w:anchor="_bookmark12">
        <w:r>
          <w:rPr>
            <w:color w:val="0000FF"/>
          </w:rPr>
          <w:t>Barker</w:t>
        </w:r>
        <w:r>
          <w:rPr>
            <w:color w:val="0000FF"/>
            <w:spacing w:val="-13"/>
          </w:rPr>
          <w:t> </w:t>
        </w:r>
        <w:r>
          <w:rPr>
            <w:color w:val="0000FF"/>
          </w:rPr>
          <w:t>and</w:t>
        </w:r>
        <w:r>
          <w:rPr>
            <w:color w:val="0000FF"/>
            <w:spacing w:val="-13"/>
          </w:rPr>
          <w:t> </w:t>
        </w:r>
        <w:r>
          <w:rPr>
            <w:color w:val="0000FF"/>
          </w:rPr>
          <w:t>Coop</w:t>
        </w:r>
        <w:r>
          <w:rPr>
            <w:color w:val="0000FF"/>
            <w:spacing w:val="-13"/>
          </w:rPr>
          <w:t> </w:t>
        </w:r>
        <w:r>
          <w:rPr>
            <w:color w:val="0000FF"/>
          </w:rPr>
          <w:t>2019</w:t>
        </w:r>
      </w:hyperlink>
      <w:r>
        <w:rPr/>
        <w:t>).</w:t>
      </w:r>
      <w:r>
        <w:rPr>
          <w:spacing w:val="3"/>
        </w:rPr>
        <w:t> </w:t>
      </w:r>
      <w:r>
        <w:rPr/>
        <w:t>FCM</w:t>
      </w:r>
      <w:r>
        <w:rPr>
          <w:spacing w:val="-13"/>
        </w:rPr>
        <w:t> </w:t>
      </w:r>
      <w:r>
        <w:rPr/>
        <w:t>has</w:t>
      </w:r>
      <w:r>
        <w:rPr>
          <w:spacing w:val="-13"/>
        </w:rPr>
        <w:t> </w:t>
      </w:r>
      <w:r>
        <w:rPr/>
        <w:t>limited</w:t>
      </w:r>
      <w:r>
        <w:rPr>
          <w:spacing w:val="-13"/>
        </w:rPr>
        <w:t> </w:t>
      </w:r>
      <w:r>
        <w:rPr/>
        <w:t>capacity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rapid</w:t>
      </w:r>
      <w:r>
        <w:rPr>
          <w:spacing w:val="-13"/>
        </w:rPr>
        <w:t> </w:t>
      </w:r>
      <w:r>
        <w:rPr/>
        <w:t>cold hardening over short time periods, whereas larvae can tolerate a broader range of temperatures than adults and adults exhibit a heat-hardening response (</w:t>
      </w:r>
      <w:hyperlink w:history="true" w:anchor="_bookmark18">
        <w:r>
          <w:rPr>
            <w:color w:val="0000FF"/>
          </w:rPr>
          <w:t>Stotter and Terblanche 2009</w:t>
        </w:r>
      </w:hyperlink>
      <w:r>
        <w:rPr/>
        <w:t>, </w:t>
      </w:r>
      <w:hyperlink w:history="true" w:anchor="_bookmark19">
        <w:r>
          <w:rPr>
            <w:color w:val="0000FF"/>
          </w:rPr>
          <w:t>Terblanche et al. 2017</w:t>
        </w:r>
      </w:hyperlink>
      <w:r>
        <w:rPr/>
        <w:t>). FCM can </w:t>
      </w:r>
      <w:r>
        <w:rPr>
          <w:spacing w:val="-4"/>
        </w:rPr>
        <w:t>complete 2–10 generations per year, with the number of generations influenced by temperature, food availability </w:t>
      </w:r>
      <w:r>
        <w:rPr/>
        <w:t>and</w:t>
      </w:r>
      <w:r>
        <w:rPr>
          <w:spacing w:val="-7"/>
        </w:rPr>
        <w:t> </w:t>
      </w:r>
      <w:r>
        <w:rPr/>
        <w:t>quality,</w:t>
      </w:r>
      <w:r>
        <w:rPr>
          <w:spacing w:val="-7"/>
        </w:rPr>
        <w:t> </w:t>
      </w:r>
      <w:r>
        <w:rPr/>
        <w:t>photoperiod,</w:t>
      </w:r>
      <w:r>
        <w:rPr>
          <w:spacing w:val="-7"/>
        </w:rPr>
        <w:t> </w:t>
      </w:r>
      <w:r>
        <w:rPr/>
        <w:t>humidity,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latitude</w:t>
      </w:r>
      <w:r>
        <w:rPr>
          <w:spacing w:val="-7"/>
        </w:rPr>
        <w:t> </w:t>
      </w:r>
      <w:r>
        <w:rPr/>
        <w:t>(</w:t>
      </w:r>
      <w:hyperlink w:history="true" w:anchor="_bookmark21">
        <w:r>
          <w:rPr>
            <w:color w:val="0000FF"/>
          </w:rPr>
          <w:t>Venette</w:t>
        </w:r>
        <w:r>
          <w:rPr>
            <w:color w:val="0000FF"/>
            <w:spacing w:val="-7"/>
          </w:rPr>
          <w:t> </w:t>
        </w:r>
        <w:r>
          <w:rPr>
            <w:color w:val="0000FF"/>
          </w:rPr>
          <w:t>et</w:t>
        </w:r>
        <w:r>
          <w:rPr>
            <w:color w:val="0000FF"/>
            <w:spacing w:val="-7"/>
          </w:rPr>
          <w:t> </w:t>
        </w:r>
        <w:r>
          <w:rPr>
            <w:color w:val="0000FF"/>
          </w:rPr>
          <w:t>al. 2003</w:t>
        </w:r>
      </w:hyperlink>
      <w:r>
        <w:rPr/>
        <w:t>,</w:t>
      </w:r>
      <w:r>
        <w:rPr>
          <w:spacing w:val="-7"/>
        </w:rPr>
        <w:t> </w:t>
      </w:r>
      <w:hyperlink w:history="true" w:anchor="_bookmark15">
        <w:r>
          <w:rPr>
            <w:color w:val="0000FF"/>
          </w:rPr>
          <w:t>Gilligan</w:t>
        </w:r>
        <w:r>
          <w:rPr>
            <w:color w:val="0000FF"/>
            <w:spacing w:val="-7"/>
          </w:rPr>
          <w:t> </w:t>
        </w:r>
        <w:r>
          <w:rPr>
            <w:color w:val="0000FF"/>
          </w:rPr>
          <w:t>et</w:t>
        </w:r>
        <w:r>
          <w:rPr>
            <w:color w:val="0000FF"/>
            <w:spacing w:val="-7"/>
          </w:rPr>
          <w:t> </w:t>
        </w:r>
        <w:r>
          <w:rPr>
            <w:color w:val="0000FF"/>
          </w:rPr>
          <w:t>al. 2011</w:t>
        </w:r>
      </w:hyperlink>
      <w:r>
        <w:rPr/>
        <w:t>). In</w:t>
      </w:r>
      <w:r>
        <w:rPr>
          <w:spacing w:val="-7"/>
        </w:rPr>
        <w:t> </w:t>
      </w:r>
      <w:r>
        <w:rPr/>
        <w:t>environmentally suitable</w:t>
      </w:r>
      <w:r>
        <w:rPr>
          <w:spacing w:val="-14"/>
        </w:rPr>
        <w:t> </w:t>
      </w:r>
      <w:r>
        <w:rPr/>
        <w:t>areas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contiguous</w:t>
      </w:r>
      <w:r>
        <w:rPr>
          <w:spacing w:val="-14"/>
        </w:rPr>
        <w:t> </w:t>
      </w:r>
      <w:r>
        <w:rPr/>
        <w:t>United</w:t>
      </w:r>
      <w:r>
        <w:rPr>
          <w:spacing w:val="-14"/>
        </w:rPr>
        <w:t> </w:t>
      </w:r>
      <w:r>
        <w:rPr/>
        <w:t>States</w:t>
      </w:r>
      <w:r>
        <w:rPr>
          <w:spacing w:val="-14"/>
        </w:rPr>
        <w:t> </w:t>
      </w:r>
      <w:r>
        <w:rPr/>
        <w:t>(CONUS),</w:t>
      </w:r>
      <w:r>
        <w:rPr>
          <w:spacing w:val="-13"/>
        </w:rPr>
        <w:t> </w:t>
      </w:r>
      <w:r>
        <w:rPr/>
        <w:t>FCM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predicted</w:t>
      </w:r>
      <w:r>
        <w:rPr>
          <w:spacing w:val="-14"/>
        </w:rPr>
        <w:t> </w:t>
      </w:r>
      <w:r>
        <w:rPr/>
        <w:t>to</w:t>
      </w:r>
      <w:r>
        <w:rPr>
          <w:spacing w:val="-13"/>
        </w:rPr>
        <w:t> </w:t>
      </w:r>
      <w:r>
        <w:rPr/>
        <w:t>complete</w:t>
      </w:r>
      <w:r>
        <w:rPr>
          <w:spacing w:val="-14"/>
        </w:rPr>
        <w:t> </w:t>
      </w:r>
      <w:r>
        <w:rPr/>
        <w:t>1–9</w:t>
      </w:r>
      <w:r>
        <w:rPr>
          <w:spacing w:val="-14"/>
        </w:rPr>
        <w:t> </w:t>
      </w:r>
      <w:r>
        <w:rPr/>
        <w:t>generations</w:t>
      </w:r>
      <w:r>
        <w:rPr>
          <w:spacing w:val="-14"/>
        </w:rPr>
        <w:t> </w:t>
      </w:r>
      <w:r>
        <w:rPr/>
        <w:t>(</w:t>
      </w:r>
      <w:hyperlink w:history="true" w:anchor="_bookmark12">
        <w:r>
          <w:rPr>
            <w:color w:val="0000FF"/>
          </w:rPr>
          <w:t>Barker</w:t>
        </w:r>
      </w:hyperlink>
      <w:r>
        <w:rPr>
          <w:color w:val="0000FF"/>
        </w:rPr>
        <w:t> </w:t>
      </w:r>
      <w:hyperlink w:history="true" w:anchor="_bookmark12">
        <w:r>
          <w:rPr>
            <w:color w:val="0000FF"/>
          </w:rPr>
          <w:t>and</w:t>
        </w:r>
        <w:r>
          <w:rPr>
            <w:color w:val="0000FF"/>
            <w:spacing w:val="-14"/>
          </w:rPr>
          <w:t> </w:t>
        </w:r>
        <w:r>
          <w:rPr>
            <w:color w:val="0000FF"/>
          </w:rPr>
          <w:t>Coop</w:t>
        </w:r>
        <w:r>
          <w:rPr>
            <w:color w:val="0000FF"/>
            <w:spacing w:val="-13"/>
          </w:rPr>
          <w:t> </w:t>
        </w:r>
        <w:r>
          <w:rPr>
            <w:color w:val="0000FF"/>
          </w:rPr>
          <w:t>2019</w:t>
        </w:r>
      </w:hyperlink>
      <w:r>
        <w:rPr/>
        <w:t>). Drought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associated</w:t>
      </w:r>
      <w:r>
        <w:rPr>
          <w:spacing w:val="-14"/>
        </w:rPr>
        <w:t> </w:t>
      </w:r>
      <w:r>
        <w:rPr/>
        <w:t>changes</w:t>
      </w:r>
      <w:r>
        <w:rPr>
          <w:spacing w:val="-13"/>
        </w:rPr>
        <w:t> </w:t>
      </w:r>
      <w:r>
        <w:rPr/>
        <w:t>in</w:t>
      </w:r>
      <w:r>
        <w:rPr>
          <w:spacing w:val="-14"/>
        </w:rPr>
        <w:t> </w:t>
      </w:r>
      <w:r>
        <w:rPr/>
        <w:t>host-plant</w:t>
      </w:r>
      <w:r>
        <w:rPr>
          <w:spacing w:val="-13"/>
        </w:rPr>
        <w:t> </w:t>
      </w:r>
      <w:r>
        <w:rPr/>
        <w:t>availability</w:t>
      </w:r>
      <w:r>
        <w:rPr>
          <w:spacing w:val="-14"/>
        </w:rPr>
        <w:t> </w:t>
      </w:r>
      <w:r>
        <w:rPr/>
        <w:t>may</w:t>
      </w:r>
      <w:r>
        <w:rPr>
          <w:spacing w:val="-13"/>
        </w:rPr>
        <w:t> </w:t>
      </w:r>
      <w:r>
        <w:rPr/>
        <w:t>contribute</w:t>
      </w:r>
      <w:r>
        <w:rPr>
          <w:spacing w:val="-14"/>
        </w:rPr>
        <w:t> </w:t>
      </w:r>
      <w:r>
        <w:rPr/>
        <w:t>to</w:t>
      </w:r>
      <w:r>
        <w:rPr>
          <w:spacing w:val="-13"/>
        </w:rPr>
        <w:t> </w:t>
      </w:r>
      <w:r>
        <w:rPr/>
        <w:t>variation</w:t>
      </w:r>
      <w:r>
        <w:rPr>
          <w:spacing w:val="-14"/>
        </w:rPr>
        <w:t> </w:t>
      </w:r>
      <w:r>
        <w:rPr/>
        <w:t>in</w:t>
      </w:r>
      <w:r>
        <w:rPr>
          <w:spacing w:val="-13"/>
        </w:rPr>
        <w:t> </w:t>
      </w:r>
      <w:r>
        <w:rPr/>
        <w:t>FCM developmental rates and host use (</w:t>
      </w:r>
      <w:hyperlink w:history="true" w:anchor="_bookmark15">
        <w:r>
          <w:rPr>
            <w:color w:val="0000FF"/>
          </w:rPr>
          <w:t>Gilligan et al. 2011</w:t>
        </w:r>
      </w:hyperlink>
      <w:r>
        <w:rPr/>
        <w:t>), while experimental evidence indicates that moisture stress can also affect FCM development and infestation of tomato (</w:t>
      </w:r>
      <w:hyperlink w:history="true" w:anchor="_bookmark17">
        <w:r>
          <w:rPr>
            <w:color w:val="0000FF"/>
          </w:rPr>
          <w:t>Patrick et al.</w:t>
        </w:r>
        <w:r>
          <w:rPr>
            <w:color w:val="0000FF"/>
            <w:spacing w:val="37"/>
          </w:rPr>
          <w:t> </w:t>
        </w:r>
        <w:r>
          <w:rPr>
            <w:color w:val="0000FF"/>
          </w:rPr>
          <w:t>2021</w:t>
        </w:r>
      </w:hyperlink>
      <w:r>
        <w:rPr/>
        <w:t>).</w:t>
      </w:r>
    </w:p>
    <w:p>
      <w:pPr>
        <w:pStyle w:val="BodyText"/>
        <w:spacing w:line="218" w:lineRule="auto" w:before="12"/>
        <w:ind w:left="104" w:right="85" w:firstLine="385"/>
        <w:jc w:val="both"/>
      </w:pPr>
      <w:r>
        <w:rPr>
          <w:spacing w:val="-6"/>
        </w:rPr>
        <w:t>A model for FCM developed for the Degree-Day, establishment Risk, and Phenological event mapping system </w:t>
      </w:r>
      <w:r>
        <w:rPr/>
        <w:t>(DDRP) is operationalized to produce near real-time forecasts for the CONUS at </w:t>
      </w:r>
      <w:hyperlink r:id="rId6">
        <w:r>
          <w:rPr>
            <w:color w:val="0000FF"/>
          </w:rPr>
          <w:t>https://uspest.org/DDRP</w:t>
        </w:r>
      </w:hyperlink>
      <w:r>
        <w:rPr/>
        <w:t>.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phenology</w:t>
      </w:r>
      <w:r>
        <w:rPr>
          <w:spacing w:val="-5"/>
        </w:rPr>
        <w:t> </w:t>
      </w:r>
      <w:r>
        <w:rPr>
          <w:spacing w:val="-4"/>
        </w:rPr>
        <w:t>model</w:t>
      </w:r>
      <w:r>
        <w:rPr>
          <w:spacing w:val="-5"/>
        </w:rPr>
        <w:t> </w:t>
      </w:r>
      <w:r>
        <w:rPr>
          <w:spacing w:val="-4"/>
        </w:rPr>
        <w:t>applies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lower</w:t>
      </w:r>
      <w:r>
        <w:rPr>
          <w:spacing w:val="-5"/>
        </w:rPr>
        <w:t> </w:t>
      </w:r>
      <w:r>
        <w:rPr>
          <w:spacing w:val="-4"/>
        </w:rPr>
        <w:t>developmental</w:t>
      </w:r>
      <w:r>
        <w:rPr>
          <w:spacing w:val="-5"/>
        </w:rPr>
        <w:t> </w:t>
      </w:r>
      <w:r>
        <w:rPr>
          <w:spacing w:val="-4"/>
        </w:rPr>
        <w:t>threshold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11.7</w:t>
      </w:r>
      <w:r>
        <w:rPr>
          <w:spacing w:val="-5"/>
        </w:rPr>
        <w:t> </w:t>
      </w:r>
      <w:r>
        <w:rPr>
          <w:spacing w:val="-4"/>
        </w:rPr>
        <w:t>°C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upper</w:t>
      </w:r>
      <w:r>
        <w:rPr>
          <w:spacing w:val="-5"/>
        </w:rPr>
        <w:t> </w:t>
      </w:r>
      <w:r>
        <w:rPr>
          <w:spacing w:val="-4"/>
        </w:rPr>
        <w:t>threshold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38</w:t>
      </w:r>
      <w:r>
        <w:rPr>
          <w:spacing w:val="-5"/>
        </w:rPr>
        <w:t> </w:t>
      </w:r>
      <w:r>
        <w:rPr>
          <w:spacing w:val="-4"/>
        </w:rPr>
        <w:t>°C</w:t>
      </w:r>
      <w:r>
        <w:rPr>
          <w:spacing w:val="-5"/>
        </w:rPr>
        <w:t> </w:t>
      </w:r>
      <w:r>
        <w:rPr>
          <w:spacing w:val="-4"/>
        </w:rPr>
        <w:t>for</w:t>
      </w:r>
      <w:r>
        <w:rPr>
          <w:spacing w:val="-5"/>
        </w:rPr>
        <w:t> </w:t>
      </w:r>
      <w:r>
        <w:rPr>
          <w:spacing w:val="-4"/>
        </w:rPr>
        <w:t>all</w:t>
      </w:r>
      <w:r>
        <w:rPr>
          <w:spacing w:val="-5"/>
        </w:rPr>
        <w:t> </w:t>
      </w:r>
      <w:r>
        <w:rPr>
          <w:spacing w:val="-4"/>
        </w:rPr>
        <w:t>life </w:t>
      </w:r>
      <w:r>
        <w:rPr/>
        <w:t>stages</w:t>
      </w:r>
      <w:r>
        <w:rPr>
          <w:spacing w:val="-1"/>
        </w:rPr>
        <w:t> </w:t>
      </w:r>
      <w:r>
        <w:rPr/>
        <w:t>(egg,</w:t>
      </w:r>
      <w:r>
        <w:rPr>
          <w:spacing w:val="-1"/>
        </w:rPr>
        <w:t> </w:t>
      </w:r>
      <w:r>
        <w:rPr/>
        <w:t>larva,</w:t>
      </w:r>
      <w:r>
        <w:rPr>
          <w:spacing w:val="-1"/>
        </w:rPr>
        <w:t> </w:t>
      </w:r>
      <w:r>
        <w:rPr/>
        <w:t>pupa,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adult)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assumes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adult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overwintering</w:t>
      </w:r>
      <w:r>
        <w:rPr>
          <w:spacing w:val="-1"/>
        </w:rPr>
        <w:t> </w:t>
      </w:r>
      <w:r>
        <w:rPr/>
        <w:t>stage. The</w:t>
      </w:r>
      <w:r>
        <w:rPr>
          <w:spacing w:val="-1"/>
        </w:rPr>
        <w:t> </w:t>
      </w:r>
      <w:r>
        <w:rPr/>
        <w:t>climatic</w:t>
      </w:r>
      <w:r>
        <w:rPr>
          <w:spacing w:val="-1"/>
        </w:rPr>
        <w:t> </w:t>
      </w:r>
      <w:r>
        <w:rPr/>
        <w:t>suitability model applies a lower cold stress threshold and upper heat stress threshold of −1 °C and 40 °C, respectively. The full set of model parameters for FCM, including degree-day requirements for individual life stages and climate stress limits, are presented in Table </w:t>
      </w:r>
      <w:hyperlink w:history="true" w:anchor="_bookmark0">
        <w:r>
          <w:rPr>
            <w:color w:val="0000FF"/>
          </w:rPr>
          <w:t>1</w:t>
        </w:r>
      </w:hyperlink>
      <w:r>
        <w:rPr/>
        <w:t>. Details on model parameterization are available at USPest.org (</w:t>
      </w:r>
      <w:hyperlink w:history="true" w:anchor="_bookmark12">
        <w:r>
          <w:rPr>
            <w:color w:val="0000FF"/>
          </w:rPr>
          <w:t>Barker and Coop 2019</w:t>
        </w:r>
      </w:hyperlink>
      <w:r>
        <w:rPr/>
        <w:t>).</w:t>
      </w:r>
    </w:p>
    <w:p>
      <w:pPr>
        <w:spacing w:before="198"/>
        <w:ind w:left="130" w:right="0" w:firstLine="0"/>
        <w:jc w:val="left"/>
        <w:rPr>
          <w:sz w:val="22"/>
        </w:rPr>
      </w:pPr>
      <w:bookmarkStart w:name="_bookmark0" w:id="2"/>
      <w:bookmarkEnd w:id="2"/>
      <w:r>
        <w:rPr/>
      </w:r>
      <w:r>
        <w:rPr>
          <w:b/>
          <w:sz w:val="22"/>
        </w:rPr>
        <w:t>Table</w:t>
      </w:r>
      <w:r>
        <w:rPr>
          <w:b/>
          <w:spacing w:val="19"/>
          <w:sz w:val="22"/>
        </w:rPr>
        <w:t> </w:t>
      </w:r>
      <w:r>
        <w:rPr>
          <w:b/>
          <w:sz w:val="22"/>
        </w:rPr>
        <w:t>1.</w:t>
      </w:r>
      <w:r>
        <w:rPr>
          <w:b/>
          <w:spacing w:val="44"/>
          <w:sz w:val="22"/>
        </w:rPr>
        <w:t> </w:t>
      </w:r>
      <w:r>
        <w:rPr>
          <w:sz w:val="22"/>
        </w:rPr>
        <w:t>FCM</w:t>
      </w:r>
      <w:r>
        <w:rPr>
          <w:spacing w:val="9"/>
          <w:sz w:val="22"/>
        </w:rPr>
        <w:t> </w:t>
      </w:r>
      <w:r>
        <w:rPr>
          <w:sz w:val="22"/>
        </w:rPr>
        <w:t>model</w:t>
      </w:r>
      <w:r>
        <w:rPr>
          <w:spacing w:val="9"/>
          <w:sz w:val="22"/>
        </w:rPr>
        <w:t> </w:t>
      </w:r>
      <w:r>
        <w:rPr>
          <w:sz w:val="22"/>
        </w:rPr>
        <w:t>parameters</w:t>
      </w:r>
      <w:r>
        <w:rPr>
          <w:spacing w:val="9"/>
          <w:sz w:val="22"/>
        </w:rPr>
        <w:t> </w:t>
      </w:r>
      <w:r>
        <w:rPr>
          <w:sz w:val="22"/>
        </w:rPr>
        <w:t>for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DDRP.</w:t>
      </w:r>
    </w:p>
    <w:p>
      <w:pPr>
        <w:pStyle w:val="BodyText"/>
        <w:spacing w:before="11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540004</wp:posOffset>
                </wp:positionH>
                <wp:positionV relativeFrom="paragraph">
                  <wp:posOffset>142235</wp:posOffset>
                </wp:positionV>
                <wp:extent cx="66929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692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900" h="0">
                              <a:moveTo>
                                <a:pt x="0" y="0"/>
                              </a:moveTo>
                              <a:lnTo>
                                <a:pt x="6692404" y="0"/>
                              </a:lnTo>
                            </a:path>
                          </a:pathLst>
                        </a:custGeom>
                        <a:ln w="110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2pt;margin-top:11.199657pt;width:527pt;height:.1pt;mso-position-horizontal-relative:page;mso-position-vertical-relative:paragraph;z-index:-15728640;mso-wrap-distance-left:0;mso-wrap-distance-right:0" id="docshape2" coordorigin="850,224" coordsize="10540,0" path="m850,224l11390,224e" filled="false" stroked="true" strokeweight=".87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6405" w:val="left" w:leader="none"/>
          <w:tab w:pos="10135" w:val="left" w:leader="none"/>
        </w:tabs>
        <w:spacing w:before="20" w:after="58"/>
        <w:ind w:left="130"/>
      </w:pPr>
      <w:r>
        <w:rPr>
          <w:spacing w:val="-2"/>
        </w:rPr>
        <w:t>Parameter</w:t>
      </w:r>
      <w:r>
        <w:rPr/>
        <w:tab/>
      </w:r>
      <w:r>
        <w:rPr>
          <w:spacing w:val="-4"/>
        </w:rPr>
        <w:t>Code</w:t>
      </w:r>
      <w:r>
        <w:rPr/>
        <w:tab/>
      </w:r>
      <w:r>
        <w:rPr>
          <w:spacing w:val="-2"/>
        </w:rPr>
        <w:t>Value</w:t>
      </w:r>
    </w:p>
    <w:p>
      <w:pPr>
        <w:spacing w:line="20" w:lineRule="exact"/>
        <w:ind w:left="13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92900" cy="6985"/>
                <wp:effectExtent l="9525" t="0" r="0" b="2539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692900" cy="6985"/>
                          <a:chExt cx="6692900" cy="698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3460"/>
                            <a:ext cx="6692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2900" h="0">
                                <a:moveTo>
                                  <a:pt x="0" y="0"/>
                                </a:moveTo>
                                <a:lnTo>
                                  <a:pt x="6692404" y="0"/>
                                </a:lnTo>
                              </a:path>
                            </a:pathLst>
                          </a:custGeom>
                          <a:ln w="69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7pt;height:.550pt;mso-position-horizontal-relative:char;mso-position-vertical-relative:line" id="docshapegroup3" coordorigin="0,0" coordsize="10540,11">
                <v:line style="position:absolute" from="0,5" to="10539,5" stroked="true" strokeweight=".54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284" w:lineRule="exact" w:before="5"/>
        <w:ind w:left="130" w:right="0" w:firstLine="0"/>
        <w:jc w:val="both"/>
        <w:rPr>
          <w:b/>
          <w:sz w:val="22"/>
        </w:rPr>
      </w:pPr>
      <w:r>
        <w:rPr>
          <w:b/>
          <w:w w:val="105"/>
          <w:sz w:val="22"/>
        </w:rPr>
        <w:t>Lower</w:t>
      </w:r>
      <w:r>
        <w:rPr>
          <w:b/>
          <w:spacing w:val="21"/>
          <w:w w:val="105"/>
          <w:sz w:val="22"/>
        </w:rPr>
        <w:t> </w:t>
      </w:r>
      <w:r>
        <w:rPr>
          <w:b/>
          <w:w w:val="105"/>
          <w:sz w:val="22"/>
        </w:rPr>
        <w:t>developmental</w:t>
      </w:r>
      <w:r>
        <w:rPr>
          <w:b/>
          <w:spacing w:val="22"/>
          <w:w w:val="105"/>
          <w:sz w:val="22"/>
        </w:rPr>
        <w:t> </w:t>
      </w:r>
      <w:r>
        <w:rPr>
          <w:b/>
          <w:w w:val="105"/>
          <w:sz w:val="22"/>
        </w:rPr>
        <w:t>thresholds</w:t>
      </w:r>
      <w:r>
        <w:rPr>
          <w:b/>
          <w:spacing w:val="22"/>
          <w:w w:val="105"/>
          <w:sz w:val="22"/>
        </w:rPr>
        <w:t> </w:t>
      </w:r>
      <w:r>
        <w:rPr>
          <w:b/>
          <w:spacing w:val="-4"/>
          <w:w w:val="105"/>
          <w:sz w:val="22"/>
        </w:rPr>
        <w:t>(°C)</w:t>
      </w:r>
    </w:p>
    <w:p>
      <w:pPr>
        <w:pStyle w:val="BodyText"/>
        <w:tabs>
          <w:tab w:pos="6406" w:val="left" w:leader="none"/>
          <w:tab w:pos="10669" w:val="right" w:leader="none"/>
        </w:tabs>
        <w:spacing w:line="271" w:lineRule="exact"/>
        <w:ind w:left="275"/>
      </w:pPr>
      <w:r>
        <w:rPr>
          <w:spacing w:val="-5"/>
        </w:rPr>
        <w:t>Egg</w:t>
      </w:r>
      <w:r>
        <w:rPr/>
        <w:tab/>
      </w:r>
      <w:r>
        <w:rPr>
          <w:spacing w:val="-2"/>
        </w:rPr>
        <w:t>eggLDT</w:t>
      </w:r>
      <w:r>
        <w:rPr/>
        <w:tab/>
      </w:r>
      <w:r>
        <w:rPr>
          <w:spacing w:val="-4"/>
        </w:rPr>
        <w:t>11.7</w:t>
      </w:r>
    </w:p>
    <w:p>
      <w:pPr>
        <w:pStyle w:val="BodyText"/>
        <w:tabs>
          <w:tab w:pos="6406" w:val="left" w:leader="none"/>
          <w:tab w:pos="10669" w:val="right" w:leader="none"/>
        </w:tabs>
        <w:spacing w:line="284" w:lineRule="exact"/>
        <w:ind w:left="275"/>
      </w:pPr>
      <w:r>
        <w:rPr>
          <w:spacing w:val="-2"/>
        </w:rPr>
        <w:t>Larvae</w:t>
      </w:r>
      <w:r>
        <w:rPr/>
        <w:tab/>
      </w:r>
      <w:r>
        <w:rPr>
          <w:spacing w:val="-2"/>
        </w:rPr>
        <w:t>larvaeLDT</w:t>
      </w:r>
      <w:r>
        <w:rPr/>
        <w:tab/>
      </w:r>
      <w:r>
        <w:rPr>
          <w:spacing w:val="-4"/>
        </w:rPr>
        <w:t>11.7</w:t>
      </w:r>
    </w:p>
    <w:p>
      <w:pPr>
        <w:pStyle w:val="BodyText"/>
        <w:spacing w:after="0" w:line="284" w:lineRule="exact"/>
        <w:sectPr>
          <w:footerReference w:type="default" r:id="rId5"/>
          <w:type w:val="continuous"/>
          <w:pgSz w:w="12240" w:h="15840"/>
          <w:pgMar w:header="0" w:footer="896" w:top="1140" w:bottom="1080" w:left="720" w:right="72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3"/>
      </w:pPr>
    </w:p>
    <w:p>
      <w:pPr>
        <w:spacing w:before="0"/>
        <w:ind w:left="130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470154</wp:posOffset>
                </wp:positionH>
                <wp:positionV relativeFrom="paragraph">
                  <wp:posOffset>-2324328</wp:posOffset>
                </wp:positionV>
                <wp:extent cx="6832600" cy="6337299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832600" cy="633729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117"/>
                              <w:gridCol w:w="2837"/>
                              <w:gridCol w:w="1685"/>
                            </w:tblGrid>
                            <w:tr>
                              <w:trPr>
                                <w:trHeight w:val="366" w:hRule="atLeast"/>
                              </w:trPr>
                              <w:tc>
                                <w:tcPr>
                                  <w:tcW w:w="6117" w:type="dxa"/>
                                  <w:tcBorders>
                                    <w:top w:val="single" w:sz="8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8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Parameter</w:t>
                                  </w:r>
                                </w:p>
                              </w:tc>
                              <w:tc>
                                <w:tcPr>
                                  <w:tcW w:w="2837" w:type="dxa"/>
                                  <w:tcBorders>
                                    <w:top w:val="single" w:sz="8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8"/>
                                    <w:ind w:left="20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Code</w:t>
                                  </w:r>
                                </w:p>
                              </w:tc>
                              <w:tc>
                                <w:tcPr>
                                  <w:tcW w:w="1685" w:type="dxa"/>
                                  <w:tcBorders>
                                    <w:top w:val="single" w:sz="8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8"/>
                                    <w:ind w:right="47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Value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 w:hRule="atLeast"/>
                              </w:trPr>
                              <w:tc>
                                <w:tcPr>
                                  <w:tcW w:w="6117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8" w:lineRule="exact" w:before="18"/>
                                    <w:ind w:left="19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Pupae</w:t>
                                  </w:r>
                                </w:p>
                              </w:tc>
                              <w:tc>
                                <w:tcPr>
                                  <w:tcW w:w="2837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8" w:lineRule="exact" w:before="18"/>
                                    <w:ind w:left="20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22"/>
                                    </w:rPr>
                                    <w:t>pupaeLDT</w:t>
                                  </w:r>
                                </w:p>
                              </w:tc>
                              <w:tc>
                                <w:tcPr>
                                  <w:tcW w:w="1685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8" w:lineRule="exact" w:before="18"/>
                                    <w:ind w:right="47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11.7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2" w:hRule="atLeast"/>
                              </w:trPr>
                              <w:tc>
                                <w:tcPr>
                                  <w:tcW w:w="6117" w:type="dxa"/>
                                </w:tcPr>
                                <w:p>
                                  <w:pPr>
                                    <w:pStyle w:val="TableParagraph"/>
                                    <w:spacing w:line="273" w:lineRule="exact"/>
                                    <w:ind w:left="19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Adult</w:t>
                                  </w: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>
                                  <w:pPr>
                                    <w:pStyle w:val="TableParagraph"/>
                                    <w:spacing w:line="273" w:lineRule="exact"/>
                                    <w:ind w:left="20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adultLDT</w:t>
                                  </w:r>
                                </w:p>
                              </w:tc>
                              <w:tc>
                                <w:tcPr>
                                  <w:tcW w:w="1685" w:type="dxa"/>
                                </w:tcPr>
                                <w:p>
                                  <w:pPr>
                                    <w:pStyle w:val="TableParagraph"/>
                                    <w:spacing w:line="273" w:lineRule="exact"/>
                                    <w:ind w:right="47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11.7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7" w:hRule="atLeast"/>
                              </w:trPr>
                              <w:tc>
                                <w:tcPr>
                                  <w:tcW w:w="10639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left="50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22"/>
                                    </w:rPr>
                                    <w:t>Upper</w:t>
                                  </w:r>
                                  <w:r>
                                    <w:rPr>
                                      <w:b/>
                                      <w:spacing w:val="33"/>
                                      <w:w w:val="10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w w:val="105"/>
                                      <w:sz w:val="22"/>
                                    </w:rPr>
                                    <w:t>developmental</w:t>
                                  </w:r>
                                  <w:r>
                                    <w:rPr>
                                      <w:b/>
                                      <w:spacing w:val="33"/>
                                      <w:w w:val="10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w w:val="105"/>
                                      <w:sz w:val="22"/>
                                    </w:rPr>
                                    <w:t>thresholds</w:t>
                                  </w:r>
                                  <w:r>
                                    <w:rPr>
                                      <w:b/>
                                      <w:spacing w:val="33"/>
                                      <w:w w:val="10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w w:val="105"/>
                                      <w:sz w:val="22"/>
                                    </w:rPr>
                                    <w:t>(°C)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2" w:hRule="atLeast"/>
                              </w:trPr>
                              <w:tc>
                                <w:tcPr>
                                  <w:tcW w:w="6117" w:type="dxa"/>
                                </w:tcPr>
                                <w:p>
                                  <w:pPr>
                                    <w:pStyle w:val="TableParagraph"/>
                                    <w:spacing w:line="258" w:lineRule="exact" w:before="15"/>
                                    <w:ind w:left="19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Egg</w:t>
                                  </w: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>
                                  <w:pPr>
                                    <w:pStyle w:val="TableParagraph"/>
                                    <w:spacing w:line="258" w:lineRule="exact" w:before="15"/>
                                    <w:ind w:left="20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22"/>
                                    </w:rPr>
                                    <w:t>eggUDT</w:t>
                                  </w:r>
                                </w:p>
                              </w:tc>
                              <w:tc>
                                <w:tcPr>
                                  <w:tcW w:w="1685" w:type="dxa"/>
                                </w:tcPr>
                                <w:p>
                                  <w:pPr>
                                    <w:pStyle w:val="TableParagraph"/>
                                    <w:spacing w:line="258" w:lineRule="exact" w:before="15"/>
                                    <w:ind w:right="47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38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6117" w:type="dxa"/>
                                </w:tcPr>
                                <w:p>
                                  <w:pPr>
                                    <w:pStyle w:val="TableParagraph"/>
                                    <w:ind w:left="19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Larvae</w:t>
                                  </w: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>
                                  <w:pPr>
                                    <w:pStyle w:val="TableParagraph"/>
                                    <w:ind w:left="20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larvaeUDT</w:t>
                                  </w:r>
                                </w:p>
                              </w:tc>
                              <w:tc>
                                <w:tcPr>
                                  <w:tcW w:w="1685" w:type="dxa"/>
                                </w:tcPr>
                                <w:p>
                                  <w:pPr>
                                    <w:pStyle w:val="TableParagraph"/>
                                    <w:ind w:right="47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38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6117" w:type="dxa"/>
                                </w:tcPr>
                                <w:p>
                                  <w:pPr>
                                    <w:pStyle w:val="TableParagraph"/>
                                    <w:ind w:left="19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Pupae</w:t>
                                  </w: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>
                                  <w:pPr>
                                    <w:pStyle w:val="TableParagraph"/>
                                    <w:ind w:left="20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22"/>
                                    </w:rPr>
                                    <w:t>pupaeUDT</w:t>
                                  </w:r>
                                </w:p>
                              </w:tc>
                              <w:tc>
                                <w:tcPr>
                                  <w:tcW w:w="1685" w:type="dxa"/>
                                </w:tcPr>
                                <w:p>
                                  <w:pPr>
                                    <w:pStyle w:val="TableParagraph"/>
                                    <w:ind w:right="47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38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6117" w:type="dxa"/>
                                </w:tcPr>
                                <w:p>
                                  <w:pPr>
                                    <w:pStyle w:val="TableParagraph"/>
                                    <w:spacing w:line="250" w:lineRule="exact"/>
                                    <w:ind w:left="19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Adult</w:t>
                                  </w: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>
                                  <w:pPr>
                                    <w:pStyle w:val="TableParagraph"/>
                                    <w:spacing w:line="250" w:lineRule="exact"/>
                                    <w:ind w:left="20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adultUDT</w:t>
                                  </w:r>
                                </w:p>
                              </w:tc>
                              <w:tc>
                                <w:tcPr>
                                  <w:tcW w:w="1685" w:type="dxa"/>
                                </w:tcPr>
                                <w:p>
                                  <w:pPr>
                                    <w:pStyle w:val="TableParagraph"/>
                                    <w:spacing w:line="250" w:lineRule="exact"/>
                                    <w:ind w:right="47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38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9" w:hRule="atLeast"/>
                              </w:trPr>
                              <w:tc>
                                <w:tcPr>
                                  <w:tcW w:w="10639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line="249" w:lineRule="exact"/>
                                    <w:ind w:left="50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w w:val="110"/>
                                      <w:sz w:val="22"/>
                                    </w:rPr>
                                    <w:t>Stage</w:t>
                                  </w:r>
                                  <w:r>
                                    <w:rPr>
                                      <w:b/>
                                      <w:spacing w:val="5"/>
                                      <w:w w:val="1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w w:val="110"/>
                                      <w:sz w:val="22"/>
                                    </w:rPr>
                                    <w:t>durations</w:t>
                                  </w:r>
                                  <w:r>
                                    <w:rPr>
                                      <w:b/>
                                      <w:spacing w:val="6"/>
                                      <w:w w:val="1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w w:val="110"/>
                                      <w:sz w:val="22"/>
                                    </w:rPr>
                                    <w:t>(°C</w:t>
                                  </w:r>
                                  <w:r>
                                    <w:rPr>
                                      <w:b/>
                                      <w:spacing w:val="5"/>
                                      <w:w w:val="1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w w:val="110"/>
                                      <w:sz w:val="22"/>
                                    </w:rPr>
                                    <w:t>degree-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110"/>
                                      <w:sz w:val="22"/>
                                    </w:rPr>
                                    <w:t>days)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3" w:hRule="atLeast"/>
                              </w:trPr>
                              <w:tc>
                                <w:tcPr>
                                  <w:tcW w:w="6117" w:type="dxa"/>
                                </w:tcPr>
                                <w:p>
                                  <w:pPr>
                                    <w:pStyle w:val="TableParagraph"/>
                                    <w:spacing w:line="253" w:lineRule="exact"/>
                                    <w:ind w:left="19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Egg</w:t>
                                  </w: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>
                                  <w:pPr>
                                    <w:pStyle w:val="TableParagraph"/>
                                    <w:spacing w:line="253" w:lineRule="exact"/>
                                    <w:ind w:left="20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90"/>
                                      <w:sz w:val="22"/>
                                    </w:rPr>
                                    <w:t>eggDD</w:t>
                                  </w:r>
                                </w:p>
                              </w:tc>
                              <w:tc>
                                <w:tcPr>
                                  <w:tcW w:w="1685" w:type="dxa"/>
                                </w:tcPr>
                                <w:p>
                                  <w:pPr>
                                    <w:pStyle w:val="TableParagraph"/>
                                    <w:spacing w:line="253" w:lineRule="exact"/>
                                    <w:ind w:right="47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71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6117" w:type="dxa"/>
                                </w:tcPr>
                                <w:p>
                                  <w:pPr>
                                    <w:pStyle w:val="TableParagraph"/>
                                    <w:ind w:left="19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Larvae</w:t>
                                  </w: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>
                                  <w:pPr>
                                    <w:pStyle w:val="TableParagraph"/>
                                    <w:ind w:left="20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larvaeDD</w:t>
                                  </w:r>
                                </w:p>
                              </w:tc>
                              <w:tc>
                                <w:tcPr>
                                  <w:tcW w:w="1685" w:type="dxa"/>
                                </w:tcPr>
                                <w:p>
                                  <w:pPr>
                                    <w:pStyle w:val="TableParagraph"/>
                                    <w:ind w:right="47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155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6117" w:type="dxa"/>
                                </w:tcPr>
                                <w:p>
                                  <w:pPr>
                                    <w:pStyle w:val="TableParagraph"/>
                                    <w:ind w:left="19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Pupae</w:t>
                                  </w: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>
                                  <w:pPr>
                                    <w:pStyle w:val="TableParagraph"/>
                                    <w:ind w:left="20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85"/>
                                      <w:sz w:val="22"/>
                                    </w:rPr>
                                    <w:t>pupDD</w:t>
                                  </w:r>
                                </w:p>
                              </w:tc>
                              <w:tc>
                                <w:tcPr>
                                  <w:tcW w:w="1685" w:type="dxa"/>
                                </w:tcPr>
                                <w:p>
                                  <w:pPr>
                                    <w:pStyle w:val="TableParagraph"/>
                                    <w:ind w:right="47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175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20" w:hRule="atLeast"/>
                              </w:trPr>
                              <w:tc>
                                <w:tcPr>
                                  <w:tcW w:w="6117" w:type="dxa"/>
                                </w:tcPr>
                                <w:p>
                                  <w:pPr>
                                    <w:pStyle w:val="TableParagraph"/>
                                    <w:spacing w:line="290" w:lineRule="exact"/>
                                    <w:ind w:left="19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Adult</w:t>
                                  </w: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>
                                  <w:pPr>
                                    <w:pStyle w:val="TableParagraph"/>
                                    <w:spacing w:line="290" w:lineRule="exact"/>
                                    <w:ind w:left="20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adultDD</w:t>
                                  </w:r>
                                </w:p>
                              </w:tc>
                              <w:tc>
                                <w:tcPr>
                                  <w:tcW w:w="1685" w:type="dxa"/>
                                </w:tcPr>
                                <w:p>
                                  <w:pPr>
                                    <w:pStyle w:val="TableParagraph"/>
                                    <w:spacing w:line="290" w:lineRule="exact"/>
                                    <w:ind w:right="47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83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2" w:hRule="atLeast"/>
                              </w:trPr>
                              <w:tc>
                                <w:tcPr>
                                  <w:tcW w:w="6117" w:type="dxa"/>
                                </w:tcPr>
                                <w:p>
                                  <w:pPr>
                                    <w:pStyle w:val="TableParagraph"/>
                                    <w:spacing w:line="258" w:lineRule="exact" w:before="15"/>
                                    <w:ind w:left="19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J-larval</w:t>
                                  </w:r>
                                  <w:r>
                                    <w:rPr>
                                      <w:spacing w:val="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development</w:t>
                                  </w:r>
                                  <w:r>
                                    <w:rPr>
                                      <w:spacing w:val="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complete</w:t>
                                  </w: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>
                                  <w:pPr>
                                    <w:pStyle w:val="TableParagraph"/>
                                    <w:spacing w:line="258" w:lineRule="exact" w:before="15"/>
                                    <w:ind w:left="20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2"/>
                                    </w:rPr>
                                    <w:t>OWEventDD</w:t>
                                  </w:r>
                                </w:p>
                              </w:tc>
                              <w:tc>
                                <w:tcPr>
                                  <w:tcW w:w="1685" w:type="dxa"/>
                                </w:tcPr>
                                <w:p>
                                  <w:pPr>
                                    <w:pStyle w:val="TableParagraph"/>
                                    <w:spacing w:line="258" w:lineRule="exact" w:before="15"/>
                                    <w:ind w:right="47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220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6117" w:type="dxa"/>
                                </w:tcPr>
                                <w:p>
                                  <w:pPr>
                                    <w:pStyle w:val="TableParagraph"/>
                                    <w:ind w:left="19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Egg</w:t>
                                  </w:r>
                                  <w:r>
                                    <w:rPr>
                                      <w:spacing w:val="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hatch</w:t>
                                  </w: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>
                                  <w:pPr>
                                    <w:pStyle w:val="TableParagraph"/>
                                    <w:ind w:left="20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eggEventDD</w:t>
                                  </w:r>
                                </w:p>
                              </w:tc>
                              <w:tc>
                                <w:tcPr>
                                  <w:tcW w:w="1685" w:type="dxa"/>
                                </w:tcPr>
                                <w:p>
                                  <w:pPr>
                                    <w:pStyle w:val="TableParagraph"/>
                                    <w:ind w:right="47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71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6117" w:type="dxa"/>
                                </w:tcPr>
                                <w:p>
                                  <w:pPr>
                                    <w:pStyle w:val="TableParagraph"/>
                                    <w:ind w:left="19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Developing</w:t>
                                  </w:r>
                                  <w:r>
                                    <w:rPr>
                                      <w:spacing w:val="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J-larvae</w:t>
                                  </w: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>
                                  <w:pPr>
                                    <w:pStyle w:val="TableParagraph"/>
                                    <w:ind w:left="20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larvaeEventDD</w:t>
                                  </w:r>
                                </w:p>
                              </w:tc>
                              <w:tc>
                                <w:tcPr>
                                  <w:tcW w:w="1685" w:type="dxa"/>
                                </w:tcPr>
                                <w:p>
                                  <w:pPr>
                                    <w:pStyle w:val="TableParagraph"/>
                                    <w:ind w:right="47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77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6117" w:type="dxa"/>
                                </w:tcPr>
                                <w:p>
                                  <w:pPr>
                                    <w:pStyle w:val="TableParagraph"/>
                                    <w:ind w:left="19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Adult</w:t>
                                  </w:r>
                                  <w:r>
                                    <w:rPr>
                                      <w:spacing w:val="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emergence</w:t>
                                  </w:r>
                                  <w:r>
                                    <w:rPr>
                                      <w:spacing w:val="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(pupal</w:t>
                                  </w:r>
                                  <w:r>
                                    <w:rPr>
                                      <w:spacing w:val="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development</w:t>
                                  </w:r>
                                  <w:r>
                                    <w:rPr>
                                      <w:spacing w:val="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complete)</w:t>
                                  </w: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>
                                  <w:pPr>
                                    <w:pStyle w:val="TableParagraph"/>
                                    <w:ind w:left="20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pupaeEventDD</w:t>
                                  </w:r>
                                </w:p>
                              </w:tc>
                              <w:tc>
                                <w:tcPr>
                                  <w:tcW w:w="1685" w:type="dxa"/>
                                </w:tcPr>
                                <w:p>
                                  <w:pPr>
                                    <w:pStyle w:val="TableParagraph"/>
                                    <w:ind w:right="47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145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20" w:hRule="atLeast"/>
                              </w:trPr>
                              <w:tc>
                                <w:tcPr>
                                  <w:tcW w:w="6117" w:type="dxa"/>
                                </w:tcPr>
                                <w:p>
                                  <w:pPr>
                                    <w:pStyle w:val="TableParagraph"/>
                                    <w:spacing w:line="290" w:lineRule="exact"/>
                                    <w:ind w:left="19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Egg</w:t>
                                  </w:r>
                                  <w:r>
                                    <w:rPr>
                                      <w:spacing w:val="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laying</w:t>
                                  </w: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>
                                  <w:pPr>
                                    <w:pStyle w:val="TableParagraph"/>
                                    <w:spacing w:line="290" w:lineRule="exact"/>
                                    <w:ind w:left="20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adultEventDD</w:t>
                                  </w:r>
                                </w:p>
                              </w:tc>
                              <w:tc>
                                <w:tcPr>
                                  <w:tcW w:w="1685" w:type="dxa"/>
                                </w:tcPr>
                                <w:p>
                                  <w:pPr>
                                    <w:pStyle w:val="TableParagraph"/>
                                    <w:spacing w:line="290" w:lineRule="exact"/>
                                    <w:ind w:right="47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2" w:hRule="atLeast"/>
                              </w:trPr>
                              <w:tc>
                                <w:tcPr>
                                  <w:tcW w:w="6117" w:type="dxa"/>
                                </w:tcPr>
                                <w:p>
                                  <w:pPr>
                                    <w:pStyle w:val="TableParagraph"/>
                                    <w:spacing w:line="258" w:lineRule="exact" w:before="15"/>
                                    <w:ind w:left="19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Cold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stress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temperature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threshold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(°C)</w:t>
                                  </w: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>
                                  <w:pPr>
                                    <w:pStyle w:val="TableParagraph"/>
                                    <w:spacing w:line="258" w:lineRule="exact" w:before="15"/>
                                    <w:ind w:left="20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22"/>
                                    </w:rPr>
                                    <w:t>coldstress_threshold</w:t>
                                  </w:r>
                                </w:p>
                              </w:tc>
                              <w:tc>
                                <w:tcPr>
                                  <w:tcW w:w="1685" w:type="dxa"/>
                                </w:tcPr>
                                <w:p>
                                  <w:pPr>
                                    <w:pStyle w:val="TableParagraph"/>
                                    <w:spacing w:line="258" w:lineRule="exact" w:before="15"/>
                                    <w:ind w:right="47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2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6117" w:type="dxa"/>
                                </w:tcPr>
                                <w:p>
                                  <w:pPr>
                                    <w:pStyle w:val="TableParagraph"/>
                                    <w:ind w:left="19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Cold</w:t>
                                  </w:r>
                                  <w:r>
                                    <w:rPr>
                                      <w:spacing w:val="-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degree-day</w:t>
                                  </w:r>
                                  <w:r>
                                    <w:rPr>
                                      <w:spacing w:val="-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(°C)</w:t>
                                  </w:r>
                                  <w:r>
                                    <w:rPr>
                                      <w:spacing w:val="-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limit</w:t>
                                  </w:r>
                                  <w:r>
                                    <w:rPr>
                                      <w:spacing w:val="-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when</w:t>
                                  </w:r>
                                  <w:r>
                                    <w:rPr>
                                      <w:spacing w:val="-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most</w:t>
                                  </w:r>
                                  <w:r>
                                    <w:rPr>
                                      <w:spacing w:val="-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individuals</w:t>
                                  </w:r>
                                  <w:r>
                                    <w:rPr>
                                      <w:spacing w:val="-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die</w:t>
                                  </w: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>
                                  <w:pPr>
                                    <w:pStyle w:val="TableParagraph"/>
                                    <w:ind w:left="20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2"/>
                                    </w:rPr>
                                    <w:t>coldstress_units_max1</w:t>
                                  </w:r>
                                </w:p>
                              </w:tc>
                              <w:tc>
                                <w:tcPr>
                                  <w:tcW w:w="1685" w:type="dxa"/>
                                </w:tcPr>
                                <w:p>
                                  <w:pPr>
                                    <w:pStyle w:val="TableParagraph"/>
                                    <w:ind w:right="47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25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20" w:hRule="atLeast"/>
                              </w:trPr>
                              <w:tc>
                                <w:tcPr>
                                  <w:tcW w:w="6117" w:type="dxa"/>
                                </w:tcPr>
                                <w:p>
                                  <w:pPr>
                                    <w:pStyle w:val="TableParagraph"/>
                                    <w:spacing w:line="290" w:lineRule="exact"/>
                                    <w:ind w:left="19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Cold</w:t>
                                  </w:r>
                                  <w:r>
                                    <w:rPr>
                                      <w:spacing w:val="-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degree-day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(°C)</w:t>
                                  </w:r>
                                  <w:r>
                                    <w:rPr>
                                      <w:spacing w:val="-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limit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when</w:t>
                                  </w:r>
                                  <w:r>
                                    <w:rPr>
                                      <w:spacing w:val="-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all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individuals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die</w:t>
                                  </w: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>
                                  <w:pPr>
                                    <w:pStyle w:val="TableParagraph"/>
                                    <w:spacing w:line="290" w:lineRule="exact"/>
                                    <w:ind w:left="20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2"/>
                                    </w:rPr>
                                    <w:t>coldstress_units_max2</w:t>
                                  </w:r>
                                </w:p>
                              </w:tc>
                              <w:tc>
                                <w:tcPr>
                                  <w:tcW w:w="1685" w:type="dxa"/>
                                </w:tcPr>
                                <w:p>
                                  <w:pPr>
                                    <w:pStyle w:val="TableParagraph"/>
                                    <w:spacing w:line="290" w:lineRule="exact"/>
                                    <w:ind w:right="47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250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2" w:hRule="atLeast"/>
                              </w:trPr>
                              <w:tc>
                                <w:tcPr>
                                  <w:tcW w:w="6117" w:type="dxa"/>
                                </w:tcPr>
                                <w:p>
                                  <w:pPr>
                                    <w:pStyle w:val="TableParagraph"/>
                                    <w:spacing w:line="258" w:lineRule="exact" w:before="15"/>
                                    <w:ind w:left="19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Heat</w:t>
                                  </w:r>
                                  <w:r>
                                    <w:rPr>
                                      <w:spacing w:val="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stress</w:t>
                                  </w:r>
                                  <w:r>
                                    <w:rPr>
                                      <w:spacing w:val="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temperature</w:t>
                                  </w:r>
                                  <w:r>
                                    <w:rPr>
                                      <w:spacing w:val="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threshold</w:t>
                                  </w:r>
                                  <w:r>
                                    <w:rPr>
                                      <w:spacing w:val="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(°C)</w:t>
                                  </w: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>
                                  <w:pPr>
                                    <w:pStyle w:val="TableParagraph"/>
                                    <w:spacing w:line="258" w:lineRule="exact" w:before="15"/>
                                    <w:ind w:left="20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22"/>
                                    </w:rPr>
                                    <w:t>heatstress_threshold</w:t>
                                  </w:r>
                                </w:p>
                              </w:tc>
                              <w:tc>
                                <w:tcPr>
                                  <w:tcW w:w="1685" w:type="dxa"/>
                                </w:tcPr>
                                <w:p>
                                  <w:pPr>
                                    <w:pStyle w:val="TableParagraph"/>
                                    <w:spacing w:line="258" w:lineRule="exact" w:before="15"/>
                                    <w:ind w:right="47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40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6117" w:type="dxa"/>
                                </w:tcPr>
                                <w:p>
                                  <w:pPr>
                                    <w:pStyle w:val="TableParagraph"/>
                                    <w:ind w:left="19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Heat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stress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degree-day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(°C)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limit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when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most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individuals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die</w:t>
                                  </w: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>
                                  <w:pPr>
                                    <w:pStyle w:val="TableParagraph"/>
                                    <w:ind w:left="20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2"/>
                                    </w:rPr>
                                    <w:t>heatstress_units_max1</w:t>
                                  </w:r>
                                </w:p>
                              </w:tc>
                              <w:tc>
                                <w:tcPr>
                                  <w:tcW w:w="1685" w:type="dxa"/>
                                </w:tcPr>
                                <w:p>
                                  <w:pPr>
                                    <w:pStyle w:val="TableParagraph"/>
                                    <w:ind w:right="47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75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6117" w:type="dxa"/>
                                </w:tcPr>
                                <w:p>
                                  <w:pPr>
                                    <w:pStyle w:val="TableParagraph"/>
                                    <w:spacing w:line="250" w:lineRule="exact"/>
                                    <w:ind w:left="19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Heat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stress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degree-day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(°C)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limit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when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all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individuals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die</w:t>
                                  </w: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>
                                  <w:pPr>
                                    <w:pStyle w:val="TableParagraph"/>
                                    <w:spacing w:line="250" w:lineRule="exact"/>
                                    <w:ind w:left="20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2"/>
                                    </w:rPr>
                                    <w:t>heatstress_units_max2</w:t>
                                  </w:r>
                                </w:p>
                              </w:tc>
                              <w:tc>
                                <w:tcPr>
                                  <w:tcW w:w="1685" w:type="dxa"/>
                                </w:tcPr>
                                <w:p>
                                  <w:pPr>
                                    <w:pStyle w:val="TableParagraph"/>
                                    <w:spacing w:line="250" w:lineRule="exact"/>
                                    <w:ind w:right="47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150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9" w:hRule="atLeast"/>
                              </w:trPr>
                              <w:tc>
                                <w:tcPr>
                                  <w:tcW w:w="10639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line="249" w:lineRule="exact"/>
                                    <w:ind w:left="50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10"/>
                                      <w:sz w:val="22"/>
                                    </w:rPr>
                                    <w:t>Cohorts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3" w:hRule="atLeast"/>
                              </w:trPr>
                              <w:tc>
                                <w:tcPr>
                                  <w:tcW w:w="6117" w:type="dxa"/>
                                </w:tcPr>
                                <w:p>
                                  <w:pPr>
                                    <w:pStyle w:val="TableParagraph"/>
                                    <w:spacing w:line="253" w:lineRule="exact"/>
                                    <w:ind w:left="19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Degree-days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(°C)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emergence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(average)</w:t>
                                  </w: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>
                                  <w:pPr>
                                    <w:pStyle w:val="TableParagraph"/>
                                    <w:spacing w:line="253" w:lineRule="exact"/>
                                    <w:ind w:left="20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2"/>
                                    </w:rPr>
                                    <w:t>distro_mean</w:t>
                                  </w:r>
                                </w:p>
                              </w:tc>
                              <w:tc>
                                <w:tcPr>
                                  <w:tcW w:w="1685" w:type="dxa"/>
                                </w:tcPr>
                                <w:p>
                                  <w:pPr>
                                    <w:pStyle w:val="TableParagraph"/>
                                    <w:spacing w:line="253" w:lineRule="exact"/>
                                    <w:ind w:right="47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220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6117" w:type="dxa"/>
                                </w:tcPr>
                                <w:p>
                                  <w:pPr>
                                    <w:pStyle w:val="TableParagraph"/>
                                    <w:ind w:left="19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Degree-days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(°C)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emergence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(variation)</w:t>
                                  </w: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>
                                  <w:pPr>
                                    <w:pStyle w:val="TableParagraph"/>
                                    <w:ind w:left="20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22"/>
                                    </w:rPr>
                                    <w:t>distro_var</w:t>
                                  </w:r>
                                </w:p>
                              </w:tc>
                              <w:tc>
                                <w:tcPr>
                                  <w:tcW w:w="1685" w:type="dxa"/>
                                </w:tcPr>
                                <w:p>
                                  <w:pPr>
                                    <w:pStyle w:val="TableParagraph"/>
                                    <w:ind w:right="47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500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6117" w:type="dxa"/>
                                </w:tcPr>
                                <w:p>
                                  <w:pPr>
                                    <w:pStyle w:val="TableParagraph"/>
                                    <w:ind w:left="19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Minimum</w:t>
                                  </w:r>
                                  <w:r>
                                    <w:rPr>
                                      <w:spacing w:val="-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degree-days</w:t>
                                  </w:r>
                                  <w:r>
                                    <w:rPr>
                                      <w:spacing w:val="-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(°C)</w:t>
                                  </w:r>
                                  <w:r>
                                    <w:rPr>
                                      <w:spacing w:val="-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emergence</w:t>
                                  </w: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>
                                  <w:pPr>
                                    <w:pStyle w:val="TableParagraph"/>
                                    <w:ind w:left="20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22"/>
                                    </w:rPr>
                                    <w:t>xdist1</w:t>
                                  </w:r>
                                </w:p>
                              </w:tc>
                              <w:tc>
                                <w:tcPr>
                                  <w:tcW w:w="1685" w:type="dxa"/>
                                </w:tcPr>
                                <w:p>
                                  <w:pPr>
                                    <w:pStyle w:val="TableParagraph"/>
                                    <w:ind w:right="47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140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6117" w:type="dxa"/>
                                </w:tcPr>
                                <w:p>
                                  <w:pPr>
                                    <w:pStyle w:val="TableParagraph"/>
                                    <w:ind w:left="19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Maximum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degree-days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(°C)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emergence</w:t>
                                  </w: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>
                                  <w:pPr>
                                    <w:pStyle w:val="TableParagraph"/>
                                    <w:ind w:left="20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22"/>
                                    </w:rPr>
                                    <w:t>xdist2</w:t>
                                  </w:r>
                                </w:p>
                              </w:tc>
                              <w:tc>
                                <w:tcPr>
                                  <w:tcW w:w="1685" w:type="dxa"/>
                                </w:tcPr>
                                <w:p>
                                  <w:pPr>
                                    <w:pStyle w:val="TableParagraph"/>
                                    <w:ind w:right="47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280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6117" w:type="dxa"/>
                                </w:tcPr>
                                <w:p>
                                  <w:pPr>
                                    <w:pStyle w:val="TableParagraph"/>
                                    <w:spacing w:line="250" w:lineRule="exact"/>
                                    <w:ind w:left="19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Shape</w:t>
                                  </w:r>
                                  <w:r>
                                    <w:rPr>
                                      <w:spacing w:val="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distribution</w:t>
                                  </w: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>
                                  <w:pPr>
                                    <w:pStyle w:val="TableParagraph"/>
                                    <w:spacing w:line="250" w:lineRule="exact"/>
                                    <w:ind w:left="20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2"/>
                                    </w:rPr>
                                    <w:t>distro_shape</w:t>
                                  </w:r>
                                </w:p>
                              </w:tc>
                              <w:tc>
                                <w:tcPr>
                                  <w:tcW w:w="1685" w:type="dxa"/>
                                </w:tcPr>
                                <w:p>
                                  <w:pPr>
                                    <w:pStyle w:val="TableParagraph"/>
                                    <w:spacing w:line="250" w:lineRule="exact"/>
                                    <w:ind w:right="47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normal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9" w:hRule="atLeast"/>
                              </w:trPr>
                              <w:tc>
                                <w:tcPr>
                                  <w:tcW w:w="10639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line="249" w:lineRule="exact"/>
                                    <w:ind w:left="50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w w:val="110"/>
                                      <w:sz w:val="22"/>
                                    </w:rPr>
                                    <w:t>Other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3" w:hRule="atLeast"/>
                              </w:trPr>
                              <w:tc>
                                <w:tcPr>
                                  <w:tcW w:w="6117" w:type="dxa"/>
                                </w:tcPr>
                                <w:p>
                                  <w:pPr>
                                    <w:pStyle w:val="TableParagraph"/>
                                    <w:spacing w:line="253" w:lineRule="exact"/>
                                    <w:ind w:left="19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Order</w:t>
                                  </w:r>
                                  <w:r>
                                    <w:rPr>
                                      <w:spacing w:val="-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stages</w:t>
                                  </w: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>
                                  <w:pPr>
                                    <w:pStyle w:val="TableParagraph"/>
                                    <w:spacing w:line="253" w:lineRule="exact"/>
                                    <w:ind w:left="20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2"/>
                                    </w:rPr>
                                    <w:t>stgorder</w:t>
                                  </w:r>
                                </w:p>
                              </w:tc>
                              <w:tc>
                                <w:tcPr>
                                  <w:tcW w:w="1685" w:type="dxa"/>
                                </w:tcPr>
                                <w:p>
                                  <w:pPr>
                                    <w:pStyle w:val="TableParagraph"/>
                                    <w:spacing w:line="253" w:lineRule="exact"/>
                                    <w:ind w:right="47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2"/>
                                    </w:rPr>
                                    <w:t>OP,</w:t>
                                  </w:r>
                                  <w:r>
                                    <w:rPr>
                                      <w:spacing w:val="9"/>
                                      <w:w w:val="10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2"/>
                                    </w:rPr>
                                    <w:t>E,</w:t>
                                  </w:r>
                                  <w:r>
                                    <w:rPr>
                                      <w:spacing w:val="9"/>
                                      <w:w w:val="10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2"/>
                                    </w:rPr>
                                    <w:t>L,</w:t>
                                  </w:r>
                                  <w:r>
                                    <w:rPr>
                                      <w:spacing w:val="9"/>
                                      <w:w w:val="10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2"/>
                                    </w:rPr>
                                    <w:t>P,</w:t>
                                  </w:r>
                                  <w:r>
                                    <w:rPr>
                                      <w:spacing w:val="9"/>
                                      <w:w w:val="10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22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1" w:hRule="atLeast"/>
                              </w:trPr>
                              <w:tc>
                                <w:tcPr>
                                  <w:tcW w:w="6117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90" w:lineRule="exact"/>
                                    <w:ind w:left="19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Degree-day</w:t>
                                  </w:r>
                                  <w:r>
                                    <w:rPr>
                                      <w:spacing w:val="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calculation</w:t>
                                  </w:r>
                                  <w:r>
                                    <w:rPr>
                                      <w:spacing w:val="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method</w:t>
                                  </w:r>
                                </w:p>
                              </w:tc>
                              <w:tc>
                                <w:tcPr>
                                  <w:tcW w:w="2837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90" w:lineRule="exact"/>
                                    <w:ind w:left="20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22"/>
                                    </w:rPr>
                                    <w:t>calctype</w:t>
                                  </w:r>
                                </w:p>
                              </w:tc>
                              <w:tc>
                                <w:tcPr>
                                  <w:tcW w:w="1685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90" w:lineRule="exact"/>
                                    <w:ind w:right="47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average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020pt;margin-top:-183.01799pt;width:538pt;height:499.0pt;mso-position-horizontal-relative:page;mso-position-vertical-relative:paragraph;z-index:15729664" type="#_x0000_t202" id="docshape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117"/>
                        <w:gridCol w:w="2837"/>
                        <w:gridCol w:w="1685"/>
                      </w:tblGrid>
                      <w:tr>
                        <w:trPr>
                          <w:trHeight w:val="366" w:hRule="atLeast"/>
                        </w:trPr>
                        <w:tc>
                          <w:tcPr>
                            <w:tcW w:w="6117" w:type="dxa"/>
                            <w:tcBorders>
                              <w:top w:val="single" w:sz="8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8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Parameter</w:t>
                            </w:r>
                          </w:p>
                        </w:tc>
                        <w:tc>
                          <w:tcPr>
                            <w:tcW w:w="2837" w:type="dxa"/>
                            <w:tcBorders>
                              <w:top w:val="single" w:sz="8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8"/>
                              <w:ind w:left="20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Code</w:t>
                            </w:r>
                          </w:p>
                        </w:tc>
                        <w:tc>
                          <w:tcPr>
                            <w:tcW w:w="1685" w:type="dxa"/>
                            <w:tcBorders>
                              <w:top w:val="single" w:sz="8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8"/>
                              <w:ind w:right="47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Value</w:t>
                            </w:r>
                          </w:p>
                        </w:tc>
                      </w:tr>
                      <w:tr>
                        <w:trPr>
                          <w:trHeight w:val="295" w:hRule="atLeast"/>
                        </w:trPr>
                        <w:tc>
                          <w:tcPr>
                            <w:tcW w:w="6117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8" w:lineRule="exact" w:before="18"/>
                              <w:ind w:left="19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Pupae</w:t>
                            </w:r>
                          </w:p>
                        </w:tc>
                        <w:tc>
                          <w:tcPr>
                            <w:tcW w:w="2837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8" w:lineRule="exact" w:before="18"/>
                              <w:ind w:left="20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22"/>
                              </w:rPr>
                              <w:t>pupaeLDT</w:t>
                            </w:r>
                          </w:p>
                        </w:tc>
                        <w:tc>
                          <w:tcPr>
                            <w:tcW w:w="1685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8" w:lineRule="exact" w:before="18"/>
                              <w:ind w:right="47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11.7</w:t>
                            </w:r>
                          </w:p>
                        </w:tc>
                      </w:tr>
                      <w:tr>
                        <w:trPr>
                          <w:trHeight w:val="292" w:hRule="atLeast"/>
                        </w:trPr>
                        <w:tc>
                          <w:tcPr>
                            <w:tcW w:w="6117" w:type="dxa"/>
                          </w:tcPr>
                          <w:p>
                            <w:pPr>
                              <w:pStyle w:val="TableParagraph"/>
                              <w:spacing w:line="273" w:lineRule="exact"/>
                              <w:ind w:left="19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Adult</w:t>
                            </w:r>
                          </w:p>
                        </w:tc>
                        <w:tc>
                          <w:tcPr>
                            <w:tcW w:w="2837" w:type="dxa"/>
                          </w:tcPr>
                          <w:p>
                            <w:pPr>
                              <w:pStyle w:val="TableParagraph"/>
                              <w:spacing w:line="273" w:lineRule="exact"/>
                              <w:ind w:left="20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adultLDT</w:t>
                            </w:r>
                          </w:p>
                        </w:tc>
                        <w:tc>
                          <w:tcPr>
                            <w:tcW w:w="1685" w:type="dxa"/>
                          </w:tcPr>
                          <w:p>
                            <w:pPr>
                              <w:pStyle w:val="TableParagraph"/>
                              <w:spacing w:line="273" w:lineRule="exact"/>
                              <w:ind w:right="47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11.7</w:t>
                            </w:r>
                          </w:p>
                        </w:tc>
                      </w:tr>
                      <w:tr>
                        <w:trPr>
                          <w:trHeight w:val="227" w:hRule="atLeast"/>
                        </w:trPr>
                        <w:tc>
                          <w:tcPr>
                            <w:tcW w:w="10639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left="50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22"/>
                              </w:rPr>
                              <w:t>Upper</w:t>
                            </w:r>
                            <w:r>
                              <w:rPr>
                                <w:b/>
                                <w:spacing w:val="33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22"/>
                              </w:rPr>
                              <w:t>developmental</w:t>
                            </w:r>
                            <w:r>
                              <w:rPr>
                                <w:b/>
                                <w:spacing w:val="33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22"/>
                              </w:rPr>
                              <w:t>thresholds</w:t>
                            </w:r>
                            <w:r>
                              <w:rPr>
                                <w:b/>
                                <w:spacing w:val="33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w w:val="105"/>
                                <w:sz w:val="22"/>
                              </w:rPr>
                              <w:t>(°C)</w:t>
                            </w:r>
                          </w:p>
                        </w:tc>
                      </w:tr>
                      <w:tr>
                        <w:trPr>
                          <w:trHeight w:val="292" w:hRule="atLeast"/>
                        </w:trPr>
                        <w:tc>
                          <w:tcPr>
                            <w:tcW w:w="6117" w:type="dxa"/>
                          </w:tcPr>
                          <w:p>
                            <w:pPr>
                              <w:pStyle w:val="TableParagraph"/>
                              <w:spacing w:line="258" w:lineRule="exact" w:before="15"/>
                              <w:ind w:left="19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Egg</w:t>
                            </w:r>
                          </w:p>
                        </w:tc>
                        <w:tc>
                          <w:tcPr>
                            <w:tcW w:w="2837" w:type="dxa"/>
                          </w:tcPr>
                          <w:p>
                            <w:pPr>
                              <w:pStyle w:val="TableParagraph"/>
                              <w:spacing w:line="258" w:lineRule="exact" w:before="15"/>
                              <w:ind w:left="20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22"/>
                              </w:rPr>
                              <w:t>eggUDT</w:t>
                            </w:r>
                          </w:p>
                        </w:tc>
                        <w:tc>
                          <w:tcPr>
                            <w:tcW w:w="1685" w:type="dxa"/>
                          </w:tcPr>
                          <w:p>
                            <w:pPr>
                              <w:pStyle w:val="TableParagraph"/>
                              <w:spacing w:line="258" w:lineRule="exact" w:before="15"/>
                              <w:ind w:right="47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38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6117" w:type="dxa"/>
                          </w:tcPr>
                          <w:p>
                            <w:pPr>
                              <w:pStyle w:val="TableParagraph"/>
                              <w:ind w:left="19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Larvae</w:t>
                            </w:r>
                          </w:p>
                        </w:tc>
                        <w:tc>
                          <w:tcPr>
                            <w:tcW w:w="2837" w:type="dxa"/>
                          </w:tcPr>
                          <w:p>
                            <w:pPr>
                              <w:pStyle w:val="TableParagraph"/>
                              <w:ind w:left="20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larvaeUDT</w:t>
                            </w:r>
                          </w:p>
                        </w:tc>
                        <w:tc>
                          <w:tcPr>
                            <w:tcW w:w="1685" w:type="dxa"/>
                          </w:tcPr>
                          <w:p>
                            <w:pPr>
                              <w:pStyle w:val="TableParagraph"/>
                              <w:ind w:right="47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38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6117" w:type="dxa"/>
                          </w:tcPr>
                          <w:p>
                            <w:pPr>
                              <w:pStyle w:val="TableParagraph"/>
                              <w:ind w:left="19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Pupae</w:t>
                            </w:r>
                          </w:p>
                        </w:tc>
                        <w:tc>
                          <w:tcPr>
                            <w:tcW w:w="2837" w:type="dxa"/>
                          </w:tcPr>
                          <w:p>
                            <w:pPr>
                              <w:pStyle w:val="TableParagraph"/>
                              <w:ind w:left="20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22"/>
                              </w:rPr>
                              <w:t>pupaeUDT</w:t>
                            </w:r>
                          </w:p>
                        </w:tc>
                        <w:tc>
                          <w:tcPr>
                            <w:tcW w:w="1685" w:type="dxa"/>
                          </w:tcPr>
                          <w:p>
                            <w:pPr>
                              <w:pStyle w:val="TableParagraph"/>
                              <w:ind w:right="47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38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6117" w:type="dxa"/>
                          </w:tcPr>
                          <w:p>
                            <w:pPr>
                              <w:pStyle w:val="TableParagraph"/>
                              <w:spacing w:line="250" w:lineRule="exact"/>
                              <w:ind w:left="19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Adult</w:t>
                            </w:r>
                          </w:p>
                        </w:tc>
                        <w:tc>
                          <w:tcPr>
                            <w:tcW w:w="2837" w:type="dxa"/>
                          </w:tcPr>
                          <w:p>
                            <w:pPr>
                              <w:pStyle w:val="TableParagraph"/>
                              <w:spacing w:line="250" w:lineRule="exact"/>
                              <w:ind w:left="20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adultUDT</w:t>
                            </w:r>
                          </w:p>
                        </w:tc>
                        <w:tc>
                          <w:tcPr>
                            <w:tcW w:w="1685" w:type="dxa"/>
                          </w:tcPr>
                          <w:p>
                            <w:pPr>
                              <w:pStyle w:val="TableParagraph"/>
                              <w:spacing w:line="250" w:lineRule="exact"/>
                              <w:ind w:right="47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38</w:t>
                            </w:r>
                          </w:p>
                        </w:tc>
                      </w:tr>
                      <w:tr>
                        <w:trPr>
                          <w:trHeight w:val="269" w:hRule="atLeast"/>
                        </w:trPr>
                        <w:tc>
                          <w:tcPr>
                            <w:tcW w:w="10639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line="249" w:lineRule="exact"/>
                              <w:ind w:left="50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w w:val="110"/>
                                <w:sz w:val="22"/>
                              </w:rPr>
                              <w:t>Stage</w:t>
                            </w:r>
                            <w:r>
                              <w:rPr>
                                <w:b/>
                                <w:spacing w:val="5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w w:val="110"/>
                                <w:sz w:val="22"/>
                              </w:rPr>
                              <w:t>durations</w:t>
                            </w:r>
                            <w:r>
                              <w:rPr>
                                <w:b/>
                                <w:spacing w:val="6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w w:val="110"/>
                                <w:sz w:val="22"/>
                              </w:rPr>
                              <w:t>(°C</w:t>
                            </w:r>
                            <w:r>
                              <w:rPr>
                                <w:b/>
                                <w:spacing w:val="5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w w:val="110"/>
                                <w:sz w:val="22"/>
                              </w:rPr>
                              <w:t>degree-</w:t>
                            </w:r>
                            <w:r>
                              <w:rPr>
                                <w:b/>
                                <w:spacing w:val="-2"/>
                                <w:w w:val="110"/>
                                <w:sz w:val="22"/>
                              </w:rPr>
                              <w:t>days)</w:t>
                            </w:r>
                          </w:p>
                        </w:tc>
                      </w:tr>
                      <w:tr>
                        <w:trPr>
                          <w:trHeight w:val="273" w:hRule="atLeast"/>
                        </w:trPr>
                        <w:tc>
                          <w:tcPr>
                            <w:tcW w:w="6117" w:type="dxa"/>
                          </w:tcPr>
                          <w:p>
                            <w:pPr>
                              <w:pStyle w:val="TableParagraph"/>
                              <w:spacing w:line="253" w:lineRule="exact"/>
                              <w:ind w:left="19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Egg</w:t>
                            </w:r>
                          </w:p>
                        </w:tc>
                        <w:tc>
                          <w:tcPr>
                            <w:tcW w:w="2837" w:type="dxa"/>
                          </w:tcPr>
                          <w:p>
                            <w:pPr>
                              <w:pStyle w:val="TableParagraph"/>
                              <w:spacing w:line="253" w:lineRule="exact"/>
                              <w:ind w:left="20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w w:val="90"/>
                                <w:sz w:val="22"/>
                              </w:rPr>
                              <w:t>eggDD</w:t>
                            </w:r>
                          </w:p>
                        </w:tc>
                        <w:tc>
                          <w:tcPr>
                            <w:tcW w:w="1685" w:type="dxa"/>
                          </w:tcPr>
                          <w:p>
                            <w:pPr>
                              <w:pStyle w:val="TableParagraph"/>
                              <w:spacing w:line="253" w:lineRule="exact"/>
                              <w:ind w:right="47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71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6117" w:type="dxa"/>
                          </w:tcPr>
                          <w:p>
                            <w:pPr>
                              <w:pStyle w:val="TableParagraph"/>
                              <w:ind w:left="19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Larvae</w:t>
                            </w:r>
                          </w:p>
                        </w:tc>
                        <w:tc>
                          <w:tcPr>
                            <w:tcW w:w="2837" w:type="dxa"/>
                          </w:tcPr>
                          <w:p>
                            <w:pPr>
                              <w:pStyle w:val="TableParagraph"/>
                              <w:ind w:left="20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larvaeDD</w:t>
                            </w:r>
                          </w:p>
                        </w:tc>
                        <w:tc>
                          <w:tcPr>
                            <w:tcW w:w="1685" w:type="dxa"/>
                          </w:tcPr>
                          <w:p>
                            <w:pPr>
                              <w:pStyle w:val="TableParagraph"/>
                              <w:ind w:right="47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155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6117" w:type="dxa"/>
                          </w:tcPr>
                          <w:p>
                            <w:pPr>
                              <w:pStyle w:val="TableParagraph"/>
                              <w:ind w:left="19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Pupae</w:t>
                            </w:r>
                          </w:p>
                        </w:tc>
                        <w:tc>
                          <w:tcPr>
                            <w:tcW w:w="2837" w:type="dxa"/>
                          </w:tcPr>
                          <w:p>
                            <w:pPr>
                              <w:pStyle w:val="TableParagraph"/>
                              <w:ind w:left="20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85"/>
                                <w:sz w:val="22"/>
                              </w:rPr>
                              <w:t>pupDD</w:t>
                            </w:r>
                          </w:p>
                        </w:tc>
                        <w:tc>
                          <w:tcPr>
                            <w:tcW w:w="1685" w:type="dxa"/>
                          </w:tcPr>
                          <w:p>
                            <w:pPr>
                              <w:pStyle w:val="TableParagraph"/>
                              <w:ind w:right="47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175</w:t>
                            </w:r>
                          </w:p>
                        </w:tc>
                      </w:tr>
                      <w:tr>
                        <w:trPr>
                          <w:trHeight w:val="520" w:hRule="atLeast"/>
                        </w:trPr>
                        <w:tc>
                          <w:tcPr>
                            <w:tcW w:w="6117" w:type="dxa"/>
                          </w:tcPr>
                          <w:p>
                            <w:pPr>
                              <w:pStyle w:val="TableParagraph"/>
                              <w:spacing w:line="290" w:lineRule="exact"/>
                              <w:ind w:left="19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Adult</w:t>
                            </w:r>
                          </w:p>
                        </w:tc>
                        <w:tc>
                          <w:tcPr>
                            <w:tcW w:w="2837" w:type="dxa"/>
                          </w:tcPr>
                          <w:p>
                            <w:pPr>
                              <w:pStyle w:val="TableParagraph"/>
                              <w:spacing w:line="290" w:lineRule="exact"/>
                              <w:ind w:left="20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adultDD</w:t>
                            </w:r>
                          </w:p>
                        </w:tc>
                        <w:tc>
                          <w:tcPr>
                            <w:tcW w:w="1685" w:type="dxa"/>
                          </w:tcPr>
                          <w:p>
                            <w:pPr>
                              <w:pStyle w:val="TableParagraph"/>
                              <w:spacing w:line="290" w:lineRule="exact"/>
                              <w:ind w:right="47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83</w:t>
                            </w:r>
                          </w:p>
                        </w:tc>
                      </w:tr>
                      <w:tr>
                        <w:trPr>
                          <w:trHeight w:val="292" w:hRule="atLeast"/>
                        </w:trPr>
                        <w:tc>
                          <w:tcPr>
                            <w:tcW w:w="6117" w:type="dxa"/>
                          </w:tcPr>
                          <w:p>
                            <w:pPr>
                              <w:pStyle w:val="TableParagraph"/>
                              <w:spacing w:line="258" w:lineRule="exact" w:before="15"/>
                              <w:ind w:left="19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J-larval</w:t>
                            </w:r>
                            <w:r>
                              <w:rPr>
                                <w:spacing w:val="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development</w:t>
                            </w:r>
                            <w:r>
                              <w:rPr>
                                <w:spacing w:val="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complete</w:t>
                            </w:r>
                          </w:p>
                        </w:tc>
                        <w:tc>
                          <w:tcPr>
                            <w:tcW w:w="2837" w:type="dxa"/>
                          </w:tcPr>
                          <w:p>
                            <w:pPr>
                              <w:pStyle w:val="TableParagraph"/>
                              <w:spacing w:line="258" w:lineRule="exact" w:before="15"/>
                              <w:ind w:left="20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2"/>
                              </w:rPr>
                              <w:t>OWEventDD</w:t>
                            </w:r>
                          </w:p>
                        </w:tc>
                        <w:tc>
                          <w:tcPr>
                            <w:tcW w:w="1685" w:type="dxa"/>
                          </w:tcPr>
                          <w:p>
                            <w:pPr>
                              <w:pStyle w:val="TableParagraph"/>
                              <w:spacing w:line="258" w:lineRule="exact" w:before="15"/>
                              <w:ind w:right="47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220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6117" w:type="dxa"/>
                          </w:tcPr>
                          <w:p>
                            <w:pPr>
                              <w:pStyle w:val="TableParagraph"/>
                              <w:ind w:left="195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Egg</w:t>
                            </w:r>
                            <w:r>
                              <w:rPr>
                                <w:spacing w:val="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hatch</w:t>
                            </w:r>
                          </w:p>
                        </w:tc>
                        <w:tc>
                          <w:tcPr>
                            <w:tcW w:w="2837" w:type="dxa"/>
                          </w:tcPr>
                          <w:p>
                            <w:pPr>
                              <w:pStyle w:val="TableParagraph"/>
                              <w:ind w:left="20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eggEventDD</w:t>
                            </w:r>
                          </w:p>
                        </w:tc>
                        <w:tc>
                          <w:tcPr>
                            <w:tcW w:w="1685" w:type="dxa"/>
                          </w:tcPr>
                          <w:p>
                            <w:pPr>
                              <w:pStyle w:val="TableParagraph"/>
                              <w:ind w:right="47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71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6117" w:type="dxa"/>
                          </w:tcPr>
                          <w:p>
                            <w:pPr>
                              <w:pStyle w:val="TableParagraph"/>
                              <w:ind w:left="19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6"/>
                                <w:sz w:val="22"/>
                              </w:rPr>
                              <w:t>Developing</w:t>
                            </w:r>
                            <w:r>
                              <w:rPr>
                                <w:spacing w:val="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J-larvae</w:t>
                            </w:r>
                          </w:p>
                        </w:tc>
                        <w:tc>
                          <w:tcPr>
                            <w:tcW w:w="2837" w:type="dxa"/>
                          </w:tcPr>
                          <w:p>
                            <w:pPr>
                              <w:pStyle w:val="TableParagraph"/>
                              <w:ind w:left="20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larvaeEventDD</w:t>
                            </w:r>
                          </w:p>
                        </w:tc>
                        <w:tc>
                          <w:tcPr>
                            <w:tcW w:w="1685" w:type="dxa"/>
                          </w:tcPr>
                          <w:p>
                            <w:pPr>
                              <w:pStyle w:val="TableParagraph"/>
                              <w:ind w:right="47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77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6117" w:type="dxa"/>
                          </w:tcPr>
                          <w:p>
                            <w:pPr>
                              <w:pStyle w:val="TableParagraph"/>
                              <w:ind w:left="19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6"/>
                                <w:sz w:val="22"/>
                              </w:rPr>
                              <w:t>Adult</w:t>
                            </w:r>
                            <w:r>
                              <w:rPr>
                                <w:spacing w:val="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emergence</w:t>
                            </w:r>
                            <w:r>
                              <w:rPr>
                                <w:spacing w:val="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(pupal</w:t>
                            </w:r>
                            <w:r>
                              <w:rPr>
                                <w:spacing w:val="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development</w:t>
                            </w:r>
                            <w:r>
                              <w:rPr>
                                <w:spacing w:val="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complete)</w:t>
                            </w:r>
                          </w:p>
                        </w:tc>
                        <w:tc>
                          <w:tcPr>
                            <w:tcW w:w="2837" w:type="dxa"/>
                          </w:tcPr>
                          <w:p>
                            <w:pPr>
                              <w:pStyle w:val="TableParagraph"/>
                              <w:ind w:left="20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pupaeEventDD</w:t>
                            </w:r>
                          </w:p>
                        </w:tc>
                        <w:tc>
                          <w:tcPr>
                            <w:tcW w:w="1685" w:type="dxa"/>
                          </w:tcPr>
                          <w:p>
                            <w:pPr>
                              <w:pStyle w:val="TableParagraph"/>
                              <w:ind w:right="47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145</w:t>
                            </w:r>
                          </w:p>
                        </w:tc>
                      </w:tr>
                      <w:tr>
                        <w:trPr>
                          <w:trHeight w:val="520" w:hRule="atLeast"/>
                        </w:trPr>
                        <w:tc>
                          <w:tcPr>
                            <w:tcW w:w="6117" w:type="dxa"/>
                          </w:tcPr>
                          <w:p>
                            <w:pPr>
                              <w:pStyle w:val="TableParagraph"/>
                              <w:spacing w:line="290" w:lineRule="exact"/>
                              <w:ind w:left="195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Egg</w:t>
                            </w:r>
                            <w:r>
                              <w:rPr>
                                <w:spacing w:val="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laying</w:t>
                            </w:r>
                          </w:p>
                        </w:tc>
                        <w:tc>
                          <w:tcPr>
                            <w:tcW w:w="2837" w:type="dxa"/>
                          </w:tcPr>
                          <w:p>
                            <w:pPr>
                              <w:pStyle w:val="TableParagraph"/>
                              <w:spacing w:line="290" w:lineRule="exact"/>
                              <w:ind w:left="20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adultEventDD</w:t>
                            </w:r>
                          </w:p>
                        </w:tc>
                        <w:tc>
                          <w:tcPr>
                            <w:tcW w:w="1685" w:type="dxa"/>
                          </w:tcPr>
                          <w:p>
                            <w:pPr>
                              <w:pStyle w:val="TableParagraph"/>
                              <w:spacing w:line="290" w:lineRule="exact"/>
                              <w:ind w:right="47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17</w:t>
                            </w:r>
                          </w:p>
                        </w:tc>
                      </w:tr>
                      <w:tr>
                        <w:trPr>
                          <w:trHeight w:val="292" w:hRule="atLeast"/>
                        </w:trPr>
                        <w:tc>
                          <w:tcPr>
                            <w:tcW w:w="6117" w:type="dxa"/>
                          </w:tcPr>
                          <w:p>
                            <w:pPr>
                              <w:pStyle w:val="TableParagraph"/>
                              <w:spacing w:line="258" w:lineRule="exact" w:before="15"/>
                              <w:ind w:left="19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Cold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stress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temperature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threshold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(°C)</w:t>
                            </w:r>
                          </w:p>
                        </w:tc>
                        <w:tc>
                          <w:tcPr>
                            <w:tcW w:w="2837" w:type="dxa"/>
                          </w:tcPr>
                          <w:p>
                            <w:pPr>
                              <w:pStyle w:val="TableParagraph"/>
                              <w:spacing w:line="258" w:lineRule="exact" w:before="15"/>
                              <w:ind w:left="20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22"/>
                              </w:rPr>
                              <w:t>coldstress_threshold</w:t>
                            </w:r>
                          </w:p>
                        </w:tc>
                        <w:tc>
                          <w:tcPr>
                            <w:tcW w:w="1685" w:type="dxa"/>
                          </w:tcPr>
                          <w:p>
                            <w:pPr>
                              <w:pStyle w:val="TableParagraph"/>
                              <w:spacing w:line="258" w:lineRule="exact" w:before="15"/>
                              <w:ind w:right="47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-</w:t>
                            </w:r>
                            <w:r>
                              <w:rPr>
                                <w:spacing w:val="-12"/>
                                <w:sz w:val="22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6117" w:type="dxa"/>
                          </w:tcPr>
                          <w:p>
                            <w:pPr>
                              <w:pStyle w:val="TableParagraph"/>
                              <w:ind w:left="19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Cold</w:t>
                            </w:r>
                            <w:r>
                              <w:rPr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degree-day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(°C)</w:t>
                            </w:r>
                            <w:r>
                              <w:rPr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limit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when</w:t>
                            </w:r>
                            <w:r>
                              <w:rPr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most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individuals</w:t>
                            </w:r>
                            <w:r>
                              <w:rPr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die</w:t>
                            </w:r>
                          </w:p>
                        </w:tc>
                        <w:tc>
                          <w:tcPr>
                            <w:tcW w:w="2837" w:type="dxa"/>
                          </w:tcPr>
                          <w:p>
                            <w:pPr>
                              <w:pStyle w:val="TableParagraph"/>
                              <w:ind w:left="20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2"/>
                              </w:rPr>
                              <w:t>coldstress_units_max1</w:t>
                            </w:r>
                          </w:p>
                        </w:tc>
                        <w:tc>
                          <w:tcPr>
                            <w:tcW w:w="1685" w:type="dxa"/>
                          </w:tcPr>
                          <w:p>
                            <w:pPr>
                              <w:pStyle w:val="TableParagraph"/>
                              <w:ind w:right="47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25</w:t>
                            </w:r>
                          </w:p>
                        </w:tc>
                      </w:tr>
                      <w:tr>
                        <w:trPr>
                          <w:trHeight w:val="520" w:hRule="atLeast"/>
                        </w:trPr>
                        <w:tc>
                          <w:tcPr>
                            <w:tcW w:w="6117" w:type="dxa"/>
                          </w:tcPr>
                          <w:p>
                            <w:pPr>
                              <w:pStyle w:val="TableParagraph"/>
                              <w:spacing w:line="290" w:lineRule="exact"/>
                              <w:ind w:left="19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Cold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degree-day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(°C)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limit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when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all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individuals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die</w:t>
                            </w:r>
                          </w:p>
                        </w:tc>
                        <w:tc>
                          <w:tcPr>
                            <w:tcW w:w="2837" w:type="dxa"/>
                          </w:tcPr>
                          <w:p>
                            <w:pPr>
                              <w:pStyle w:val="TableParagraph"/>
                              <w:spacing w:line="290" w:lineRule="exact"/>
                              <w:ind w:left="20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2"/>
                              </w:rPr>
                              <w:t>coldstress_units_max2</w:t>
                            </w:r>
                          </w:p>
                        </w:tc>
                        <w:tc>
                          <w:tcPr>
                            <w:tcW w:w="1685" w:type="dxa"/>
                          </w:tcPr>
                          <w:p>
                            <w:pPr>
                              <w:pStyle w:val="TableParagraph"/>
                              <w:spacing w:line="290" w:lineRule="exact"/>
                              <w:ind w:right="47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250</w:t>
                            </w:r>
                          </w:p>
                        </w:tc>
                      </w:tr>
                      <w:tr>
                        <w:trPr>
                          <w:trHeight w:val="292" w:hRule="atLeast"/>
                        </w:trPr>
                        <w:tc>
                          <w:tcPr>
                            <w:tcW w:w="6117" w:type="dxa"/>
                          </w:tcPr>
                          <w:p>
                            <w:pPr>
                              <w:pStyle w:val="TableParagraph"/>
                              <w:spacing w:line="258" w:lineRule="exact" w:before="15"/>
                              <w:ind w:left="19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Heat</w:t>
                            </w:r>
                            <w:r>
                              <w:rPr>
                                <w:spacing w:val="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stress</w:t>
                            </w:r>
                            <w:r>
                              <w:rPr>
                                <w:spacing w:val="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temperature</w:t>
                            </w:r>
                            <w:r>
                              <w:rPr>
                                <w:spacing w:val="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threshold</w:t>
                            </w:r>
                            <w:r>
                              <w:rPr>
                                <w:spacing w:val="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(°C)</w:t>
                            </w:r>
                          </w:p>
                        </w:tc>
                        <w:tc>
                          <w:tcPr>
                            <w:tcW w:w="2837" w:type="dxa"/>
                          </w:tcPr>
                          <w:p>
                            <w:pPr>
                              <w:pStyle w:val="TableParagraph"/>
                              <w:spacing w:line="258" w:lineRule="exact" w:before="15"/>
                              <w:ind w:left="20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22"/>
                              </w:rPr>
                              <w:t>heatstress_threshold</w:t>
                            </w:r>
                          </w:p>
                        </w:tc>
                        <w:tc>
                          <w:tcPr>
                            <w:tcW w:w="1685" w:type="dxa"/>
                          </w:tcPr>
                          <w:p>
                            <w:pPr>
                              <w:pStyle w:val="TableParagraph"/>
                              <w:spacing w:line="258" w:lineRule="exact" w:before="15"/>
                              <w:ind w:right="47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40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6117" w:type="dxa"/>
                          </w:tcPr>
                          <w:p>
                            <w:pPr>
                              <w:pStyle w:val="TableParagraph"/>
                              <w:ind w:left="19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Heat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stress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degree-day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(°C)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limit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when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most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individuals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die</w:t>
                            </w:r>
                          </w:p>
                        </w:tc>
                        <w:tc>
                          <w:tcPr>
                            <w:tcW w:w="2837" w:type="dxa"/>
                          </w:tcPr>
                          <w:p>
                            <w:pPr>
                              <w:pStyle w:val="TableParagraph"/>
                              <w:ind w:left="20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2"/>
                              </w:rPr>
                              <w:t>heatstress_units_max1</w:t>
                            </w:r>
                          </w:p>
                        </w:tc>
                        <w:tc>
                          <w:tcPr>
                            <w:tcW w:w="1685" w:type="dxa"/>
                          </w:tcPr>
                          <w:p>
                            <w:pPr>
                              <w:pStyle w:val="TableParagraph"/>
                              <w:ind w:right="47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75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6117" w:type="dxa"/>
                          </w:tcPr>
                          <w:p>
                            <w:pPr>
                              <w:pStyle w:val="TableParagraph"/>
                              <w:spacing w:line="250" w:lineRule="exact"/>
                              <w:ind w:left="19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Heat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stress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degree-day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(°C)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limit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when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all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individuals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die</w:t>
                            </w:r>
                          </w:p>
                        </w:tc>
                        <w:tc>
                          <w:tcPr>
                            <w:tcW w:w="2837" w:type="dxa"/>
                          </w:tcPr>
                          <w:p>
                            <w:pPr>
                              <w:pStyle w:val="TableParagraph"/>
                              <w:spacing w:line="250" w:lineRule="exact"/>
                              <w:ind w:left="20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2"/>
                              </w:rPr>
                              <w:t>heatstress_units_max2</w:t>
                            </w:r>
                          </w:p>
                        </w:tc>
                        <w:tc>
                          <w:tcPr>
                            <w:tcW w:w="1685" w:type="dxa"/>
                          </w:tcPr>
                          <w:p>
                            <w:pPr>
                              <w:pStyle w:val="TableParagraph"/>
                              <w:spacing w:line="250" w:lineRule="exact"/>
                              <w:ind w:right="47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150</w:t>
                            </w:r>
                          </w:p>
                        </w:tc>
                      </w:tr>
                      <w:tr>
                        <w:trPr>
                          <w:trHeight w:val="269" w:hRule="atLeast"/>
                        </w:trPr>
                        <w:tc>
                          <w:tcPr>
                            <w:tcW w:w="10639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line="249" w:lineRule="exact"/>
                              <w:ind w:left="50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10"/>
                                <w:sz w:val="22"/>
                              </w:rPr>
                              <w:t>Cohorts</w:t>
                            </w:r>
                          </w:p>
                        </w:tc>
                      </w:tr>
                      <w:tr>
                        <w:trPr>
                          <w:trHeight w:val="273" w:hRule="atLeast"/>
                        </w:trPr>
                        <w:tc>
                          <w:tcPr>
                            <w:tcW w:w="6117" w:type="dxa"/>
                          </w:tcPr>
                          <w:p>
                            <w:pPr>
                              <w:pStyle w:val="TableParagraph"/>
                              <w:spacing w:line="253" w:lineRule="exact"/>
                              <w:ind w:left="19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Degree-days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(°C)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to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emergence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(average)</w:t>
                            </w:r>
                          </w:p>
                        </w:tc>
                        <w:tc>
                          <w:tcPr>
                            <w:tcW w:w="2837" w:type="dxa"/>
                          </w:tcPr>
                          <w:p>
                            <w:pPr>
                              <w:pStyle w:val="TableParagraph"/>
                              <w:spacing w:line="253" w:lineRule="exact"/>
                              <w:ind w:left="20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2"/>
                              </w:rPr>
                              <w:t>distro_mean</w:t>
                            </w:r>
                          </w:p>
                        </w:tc>
                        <w:tc>
                          <w:tcPr>
                            <w:tcW w:w="1685" w:type="dxa"/>
                          </w:tcPr>
                          <w:p>
                            <w:pPr>
                              <w:pStyle w:val="TableParagraph"/>
                              <w:spacing w:line="253" w:lineRule="exact"/>
                              <w:ind w:right="47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220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6117" w:type="dxa"/>
                          </w:tcPr>
                          <w:p>
                            <w:pPr>
                              <w:pStyle w:val="TableParagraph"/>
                              <w:ind w:left="19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Degree-days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(°C)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to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emergence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(variation)</w:t>
                            </w:r>
                          </w:p>
                        </w:tc>
                        <w:tc>
                          <w:tcPr>
                            <w:tcW w:w="2837" w:type="dxa"/>
                          </w:tcPr>
                          <w:p>
                            <w:pPr>
                              <w:pStyle w:val="TableParagraph"/>
                              <w:ind w:left="20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22"/>
                              </w:rPr>
                              <w:t>distro_var</w:t>
                            </w:r>
                          </w:p>
                        </w:tc>
                        <w:tc>
                          <w:tcPr>
                            <w:tcW w:w="1685" w:type="dxa"/>
                          </w:tcPr>
                          <w:p>
                            <w:pPr>
                              <w:pStyle w:val="TableParagraph"/>
                              <w:ind w:right="47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500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6117" w:type="dxa"/>
                          </w:tcPr>
                          <w:p>
                            <w:pPr>
                              <w:pStyle w:val="TableParagraph"/>
                              <w:ind w:left="19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Minimum</w:t>
                            </w:r>
                            <w:r>
                              <w:rPr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degree-days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(°C)</w:t>
                            </w:r>
                            <w:r>
                              <w:rPr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to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emergence</w:t>
                            </w:r>
                          </w:p>
                        </w:tc>
                        <w:tc>
                          <w:tcPr>
                            <w:tcW w:w="2837" w:type="dxa"/>
                          </w:tcPr>
                          <w:p>
                            <w:pPr>
                              <w:pStyle w:val="TableParagraph"/>
                              <w:ind w:left="20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22"/>
                              </w:rPr>
                              <w:t>xdist1</w:t>
                            </w:r>
                          </w:p>
                        </w:tc>
                        <w:tc>
                          <w:tcPr>
                            <w:tcW w:w="1685" w:type="dxa"/>
                          </w:tcPr>
                          <w:p>
                            <w:pPr>
                              <w:pStyle w:val="TableParagraph"/>
                              <w:ind w:right="47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140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6117" w:type="dxa"/>
                          </w:tcPr>
                          <w:p>
                            <w:pPr>
                              <w:pStyle w:val="TableParagraph"/>
                              <w:ind w:left="19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Maximum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degree-days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(°C)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to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emergence</w:t>
                            </w:r>
                          </w:p>
                        </w:tc>
                        <w:tc>
                          <w:tcPr>
                            <w:tcW w:w="2837" w:type="dxa"/>
                          </w:tcPr>
                          <w:p>
                            <w:pPr>
                              <w:pStyle w:val="TableParagraph"/>
                              <w:ind w:left="20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22"/>
                              </w:rPr>
                              <w:t>xdist2</w:t>
                            </w:r>
                          </w:p>
                        </w:tc>
                        <w:tc>
                          <w:tcPr>
                            <w:tcW w:w="1685" w:type="dxa"/>
                          </w:tcPr>
                          <w:p>
                            <w:pPr>
                              <w:pStyle w:val="TableParagraph"/>
                              <w:ind w:right="47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280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6117" w:type="dxa"/>
                          </w:tcPr>
                          <w:p>
                            <w:pPr>
                              <w:pStyle w:val="TableParagraph"/>
                              <w:spacing w:line="250" w:lineRule="exact"/>
                              <w:ind w:left="195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Shape</w:t>
                            </w:r>
                            <w:r>
                              <w:rPr>
                                <w:spacing w:val="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of</w:t>
                            </w:r>
                            <w:r>
                              <w:rPr>
                                <w:spacing w:val="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the</w:t>
                            </w:r>
                            <w:r>
                              <w:rPr>
                                <w:spacing w:val="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distribution</w:t>
                            </w:r>
                          </w:p>
                        </w:tc>
                        <w:tc>
                          <w:tcPr>
                            <w:tcW w:w="2837" w:type="dxa"/>
                          </w:tcPr>
                          <w:p>
                            <w:pPr>
                              <w:pStyle w:val="TableParagraph"/>
                              <w:spacing w:line="250" w:lineRule="exact"/>
                              <w:ind w:left="20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2"/>
                              </w:rPr>
                              <w:t>distro_shape</w:t>
                            </w:r>
                          </w:p>
                        </w:tc>
                        <w:tc>
                          <w:tcPr>
                            <w:tcW w:w="1685" w:type="dxa"/>
                          </w:tcPr>
                          <w:p>
                            <w:pPr>
                              <w:pStyle w:val="TableParagraph"/>
                              <w:spacing w:line="250" w:lineRule="exact"/>
                              <w:ind w:right="47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normal</w:t>
                            </w:r>
                          </w:p>
                        </w:tc>
                      </w:tr>
                      <w:tr>
                        <w:trPr>
                          <w:trHeight w:val="269" w:hRule="atLeast"/>
                        </w:trPr>
                        <w:tc>
                          <w:tcPr>
                            <w:tcW w:w="10639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line="249" w:lineRule="exact"/>
                              <w:ind w:left="50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w w:val="110"/>
                                <w:sz w:val="22"/>
                              </w:rPr>
                              <w:t>Other</w:t>
                            </w:r>
                          </w:p>
                        </w:tc>
                      </w:tr>
                      <w:tr>
                        <w:trPr>
                          <w:trHeight w:val="273" w:hRule="atLeast"/>
                        </w:trPr>
                        <w:tc>
                          <w:tcPr>
                            <w:tcW w:w="6117" w:type="dxa"/>
                          </w:tcPr>
                          <w:p>
                            <w:pPr>
                              <w:pStyle w:val="TableParagraph"/>
                              <w:spacing w:line="253" w:lineRule="exact"/>
                              <w:ind w:left="195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Order</w:t>
                            </w:r>
                            <w:r>
                              <w:rPr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of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stages</w:t>
                            </w:r>
                          </w:p>
                        </w:tc>
                        <w:tc>
                          <w:tcPr>
                            <w:tcW w:w="2837" w:type="dxa"/>
                          </w:tcPr>
                          <w:p>
                            <w:pPr>
                              <w:pStyle w:val="TableParagraph"/>
                              <w:spacing w:line="253" w:lineRule="exact"/>
                              <w:ind w:left="20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2"/>
                              </w:rPr>
                              <w:t>stgorder</w:t>
                            </w:r>
                          </w:p>
                        </w:tc>
                        <w:tc>
                          <w:tcPr>
                            <w:tcW w:w="1685" w:type="dxa"/>
                          </w:tcPr>
                          <w:p>
                            <w:pPr>
                              <w:pStyle w:val="TableParagraph"/>
                              <w:spacing w:line="253" w:lineRule="exact"/>
                              <w:ind w:right="47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w w:val="105"/>
                                <w:sz w:val="22"/>
                              </w:rPr>
                              <w:t>OP,</w:t>
                            </w:r>
                            <w:r>
                              <w:rPr>
                                <w:spacing w:val="9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E,</w:t>
                            </w:r>
                            <w:r>
                              <w:rPr>
                                <w:spacing w:val="9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L,</w:t>
                            </w:r>
                            <w:r>
                              <w:rPr>
                                <w:spacing w:val="9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P,</w:t>
                            </w:r>
                            <w:r>
                              <w:rPr>
                                <w:spacing w:val="9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05"/>
                                <w:sz w:val="22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341" w:hRule="atLeast"/>
                        </w:trPr>
                        <w:tc>
                          <w:tcPr>
                            <w:tcW w:w="6117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90" w:lineRule="exact"/>
                              <w:ind w:left="19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Degree-day</w:t>
                            </w:r>
                            <w:r>
                              <w:rPr>
                                <w:spacing w:val="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calculation</w:t>
                            </w:r>
                            <w:r>
                              <w:rPr>
                                <w:spacing w:val="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method</w:t>
                            </w:r>
                          </w:p>
                        </w:tc>
                        <w:tc>
                          <w:tcPr>
                            <w:tcW w:w="2837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90" w:lineRule="exact"/>
                              <w:ind w:left="20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22"/>
                              </w:rPr>
                              <w:t>calctype</w:t>
                            </w:r>
                          </w:p>
                        </w:tc>
                        <w:tc>
                          <w:tcPr>
                            <w:tcW w:w="1685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90" w:lineRule="exact"/>
                              <w:ind w:right="47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average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w w:val="110"/>
          <w:sz w:val="22"/>
        </w:rPr>
        <w:t>Pest</w:t>
      </w:r>
      <w:r>
        <w:rPr>
          <w:b/>
          <w:spacing w:val="14"/>
          <w:w w:val="110"/>
          <w:sz w:val="22"/>
        </w:rPr>
        <w:t> </w:t>
      </w:r>
      <w:r>
        <w:rPr>
          <w:b/>
          <w:w w:val="110"/>
          <w:sz w:val="22"/>
        </w:rPr>
        <w:t>events</w:t>
      </w:r>
      <w:r>
        <w:rPr>
          <w:b/>
          <w:spacing w:val="14"/>
          <w:w w:val="110"/>
          <w:sz w:val="22"/>
        </w:rPr>
        <w:t> </w:t>
      </w:r>
      <w:r>
        <w:rPr>
          <w:b/>
          <w:w w:val="110"/>
          <w:sz w:val="22"/>
        </w:rPr>
        <w:t>(°C</w:t>
      </w:r>
      <w:r>
        <w:rPr>
          <w:b/>
          <w:spacing w:val="15"/>
          <w:w w:val="110"/>
          <w:sz w:val="22"/>
        </w:rPr>
        <w:t> </w:t>
      </w:r>
      <w:r>
        <w:rPr>
          <w:b/>
          <w:w w:val="110"/>
          <w:sz w:val="22"/>
        </w:rPr>
        <w:t>degree-</w:t>
      </w:r>
      <w:r>
        <w:rPr>
          <w:b/>
          <w:spacing w:val="-2"/>
          <w:w w:val="110"/>
          <w:sz w:val="22"/>
        </w:rPr>
        <w:t>days)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42"/>
        <w:rPr>
          <w:b/>
        </w:rPr>
      </w:pPr>
    </w:p>
    <w:p>
      <w:pPr>
        <w:spacing w:before="0"/>
        <w:ind w:left="130" w:right="0" w:firstLine="0"/>
        <w:jc w:val="left"/>
        <w:rPr>
          <w:b/>
          <w:sz w:val="22"/>
        </w:rPr>
      </w:pPr>
      <w:r>
        <w:rPr>
          <w:b/>
          <w:w w:val="105"/>
          <w:sz w:val="22"/>
        </w:rPr>
        <w:t>Cold</w:t>
      </w:r>
      <w:r>
        <w:rPr>
          <w:b/>
          <w:spacing w:val="25"/>
          <w:w w:val="105"/>
          <w:sz w:val="22"/>
        </w:rPr>
        <w:t> </w:t>
      </w:r>
      <w:r>
        <w:rPr>
          <w:b/>
          <w:spacing w:val="-2"/>
          <w:w w:val="105"/>
          <w:sz w:val="22"/>
        </w:rPr>
        <w:t>stress</w:t>
      </w:r>
    </w:p>
    <w:p>
      <w:pPr>
        <w:pStyle w:val="BodyText"/>
        <w:rPr>
          <w:b/>
        </w:rPr>
      </w:pPr>
    </w:p>
    <w:p>
      <w:pPr>
        <w:pStyle w:val="BodyText"/>
        <w:spacing w:before="194"/>
        <w:rPr>
          <w:b/>
        </w:rPr>
      </w:pPr>
    </w:p>
    <w:p>
      <w:pPr>
        <w:spacing w:before="0"/>
        <w:ind w:left="130" w:right="0" w:firstLine="0"/>
        <w:jc w:val="left"/>
        <w:rPr>
          <w:b/>
          <w:sz w:val="22"/>
        </w:rPr>
      </w:pPr>
      <w:r>
        <w:rPr>
          <w:b/>
          <w:w w:val="110"/>
          <w:sz w:val="22"/>
        </w:rPr>
        <w:t>Heat</w:t>
      </w:r>
      <w:r>
        <w:rPr>
          <w:b/>
          <w:spacing w:val="27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stress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4"/>
        <w:rPr>
          <w:b/>
        </w:rPr>
      </w:pPr>
    </w:p>
    <w:p>
      <w:pPr>
        <w:pStyle w:val="Heading1"/>
        <w:rPr>
          <w:b w:val="0"/>
        </w:rPr>
      </w:pPr>
      <w:bookmarkStart w:name="6B. Results" w:id="3"/>
      <w:bookmarkEnd w:id="3"/>
      <w:r>
        <w:rPr>
          <w:b w:val="0"/>
        </w:rPr>
      </w:r>
      <w:r>
        <w:rPr>
          <w:b w:val="0"/>
          <w:w w:val="90"/>
        </w:rPr>
        <w:t>6B.</w:t>
      </w:r>
      <w:r>
        <w:rPr>
          <w:b w:val="0"/>
          <w:spacing w:val="2"/>
        </w:rPr>
        <w:t> </w:t>
      </w:r>
      <w:r>
        <w:rPr>
          <w:b w:val="0"/>
          <w:spacing w:val="-2"/>
          <w:w w:val="90"/>
        </w:rPr>
        <w:t>Results</w:t>
      </w:r>
    </w:p>
    <w:p>
      <w:pPr>
        <w:pStyle w:val="Heading2"/>
        <w:numPr>
          <w:ilvl w:val="1"/>
          <w:numId w:val="1"/>
        </w:numPr>
        <w:tabs>
          <w:tab w:pos="358" w:val="left" w:leader="none"/>
        </w:tabs>
        <w:spacing w:line="240" w:lineRule="auto" w:before="68" w:after="0"/>
        <w:ind w:left="358" w:right="0" w:hanging="228"/>
        <w:jc w:val="left"/>
        <w:rPr>
          <w:b w:val="0"/>
        </w:rPr>
      </w:pPr>
      <w:bookmarkStart w:name="i. Phenology" w:id="4"/>
      <w:bookmarkEnd w:id="4"/>
      <w:r>
        <w:rPr>
          <w:b w:val="0"/>
        </w:rPr>
      </w:r>
      <w:r>
        <w:rPr>
          <w:b w:val="0"/>
          <w:spacing w:val="-2"/>
          <w:w w:val="90"/>
        </w:rPr>
        <w:t>Phenology</w:t>
      </w:r>
    </w:p>
    <w:p>
      <w:pPr>
        <w:spacing w:before="73"/>
        <w:ind w:left="130" w:right="0" w:firstLine="0"/>
        <w:jc w:val="left"/>
        <w:rPr>
          <w:rFonts w:ascii="Arial Black" w:hAnsi="Arial Black"/>
          <w:sz w:val="22"/>
        </w:rPr>
      </w:pPr>
      <w:r>
        <w:rPr>
          <w:rFonts w:ascii="Arial Black" w:hAnsi="Arial Black"/>
          <w:w w:val="85"/>
          <w:sz w:val="22"/>
        </w:rPr>
        <w:t>Entire</w:t>
      </w:r>
      <w:r>
        <w:rPr>
          <w:rFonts w:ascii="Arial Black" w:hAnsi="Arial Black"/>
          <w:spacing w:val="-1"/>
          <w:w w:val="85"/>
          <w:sz w:val="22"/>
        </w:rPr>
        <w:t> </w:t>
      </w:r>
      <w:r>
        <w:rPr>
          <w:rFonts w:ascii="Arial Black" w:hAnsi="Arial Black"/>
          <w:w w:val="85"/>
          <w:sz w:val="22"/>
        </w:rPr>
        <w:t>period:</w:t>
      </w:r>
      <w:r>
        <w:rPr>
          <w:rFonts w:ascii="Arial Black" w:hAnsi="Arial Black"/>
          <w:spacing w:val="10"/>
          <w:sz w:val="22"/>
        </w:rPr>
        <w:t> </w:t>
      </w:r>
      <w:r>
        <w:rPr>
          <w:rFonts w:ascii="Arial Black" w:hAnsi="Arial Black"/>
          <w:w w:val="85"/>
          <w:sz w:val="22"/>
        </w:rPr>
        <w:t>1981–</w:t>
      </w:r>
      <w:r>
        <w:rPr>
          <w:rFonts w:ascii="Arial Black" w:hAnsi="Arial Black"/>
          <w:spacing w:val="-4"/>
          <w:w w:val="85"/>
          <w:sz w:val="22"/>
        </w:rPr>
        <w:t>2025</w:t>
      </w:r>
    </w:p>
    <w:p>
      <w:pPr>
        <w:pStyle w:val="BodyText"/>
        <w:spacing w:line="218" w:lineRule="auto" w:before="106"/>
        <w:ind w:left="122" w:right="98" w:firstLine="7"/>
        <w:jc w:val="both"/>
      </w:pPr>
      <w:r>
        <w:rPr/>
        <w:t>Over</w:t>
      </w:r>
      <w:r>
        <w:rPr>
          <w:spacing w:val="-6"/>
        </w:rPr>
        <w:t> </w:t>
      </w:r>
      <w:r>
        <w:rPr/>
        <w:t>1981–2025,</w:t>
      </w:r>
      <w:r>
        <w:rPr>
          <w:spacing w:val="-6"/>
        </w:rPr>
        <w:t> </w:t>
      </w:r>
      <w:r>
        <w:rPr/>
        <w:t>predicted</w:t>
      </w:r>
      <w:r>
        <w:rPr>
          <w:spacing w:val="-6"/>
        </w:rPr>
        <w:t> </w:t>
      </w:r>
      <w:r>
        <w:rPr/>
        <w:t>first</w:t>
      </w:r>
      <w:r>
        <w:rPr>
          <w:spacing w:val="-6"/>
        </w:rPr>
        <w:t> </w:t>
      </w:r>
      <w:r>
        <w:rPr/>
        <w:t>adult</w:t>
      </w:r>
      <w:r>
        <w:rPr>
          <w:spacing w:val="-6"/>
        </w:rPr>
        <w:t> </w:t>
      </w:r>
      <w:r>
        <w:rPr/>
        <w:t>emergence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egg</w:t>
      </w:r>
      <w:r>
        <w:rPr>
          <w:spacing w:val="-6"/>
        </w:rPr>
        <w:t> </w:t>
      </w:r>
      <w:r>
        <w:rPr/>
        <w:t>hatch</w:t>
      </w:r>
      <w:r>
        <w:rPr>
          <w:spacing w:val="-6"/>
        </w:rPr>
        <w:t> </w:t>
      </w:r>
      <w:r>
        <w:rPr/>
        <w:t>generally</w:t>
      </w:r>
      <w:r>
        <w:rPr>
          <w:spacing w:val="-6"/>
        </w:rPr>
        <w:t> </w:t>
      </w:r>
      <w:r>
        <w:rPr/>
        <w:t>occurred</w:t>
      </w:r>
      <w:r>
        <w:rPr>
          <w:spacing w:val="-6"/>
        </w:rPr>
        <w:t> </w:t>
      </w:r>
      <w:r>
        <w:rPr/>
        <w:t>earlier</w:t>
      </w:r>
      <w:r>
        <w:rPr>
          <w:spacing w:val="-6"/>
        </w:rPr>
        <w:t> </w:t>
      </w:r>
      <w:r>
        <w:rPr/>
        <w:t>across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southern </w:t>
      </w:r>
      <w:r>
        <w:rPr>
          <w:spacing w:val="-4"/>
        </w:rPr>
        <w:t>and central United States, while later events were more evident across portions of the northern interior (Figure </w:t>
      </w:r>
      <w:hyperlink w:history="true" w:anchor="_bookmark1">
        <w:r>
          <w:rPr>
            <w:color w:val="0000FF"/>
            <w:spacing w:val="-4"/>
          </w:rPr>
          <w:t>1</w:t>
        </w:r>
      </w:hyperlink>
      <w:r>
        <w:rPr>
          <w:spacing w:val="-4"/>
        </w:rPr>
        <w:t>, </w:t>
      </w:r>
      <w:r>
        <w:rPr/>
        <w:t>Figure </w:t>
      </w:r>
      <w:hyperlink w:history="true" w:anchor="_bookmark2">
        <w:r>
          <w:rPr>
            <w:color w:val="0000FF"/>
          </w:rPr>
          <w:t>2</w:t>
        </w:r>
      </w:hyperlink>
      <w:r>
        <w:rPr/>
        <w:t>). Significant changes were concentrated in the eastern and southern United States and in scattered western areas.</w:t>
      </w:r>
    </w:p>
    <w:p>
      <w:pPr>
        <w:pStyle w:val="BodyText"/>
        <w:spacing w:after="0" w:line="218" w:lineRule="auto"/>
        <w:jc w:val="both"/>
        <w:sectPr>
          <w:pgSz w:w="12240" w:h="15840"/>
          <w:pgMar w:header="0" w:footer="896" w:top="1580" w:bottom="1080" w:left="720" w:right="720"/>
        </w:sectPr>
      </w:pPr>
    </w:p>
    <w:p>
      <w:pPr>
        <w:spacing w:line="240" w:lineRule="auto"/>
        <w:ind w:left="171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611752" cy="5028533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1752" cy="5028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"/>
      </w:pPr>
    </w:p>
    <w:p>
      <w:pPr>
        <w:pStyle w:val="BodyText"/>
        <w:spacing w:line="218" w:lineRule="auto"/>
        <w:ind w:left="130" w:right="105"/>
      </w:pPr>
      <w:bookmarkStart w:name="_bookmark1" w:id="5"/>
      <w:bookmarkEnd w:id="5"/>
      <w:r>
        <w:rPr/>
      </w:r>
      <w:r>
        <w:rPr>
          <w:b/>
        </w:rPr>
        <w:t>Figure 1.</w:t>
      </w:r>
      <w:r>
        <w:rPr>
          <w:b/>
          <w:spacing w:val="40"/>
        </w:rPr>
        <w:t> </w:t>
      </w:r>
      <w:r>
        <w:rPr/>
        <w:t>Changes (days/year) in predicted dates of first adult emergence for FCM across the CONUS over the</w:t>
      </w:r>
      <w:r>
        <w:rPr>
          <w:spacing w:val="-6"/>
        </w:rPr>
        <w:t> </w:t>
      </w:r>
      <w:r>
        <w:rPr/>
        <w:t>entire</w:t>
      </w:r>
      <w:r>
        <w:rPr>
          <w:spacing w:val="-6"/>
        </w:rPr>
        <w:t> </w:t>
      </w:r>
      <w:r>
        <w:rPr/>
        <w:t>44-year</w:t>
      </w:r>
      <w:r>
        <w:rPr>
          <w:spacing w:val="-6"/>
        </w:rPr>
        <w:t> </w:t>
      </w:r>
      <w:r>
        <w:rPr/>
        <w:t>period</w:t>
      </w:r>
      <w:r>
        <w:rPr>
          <w:spacing w:val="-6"/>
        </w:rPr>
        <w:t> </w:t>
      </w:r>
      <w:r>
        <w:rPr/>
        <w:t>(1981–2025).</w:t>
      </w:r>
      <w:r>
        <w:rPr>
          <w:spacing w:val="10"/>
        </w:rPr>
        <w:t> </w:t>
      </w:r>
      <w:r>
        <w:rPr/>
        <w:t>Maps</w:t>
      </w:r>
      <w:r>
        <w:rPr>
          <w:spacing w:val="-6"/>
        </w:rPr>
        <w:t> </w:t>
      </w:r>
      <w:r>
        <w:rPr/>
        <w:t>show</w:t>
      </w:r>
      <w:r>
        <w:rPr>
          <w:spacing w:val="-6"/>
        </w:rPr>
        <w:t> </w:t>
      </w:r>
      <w:r>
        <w:rPr/>
        <w:t>(A)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changes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(B)</w:t>
      </w:r>
      <w:r>
        <w:rPr>
          <w:spacing w:val="-6"/>
        </w:rPr>
        <w:t> </w:t>
      </w:r>
      <w:r>
        <w:rPr/>
        <w:t>statistically</w:t>
      </w:r>
      <w:r>
        <w:rPr>
          <w:spacing w:val="-6"/>
        </w:rPr>
        <w:t> </w:t>
      </w:r>
      <w:r>
        <w:rPr/>
        <w:t>significant</w:t>
      </w:r>
      <w:r>
        <w:rPr>
          <w:spacing w:val="-6"/>
        </w:rPr>
        <w:t> </w:t>
      </w:r>
      <w:r>
        <w:rPr/>
        <w:t>changes</w:t>
      </w:r>
      <w:r>
        <w:rPr>
          <w:spacing w:val="-6"/>
        </w:rPr>
        <w:t> </w:t>
      </w:r>
      <w:r>
        <w:rPr/>
        <w:t>(P</w:t>
      </w:r>
      <w:r>
        <w:rPr>
          <w:spacing w:val="-6"/>
        </w:rPr>
        <w:t> </w:t>
      </w:r>
      <w:r>
        <w:rPr>
          <w:w w:val="120"/>
        </w:rPr>
        <w:t>&lt; </w:t>
      </w:r>
      <w:r>
        <w:rPr/>
        <w:t>0.1); areas shown in gray are not statistically significant.</w:t>
      </w:r>
    </w:p>
    <w:p>
      <w:pPr>
        <w:pStyle w:val="BodyText"/>
        <w:spacing w:after="0" w:line="218" w:lineRule="auto"/>
        <w:sectPr>
          <w:pgSz w:w="12240" w:h="15840"/>
          <w:pgMar w:header="0" w:footer="896" w:top="1600" w:bottom="1080" w:left="720" w:right="720"/>
        </w:sectPr>
      </w:pPr>
    </w:p>
    <w:p>
      <w:pPr>
        <w:spacing w:line="240" w:lineRule="auto"/>
        <w:ind w:left="171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690363" cy="5190744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0363" cy="519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18" w:lineRule="auto" w:before="168"/>
        <w:ind w:left="122" w:right="128" w:firstLine="7"/>
        <w:jc w:val="both"/>
      </w:pPr>
      <w:bookmarkStart w:name="_bookmark2" w:id="6"/>
      <w:bookmarkEnd w:id="6"/>
      <w:r>
        <w:rPr/>
      </w:r>
      <w:r>
        <w:rPr>
          <w:b/>
        </w:rPr>
        <w:t>Figure</w:t>
      </w:r>
      <w:r>
        <w:rPr>
          <w:b/>
          <w:spacing w:val="-2"/>
        </w:rPr>
        <w:t> </w:t>
      </w:r>
      <w:r>
        <w:rPr>
          <w:b/>
        </w:rPr>
        <w:t>2.</w:t>
      </w:r>
      <w:r>
        <w:rPr>
          <w:b/>
          <w:spacing w:val="18"/>
        </w:rPr>
        <w:t> </w:t>
      </w:r>
      <w:r>
        <w:rPr/>
        <w:t>Changes</w:t>
      </w:r>
      <w:r>
        <w:rPr>
          <w:spacing w:val="-10"/>
        </w:rPr>
        <w:t> </w:t>
      </w:r>
      <w:r>
        <w:rPr/>
        <w:t>(days/year)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predicted</w:t>
      </w:r>
      <w:r>
        <w:rPr>
          <w:spacing w:val="-10"/>
        </w:rPr>
        <w:t> </w:t>
      </w:r>
      <w:r>
        <w:rPr/>
        <w:t>dates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first</w:t>
      </w:r>
      <w:r>
        <w:rPr>
          <w:spacing w:val="-9"/>
        </w:rPr>
        <w:t> </w:t>
      </w:r>
      <w:r>
        <w:rPr/>
        <w:t>egg</w:t>
      </w:r>
      <w:r>
        <w:rPr>
          <w:spacing w:val="-10"/>
        </w:rPr>
        <w:t> </w:t>
      </w:r>
      <w:r>
        <w:rPr/>
        <w:t>hatch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FCM</w:t>
      </w:r>
      <w:r>
        <w:rPr>
          <w:spacing w:val="-10"/>
        </w:rPr>
        <w:t> </w:t>
      </w:r>
      <w:r>
        <w:rPr/>
        <w:t>across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CONUS</w:t>
      </w:r>
      <w:r>
        <w:rPr>
          <w:spacing w:val="-9"/>
        </w:rPr>
        <w:t> </w:t>
      </w:r>
      <w:r>
        <w:rPr/>
        <w:t>over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entire 44-year</w:t>
      </w:r>
      <w:r>
        <w:rPr>
          <w:spacing w:val="-14"/>
        </w:rPr>
        <w:t> </w:t>
      </w:r>
      <w:r>
        <w:rPr/>
        <w:t>period</w:t>
      </w:r>
      <w:r>
        <w:rPr>
          <w:spacing w:val="-10"/>
        </w:rPr>
        <w:t> </w:t>
      </w:r>
      <w:r>
        <w:rPr/>
        <w:t>(1981–2025).</w:t>
      </w:r>
      <w:r>
        <w:rPr>
          <w:spacing w:val="7"/>
        </w:rPr>
        <w:t> </w:t>
      </w:r>
      <w:r>
        <w:rPr/>
        <w:t>Maps</w:t>
      </w:r>
      <w:r>
        <w:rPr>
          <w:spacing w:val="-10"/>
        </w:rPr>
        <w:t> </w:t>
      </w:r>
      <w:r>
        <w:rPr/>
        <w:t>show</w:t>
      </w:r>
      <w:r>
        <w:rPr>
          <w:spacing w:val="-10"/>
        </w:rPr>
        <w:t> </w:t>
      </w:r>
      <w:r>
        <w:rPr/>
        <w:t>(A)</w:t>
      </w:r>
      <w:r>
        <w:rPr>
          <w:spacing w:val="-10"/>
        </w:rPr>
        <w:t> </w:t>
      </w:r>
      <w:r>
        <w:rPr/>
        <w:t>all</w:t>
      </w:r>
      <w:r>
        <w:rPr>
          <w:spacing w:val="-10"/>
        </w:rPr>
        <w:t> </w:t>
      </w:r>
      <w:r>
        <w:rPr/>
        <w:t>changes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(B)</w:t>
      </w:r>
      <w:r>
        <w:rPr>
          <w:spacing w:val="-10"/>
        </w:rPr>
        <w:t> </w:t>
      </w:r>
      <w:r>
        <w:rPr/>
        <w:t>statistically</w:t>
      </w:r>
      <w:r>
        <w:rPr>
          <w:spacing w:val="-10"/>
        </w:rPr>
        <w:t> </w:t>
      </w:r>
      <w:r>
        <w:rPr/>
        <w:t>significant</w:t>
      </w:r>
      <w:r>
        <w:rPr>
          <w:spacing w:val="-10"/>
        </w:rPr>
        <w:t> </w:t>
      </w:r>
      <w:r>
        <w:rPr/>
        <w:t>changes</w:t>
      </w:r>
      <w:r>
        <w:rPr>
          <w:spacing w:val="-10"/>
        </w:rPr>
        <w:t> </w:t>
      </w:r>
      <w:r>
        <w:rPr/>
        <w:t>(P</w:t>
      </w:r>
      <w:r>
        <w:rPr>
          <w:spacing w:val="-10"/>
        </w:rPr>
        <w:t> </w:t>
      </w:r>
      <w:r>
        <w:rPr>
          <w:w w:val="120"/>
        </w:rPr>
        <w:t>&lt;</w:t>
      </w:r>
      <w:r>
        <w:rPr>
          <w:spacing w:val="-17"/>
          <w:w w:val="120"/>
        </w:rPr>
        <w:t> </w:t>
      </w:r>
      <w:r>
        <w:rPr/>
        <w:t>0.1);</w:t>
      </w:r>
      <w:r>
        <w:rPr>
          <w:spacing w:val="-9"/>
        </w:rPr>
        <w:t> </w:t>
      </w:r>
      <w:r>
        <w:rPr/>
        <w:t>areas shown in gray are not statistically significant.</w:t>
      </w:r>
    </w:p>
    <w:p>
      <w:pPr>
        <w:pStyle w:val="Heading2"/>
        <w:spacing w:before="291"/>
        <w:jc w:val="both"/>
        <w:rPr>
          <w:b w:val="0"/>
        </w:rPr>
      </w:pPr>
      <w:r>
        <w:rPr>
          <w:b w:val="0"/>
          <w:w w:val="80"/>
        </w:rPr>
        <w:t>Recent</w:t>
      </w:r>
      <w:r>
        <w:rPr>
          <w:b w:val="0"/>
          <w:spacing w:val="31"/>
        </w:rPr>
        <w:t> </w:t>
      </w:r>
      <w:r>
        <w:rPr>
          <w:b w:val="0"/>
          <w:w w:val="80"/>
        </w:rPr>
        <w:t>period:</w:t>
      </w:r>
      <w:r>
        <w:rPr>
          <w:b w:val="0"/>
          <w:spacing w:val="67"/>
        </w:rPr>
        <w:t> </w:t>
      </w:r>
      <w:r>
        <w:rPr>
          <w:b w:val="0"/>
          <w:w w:val="80"/>
        </w:rPr>
        <w:t>2001–</w:t>
      </w:r>
      <w:r>
        <w:rPr>
          <w:b w:val="0"/>
          <w:spacing w:val="-4"/>
          <w:w w:val="80"/>
        </w:rPr>
        <w:t>2025</w:t>
      </w:r>
    </w:p>
    <w:p>
      <w:pPr>
        <w:pStyle w:val="BodyText"/>
        <w:spacing w:line="218" w:lineRule="auto" w:before="106"/>
        <w:ind w:left="130" w:right="98"/>
        <w:jc w:val="both"/>
      </w:pPr>
      <w:r>
        <w:rPr>
          <w:spacing w:val="-2"/>
        </w:rPr>
        <w:t>During</w:t>
      </w:r>
      <w:r>
        <w:rPr>
          <w:spacing w:val="-12"/>
        </w:rPr>
        <w:t> </w:t>
      </w:r>
      <w:r>
        <w:rPr>
          <w:spacing w:val="-2"/>
        </w:rPr>
        <w:t>2001–2025,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pattern</w:t>
      </w:r>
      <w:r>
        <w:rPr>
          <w:spacing w:val="-11"/>
        </w:rPr>
        <w:t> </w:t>
      </w:r>
      <w:r>
        <w:rPr>
          <w:spacing w:val="-2"/>
        </w:rPr>
        <w:t>became</w:t>
      </w:r>
      <w:r>
        <w:rPr>
          <w:spacing w:val="-12"/>
        </w:rPr>
        <w:t> </w:t>
      </w:r>
      <w:r>
        <w:rPr>
          <w:spacing w:val="-2"/>
        </w:rPr>
        <w:t>more</w:t>
      </w:r>
      <w:r>
        <w:rPr>
          <w:spacing w:val="-12"/>
        </w:rPr>
        <w:t> </w:t>
      </w:r>
      <w:r>
        <w:rPr>
          <w:spacing w:val="-2"/>
        </w:rPr>
        <w:t>spatially</w:t>
      </w:r>
      <w:r>
        <w:rPr>
          <w:spacing w:val="-12"/>
        </w:rPr>
        <w:t> </w:t>
      </w:r>
      <w:r>
        <w:rPr>
          <w:spacing w:val="-2"/>
        </w:rPr>
        <w:t>heterogeneous,</w:t>
      </w:r>
      <w:r>
        <w:rPr>
          <w:spacing w:val="-11"/>
        </w:rPr>
        <w:t> </w:t>
      </w:r>
      <w:r>
        <w:rPr>
          <w:spacing w:val="-2"/>
        </w:rPr>
        <w:t>with</w:t>
      </w:r>
      <w:r>
        <w:rPr>
          <w:spacing w:val="-12"/>
        </w:rPr>
        <w:t> </w:t>
      </w:r>
      <w:r>
        <w:rPr>
          <w:spacing w:val="-2"/>
        </w:rPr>
        <w:t>later</w:t>
      </w:r>
      <w:r>
        <w:rPr>
          <w:spacing w:val="-12"/>
        </w:rPr>
        <w:t> </w:t>
      </w:r>
      <w:r>
        <w:rPr>
          <w:spacing w:val="-2"/>
        </w:rPr>
        <w:t>predicted</w:t>
      </w:r>
      <w:r>
        <w:rPr>
          <w:spacing w:val="-12"/>
        </w:rPr>
        <w:t> </w:t>
      </w:r>
      <w:r>
        <w:rPr>
          <w:spacing w:val="-2"/>
        </w:rPr>
        <w:t>events</w:t>
      </w:r>
      <w:r>
        <w:rPr>
          <w:spacing w:val="-11"/>
        </w:rPr>
        <w:t> </w:t>
      </w:r>
      <w:r>
        <w:rPr>
          <w:spacing w:val="-2"/>
        </w:rPr>
        <w:t>across</w:t>
      </w:r>
      <w:r>
        <w:rPr>
          <w:spacing w:val="-12"/>
        </w:rPr>
        <w:t> </w:t>
      </w:r>
      <w:r>
        <w:rPr>
          <w:spacing w:val="-2"/>
        </w:rPr>
        <w:t>portions </w:t>
      </w:r>
      <w:r>
        <w:rPr/>
        <w:t>of the central and northern United States and earlier events in the Southeast and parts of the West (Figure </w:t>
      </w:r>
      <w:hyperlink w:history="true" w:anchor="_bookmark3">
        <w:r>
          <w:rPr>
            <w:color w:val="0000FF"/>
          </w:rPr>
          <w:t>3</w:t>
        </w:r>
      </w:hyperlink>
      <w:r>
        <w:rPr/>
        <w:t>, Figure </w:t>
      </w:r>
      <w:hyperlink w:history="true" w:anchor="_bookmark4">
        <w:r>
          <w:rPr>
            <w:color w:val="0000FF"/>
          </w:rPr>
          <w:t>4</w:t>
        </w:r>
      </w:hyperlink>
      <w:r>
        <w:rPr/>
        <w:t>).</w:t>
      </w:r>
      <w:r>
        <w:rPr>
          <w:spacing w:val="21"/>
        </w:rPr>
        <w:t> </w:t>
      </w:r>
      <w:r>
        <w:rPr/>
        <w:t>Significant changes were relatively localized, particularly in the central and eastern United States.</w:t>
      </w:r>
    </w:p>
    <w:p>
      <w:pPr>
        <w:pStyle w:val="BodyText"/>
        <w:spacing w:after="0" w:line="218" w:lineRule="auto"/>
        <w:jc w:val="both"/>
        <w:sectPr>
          <w:pgSz w:w="12240" w:h="15840"/>
          <w:pgMar w:header="0" w:footer="896" w:top="1600" w:bottom="1080" w:left="720" w:right="720"/>
        </w:sectPr>
      </w:pPr>
    </w:p>
    <w:p>
      <w:pPr>
        <w:spacing w:line="240" w:lineRule="auto"/>
        <w:ind w:left="171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611752" cy="5028533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1752" cy="5028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"/>
      </w:pPr>
    </w:p>
    <w:p>
      <w:pPr>
        <w:pStyle w:val="BodyText"/>
        <w:spacing w:line="218" w:lineRule="auto"/>
        <w:ind w:left="130" w:right="105"/>
      </w:pPr>
      <w:bookmarkStart w:name="_bookmark3" w:id="7"/>
      <w:bookmarkEnd w:id="7"/>
      <w:r>
        <w:rPr/>
      </w:r>
      <w:r>
        <w:rPr>
          <w:b/>
        </w:rPr>
        <w:t>Figure 3.</w:t>
      </w:r>
      <w:r>
        <w:rPr>
          <w:b/>
          <w:spacing w:val="40"/>
        </w:rPr>
        <w:t> </w:t>
      </w:r>
      <w:r>
        <w:rPr/>
        <w:t>Changes (days/year) in predicted dates of first adult emergence for FCM across the CONUS over the</w:t>
      </w:r>
      <w:r>
        <w:rPr>
          <w:spacing w:val="-9"/>
        </w:rPr>
        <w:t> </w:t>
      </w:r>
      <w:r>
        <w:rPr/>
        <w:t>recent</w:t>
      </w:r>
      <w:r>
        <w:rPr>
          <w:spacing w:val="-8"/>
        </w:rPr>
        <w:t> </w:t>
      </w:r>
      <w:r>
        <w:rPr/>
        <w:t>24-year</w:t>
      </w:r>
      <w:r>
        <w:rPr>
          <w:spacing w:val="-8"/>
        </w:rPr>
        <w:t> </w:t>
      </w:r>
      <w:r>
        <w:rPr/>
        <w:t>period</w:t>
      </w:r>
      <w:r>
        <w:rPr>
          <w:spacing w:val="-8"/>
        </w:rPr>
        <w:t> </w:t>
      </w:r>
      <w:r>
        <w:rPr/>
        <w:t>(2001–2025).</w:t>
      </w:r>
      <w:r>
        <w:rPr>
          <w:spacing w:val="7"/>
        </w:rPr>
        <w:t> </w:t>
      </w:r>
      <w:r>
        <w:rPr/>
        <w:t>Maps</w:t>
      </w:r>
      <w:r>
        <w:rPr>
          <w:spacing w:val="-8"/>
        </w:rPr>
        <w:t> </w:t>
      </w:r>
      <w:r>
        <w:rPr/>
        <w:t>show</w:t>
      </w:r>
      <w:r>
        <w:rPr>
          <w:spacing w:val="-8"/>
        </w:rPr>
        <w:t> </w:t>
      </w:r>
      <w:r>
        <w:rPr/>
        <w:t>(A)</w:t>
      </w:r>
      <w:r>
        <w:rPr>
          <w:spacing w:val="-8"/>
        </w:rPr>
        <w:t> </w:t>
      </w:r>
      <w:r>
        <w:rPr/>
        <w:t>all</w:t>
      </w:r>
      <w:r>
        <w:rPr>
          <w:spacing w:val="-9"/>
        </w:rPr>
        <w:t> </w:t>
      </w:r>
      <w:r>
        <w:rPr/>
        <w:t>changes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(B)</w:t>
      </w:r>
      <w:r>
        <w:rPr>
          <w:spacing w:val="-8"/>
        </w:rPr>
        <w:t> </w:t>
      </w:r>
      <w:r>
        <w:rPr/>
        <w:t>statistically</w:t>
      </w:r>
      <w:r>
        <w:rPr>
          <w:spacing w:val="-8"/>
        </w:rPr>
        <w:t> </w:t>
      </w:r>
      <w:r>
        <w:rPr/>
        <w:t>significant</w:t>
      </w:r>
      <w:r>
        <w:rPr>
          <w:spacing w:val="-9"/>
        </w:rPr>
        <w:t> </w:t>
      </w:r>
      <w:r>
        <w:rPr/>
        <w:t>changes</w:t>
      </w:r>
      <w:r>
        <w:rPr>
          <w:spacing w:val="-8"/>
        </w:rPr>
        <w:t> </w:t>
      </w:r>
      <w:r>
        <w:rPr/>
        <w:t>(P</w:t>
      </w:r>
      <w:r>
        <w:rPr>
          <w:spacing w:val="-8"/>
        </w:rPr>
        <w:t> </w:t>
      </w:r>
      <w:r>
        <w:rPr>
          <w:w w:val="120"/>
        </w:rPr>
        <w:t>&lt; </w:t>
      </w:r>
      <w:r>
        <w:rPr/>
        <w:t>0.1); areas shown in gray are not statistically significant.</w:t>
      </w:r>
    </w:p>
    <w:p>
      <w:pPr>
        <w:pStyle w:val="BodyText"/>
        <w:spacing w:after="0" w:line="218" w:lineRule="auto"/>
        <w:sectPr>
          <w:pgSz w:w="12240" w:h="15840"/>
          <w:pgMar w:header="0" w:footer="896" w:top="1600" w:bottom="1080" w:left="720" w:right="720"/>
        </w:sectPr>
      </w:pPr>
    </w:p>
    <w:p>
      <w:pPr>
        <w:spacing w:line="240" w:lineRule="auto"/>
        <w:ind w:left="171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690363" cy="5190744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0363" cy="519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18" w:lineRule="auto" w:before="168"/>
        <w:ind w:left="130" w:right="105"/>
      </w:pPr>
      <w:bookmarkStart w:name="_bookmark4" w:id="8"/>
      <w:bookmarkEnd w:id="8"/>
      <w:r>
        <w:rPr/>
      </w:r>
      <w:r>
        <w:rPr>
          <w:b/>
        </w:rPr>
        <w:t>Figure 4.</w:t>
      </w:r>
      <w:r>
        <w:rPr>
          <w:b/>
          <w:spacing w:val="40"/>
        </w:rPr>
        <w:t> </w:t>
      </w:r>
      <w:r>
        <w:rPr/>
        <w:t>Changes (days/year) in predicted dates of first egg hatch for FCM across the CONUS over the recent 24-year period (2001–2025).</w:t>
      </w:r>
      <w:r>
        <w:rPr>
          <w:spacing w:val="20"/>
        </w:rPr>
        <w:t> </w:t>
      </w:r>
      <w:r>
        <w:rPr/>
        <w:t>Maps show (A) all changes and (B) statistically significant changes (P </w:t>
      </w:r>
      <w:r>
        <w:rPr>
          <w:w w:val="125"/>
        </w:rPr>
        <w:t>&lt; </w:t>
      </w:r>
      <w:r>
        <w:rPr/>
        <w:t>0.1); areas shown in gray are not statistically significant.</w:t>
      </w:r>
    </w:p>
    <w:p>
      <w:pPr>
        <w:pStyle w:val="Heading2"/>
        <w:numPr>
          <w:ilvl w:val="1"/>
          <w:numId w:val="1"/>
        </w:numPr>
        <w:tabs>
          <w:tab w:pos="414" w:val="left" w:leader="none"/>
        </w:tabs>
        <w:spacing w:line="297" w:lineRule="auto" w:before="291" w:after="0"/>
        <w:ind w:left="130" w:right="8108" w:firstLine="0"/>
        <w:jc w:val="left"/>
        <w:rPr>
          <w:b w:val="0"/>
        </w:rPr>
      </w:pPr>
      <w:bookmarkStart w:name="ii. Climatic suitability" w:id="9"/>
      <w:bookmarkEnd w:id="9"/>
      <w:r>
        <w:rPr>
          <w:b w:val="0"/>
        </w:rPr>
      </w:r>
      <w:r>
        <w:rPr>
          <w:b w:val="0"/>
          <w:w w:val="90"/>
        </w:rPr>
        <w:t>Climatic</w:t>
      </w:r>
      <w:r>
        <w:rPr>
          <w:b w:val="0"/>
          <w:spacing w:val="-13"/>
          <w:w w:val="90"/>
        </w:rPr>
        <w:t> </w:t>
      </w:r>
      <w:r>
        <w:rPr>
          <w:b w:val="0"/>
          <w:w w:val="90"/>
        </w:rPr>
        <w:t>suitability </w:t>
      </w:r>
      <w:r>
        <w:rPr>
          <w:b w:val="0"/>
          <w:w w:val="85"/>
        </w:rPr>
        <w:t>Entire</w:t>
      </w:r>
      <w:r>
        <w:rPr>
          <w:b w:val="0"/>
          <w:spacing w:val="-8"/>
          <w:w w:val="85"/>
        </w:rPr>
        <w:t> </w:t>
      </w:r>
      <w:r>
        <w:rPr>
          <w:b w:val="0"/>
          <w:w w:val="85"/>
        </w:rPr>
        <w:t>period:</w:t>
      </w:r>
      <w:r>
        <w:rPr>
          <w:b w:val="0"/>
          <w:spacing w:val="-4"/>
        </w:rPr>
        <w:t> </w:t>
      </w:r>
      <w:r>
        <w:rPr>
          <w:b w:val="0"/>
          <w:w w:val="85"/>
        </w:rPr>
        <w:t>1981–</w:t>
      </w:r>
      <w:r>
        <w:rPr>
          <w:b w:val="0"/>
          <w:w w:val="85"/>
        </w:rPr>
        <w:t>2025</w:t>
      </w:r>
    </w:p>
    <w:p>
      <w:pPr>
        <w:pStyle w:val="BodyText"/>
        <w:spacing w:line="218" w:lineRule="auto" w:before="30"/>
        <w:ind w:left="130" w:right="120"/>
        <w:jc w:val="both"/>
      </w:pPr>
      <w:r>
        <w:rPr/>
        <w:t>Predicted</w:t>
      </w:r>
      <w:r>
        <w:rPr>
          <w:spacing w:val="-1"/>
        </w:rPr>
        <w:t> </w:t>
      </w:r>
      <w:r>
        <w:rPr/>
        <w:t>cold</w:t>
      </w:r>
      <w:r>
        <w:rPr>
          <w:spacing w:val="-1"/>
        </w:rPr>
        <w:t> </w:t>
      </w:r>
      <w:r>
        <w:rPr/>
        <w:t>stress</w:t>
      </w:r>
      <w:r>
        <w:rPr>
          <w:spacing w:val="-1"/>
        </w:rPr>
        <w:t> </w:t>
      </w:r>
      <w:r>
        <w:rPr/>
        <w:t>decreased</w:t>
      </w:r>
      <w:r>
        <w:rPr>
          <w:spacing w:val="-1"/>
        </w:rPr>
        <w:t> </w:t>
      </w:r>
      <w:r>
        <w:rPr/>
        <w:t>across</w:t>
      </w:r>
      <w:r>
        <w:rPr>
          <w:spacing w:val="-1"/>
        </w:rPr>
        <w:t> </w:t>
      </w:r>
      <w:r>
        <w:rPr/>
        <w:t>much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northern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western</w:t>
      </w:r>
      <w:r>
        <w:rPr>
          <w:spacing w:val="-1"/>
        </w:rPr>
        <w:t> </w:t>
      </w:r>
      <w:r>
        <w:rPr/>
        <w:t>United</w:t>
      </w:r>
      <w:r>
        <w:rPr>
          <w:spacing w:val="-1"/>
        </w:rPr>
        <w:t> </w:t>
      </w:r>
      <w:r>
        <w:rPr/>
        <w:t>States</w:t>
      </w:r>
      <w:r>
        <w:rPr>
          <w:spacing w:val="-1"/>
        </w:rPr>
        <w:t> </w:t>
      </w:r>
      <w:r>
        <w:rPr/>
        <w:t>over</w:t>
      </w:r>
      <w:r>
        <w:rPr>
          <w:spacing w:val="-1"/>
        </w:rPr>
        <w:t> </w:t>
      </w:r>
      <w:r>
        <w:rPr/>
        <w:t>1981–2025,</w:t>
      </w:r>
      <w:r>
        <w:rPr>
          <w:spacing w:val="-1"/>
        </w:rPr>
        <w:t> </w:t>
      </w:r>
      <w:r>
        <w:rPr/>
        <w:t>with significant</w:t>
      </w:r>
      <w:r>
        <w:rPr>
          <w:spacing w:val="-13"/>
        </w:rPr>
        <w:t> </w:t>
      </w:r>
      <w:r>
        <w:rPr/>
        <w:t>decreases</w:t>
      </w:r>
      <w:r>
        <w:rPr>
          <w:spacing w:val="-13"/>
        </w:rPr>
        <w:t> </w:t>
      </w:r>
      <w:r>
        <w:rPr/>
        <w:t>especially</w:t>
      </w:r>
      <w:r>
        <w:rPr>
          <w:spacing w:val="-13"/>
        </w:rPr>
        <w:t> </w:t>
      </w:r>
      <w:r>
        <w:rPr/>
        <w:t>evident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northern</w:t>
      </w:r>
      <w:r>
        <w:rPr>
          <w:spacing w:val="-13"/>
        </w:rPr>
        <w:t> </w:t>
      </w:r>
      <w:r>
        <w:rPr/>
        <w:t>interior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Northeast</w:t>
      </w:r>
      <w:r>
        <w:rPr>
          <w:spacing w:val="-13"/>
        </w:rPr>
        <w:t> </w:t>
      </w:r>
      <w:r>
        <w:rPr/>
        <w:t>(Figure</w:t>
      </w:r>
      <w:r>
        <w:rPr>
          <w:spacing w:val="-13"/>
        </w:rPr>
        <w:t> </w:t>
      </w:r>
      <w:hyperlink w:history="true" w:anchor="_bookmark5">
        <w:r>
          <w:rPr>
            <w:color w:val="0000FF"/>
          </w:rPr>
          <w:t>5</w:t>
        </w:r>
      </w:hyperlink>
      <w:r>
        <w:rPr/>
        <w:t>). Predicted</w:t>
      </w:r>
      <w:r>
        <w:rPr>
          <w:spacing w:val="-13"/>
        </w:rPr>
        <w:t> </w:t>
      </w:r>
      <w:r>
        <w:rPr/>
        <w:t>heat</w:t>
      </w:r>
      <w:r>
        <w:rPr>
          <w:spacing w:val="-13"/>
        </w:rPr>
        <w:t> </w:t>
      </w:r>
      <w:r>
        <w:rPr/>
        <w:t>stress </w:t>
      </w:r>
      <w:r>
        <w:rPr>
          <w:spacing w:val="-2"/>
        </w:rPr>
        <w:t>increased</w:t>
      </w:r>
      <w:r>
        <w:rPr>
          <w:spacing w:val="-12"/>
        </w:rPr>
        <w:t> </w:t>
      </w:r>
      <w:r>
        <w:rPr>
          <w:spacing w:val="-2"/>
        </w:rPr>
        <w:t>across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Southwest,</w:t>
      </w:r>
      <w:r>
        <w:rPr>
          <w:spacing w:val="-10"/>
        </w:rPr>
        <w:t> </w:t>
      </w:r>
      <w:r>
        <w:rPr>
          <w:spacing w:val="-2"/>
        </w:rPr>
        <w:t>southern</w:t>
      </w:r>
      <w:r>
        <w:rPr>
          <w:spacing w:val="-12"/>
        </w:rPr>
        <w:t> </w:t>
      </w:r>
      <w:r>
        <w:rPr>
          <w:spacing w:val="-2"/>
        </w:rPr>
        <w:t>Great</w:t>
      </w:r>
      <w:r>
        <w:rPr>
          <w:spacing w:val="-11"/>
        </w:rPr>
        <w:t> </w:t>
      </w:r>
      <w:r>
        <w:rPr>
          <w:spacing w:val="-2"/>
        </w:rPr>
        <w:t>Plains,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parts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Southeast</w:t>
      </w:r>
      <w:r>
        <w:rPr>
          <w:spacing w:val="-12"/>
        </w:rPr>
        <w:t> </w:t>
      </w:r>
      <w:r>
        <w:rPr>
          <w:spacing w:val="-2"/>
        </w:rPr>
        <w:t>(Figure</w:t>
      </w:r>
      <w:r>
        <w:rPr>
          <w:spacing w:val="-11"/>
        </w:rPr>
        <w:t> </w:t>
      </w:r>
      <w:hyperlink w:history="true" w:anchor="_bookmark6">
        <w:r>
          <w:rPr>
            <w:color w:val="0000FF"/>
            <w:spacing w:val="-2"/>
          </w:rPr>
          <w:t>6</w:t>
        </w:r>
      </w:hyperlink>
      <w:r>
        <w:rPr>
          <w:spacing w:val="-2"/>
        </w:rPr>
        <w:t>).</w:t>
      </w:r>
      <w:r>
        <w:rPr>
          <w:spacing w:val="11"/>
        </w:rPr>
        <w:t> </w:t>
      </w:r>
      <w:r>
        <w:rPr>
          <w:spacing w:val="-2"/>
        </w:rPr>
        <w:t>Climatic</w:t>
      </w:r>
      <w:r>
        <w:rPr>
          <w:spacing w:val="-12"/>
        </w:rPr>
        <w:t> </w:t>
      </w:r>
      <w:r>
        <w:rPr>
          <w:spacing w:val="-2"/>
        </w:rPr>
        <w:t>suitability </w:t>
      </w:r>
      <w:r>
        <w:rPr/>
        <w:t>showed significant increases in portions of the southern United States, including parts of the Southeast and Southwest, although the changes were spatially limited (Figure </w:t>
      </w:r>
      <w:hyperlink w:history="true" w:anchor="_bookmark7">
        <w:r>
          <w:rPr>
            <w:color w:val="0000FF"/>
          </w:rPr>
          <w:t>7</w:t>
        </w:r>
      </w:hyperlink>
      <w:r>
        <w:rPr/>
        <w:t>).</w:t>
      </w:r>
    </w:p>
    <w:p>
      <w:pPr>
        <w:pStyle w:val="BodyText"/>
        <w:spacing w:after="0" w:line="218" w:lineRule="auto"/>
        <w:jc w:val="both"/>
        <w:sectPr>
          <w:pgSz w:w="12240" w:h="15840"/>
          <w:pgMar w:header="0" w:footer="896" w:top="1600" w:bottom="1080" w:left="720" w:right="720"/>
        </w:sectPr>
      </w:pPr>
    </w:p>
    <w:p>
      <w:pPr>
        <w:spacing w:line="240" w:lineRule="auto"/>
        <w:ind w:left="171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687310" cy="5190744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7310" cy="519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18" w:lineRule="auto" w:before="173"/>
        <w:ind w:left="130"/>
      </w:pPr>
      <w:bookmarkStart w:name="_bookmark5" w:id="10"/>
      <w:bookmarkEnd w:id="10"/>
      <w:r>
        <w:rPr/>
      </w:r>
      <w:r>
        <w:rPr>
          <w:b/>
        </w:rPr>
        <w:t>Figure 5.</w:t>
      </w:r>
      <w:r>
        <w:rPr>
          <w:b/>
          <w:spacing w:val="40"/>
        </w:rPr>
        <w:t> </w:t>
      </w:r>
      <w:r>
        <w:rPr/>
        <w:t>Changes (units/year) in predicted cold stress for FCM across the CONUS over the entire 44-year period</w:t>
      </w:r>
      <w:r>
        <w:rPr>
          <w:spacing w:val="-9"/>
        </w:rPr>
        <w:t> </w:t>
      </w:r>
      <w:r>
        <w:rPr/>
        <w:t>(1981–2025).</w:t>
      </w:r>
      <w:r>
        <w:rPr>
          <w:spacing w:val="10"/>
        </w:rPr>
        <w:t> </w:t>
      </w:r>
      <w:r>
        <w:rPr/>
        <w:t>Maps</w:t>
      </w:r>
      <w:r>
        <w:rPr>
          <w:spacing w:val="-6"/>
        </w:rPr>
        <w:t> </w:t>
      </w:r>
      <w:r>
        <w:rPr/>
        <w:t>show</w:t>
      </w:r>
      <w:r>
        <w:rPr>
          <w:spacing w:val="-6"/>
        </w:rPr>
        <w:t> </w:t>
      </w:r>
      <w:r>
        <w:rPr/>
        <w:t>(A)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changes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(B)</w:t>
      </w:r>
      <w:r>
        <w:rPr>
          <w:spacing w:val="-6"/>
        </w:rPr>
        <w:t> </w:t>
      </w:r>
      <w:r>
        <w:rPr/>
        <w:t>statistically</w:t>
      </w:r>
      <w:r>
        <w:rPr>
          <w:spacing w:val="-6"/>
        </w:rPr>
        <w:t> </w:t>
      </w:r>
      <w:r>
        <w:rPr/>
        <w:t>significant</w:t>
      </w:r>
      <w:r>
        <w:rPr>
          <w:spacing w:val="-6"/>
        </w:rPr>
        <w:t> </w:t>
      </w:r>
      <w:r>
        <w:rPr/>
        <w:t>changes</w:t>
      </w:r>
      <w:r>
        <w:rPr>
          <w:spacing w:val="-6"/>
        </w:rPr>
        <w:t> </w:t>
      </w:r>
      <w:r>
        <w:rPr/>
        <w:t>(P</w:t>
      </w:r>
      <w:r>
        <w:rPr>
          <w:spacing w:val="-6"/>
        </w:rPr>
        <w:t> </w:t>
      </w:r>
      <w:r>
        <w:rPr>
          <w:w w:val="125"/>
        </w:rPr>
        <w:t>&lt;</w:t>
      </w:r>
      <w:r>
        <w:rPr>
          <w:spacing w:val="-18"/>
          <w:w w:val="125"/>
        </w:rPr>
        <w:t> </w:t>
      </w:r>
      <w:r>
        <w:rPr/>
        <w:t>0.1);</w:t>
      </w:r>
      <w:r>
        <w:rPr>
          <w:spacing w:val="-6"/>
        </w:rPr>
        <w:t> </w:t>
      </w:r>
      <w:r>
        <w:rPr/>
        <w:t>areas</w:t>
      </w:r>
      <w:r>
        <w:rPr>
          <w:spacing w:val="-6"/>
        </w:rPr>
        <w:t> </w:t>
      </w:r>
      <w:r>
        <w:rPr/>
        <w:t>shown in</w:t>
      </w:r>
      <w:r>
        <w:rPr>
          <w:spacing w:val="-4"/>
        </w:rPr>
        <w:t> </w:t>
      </w:r>
      <w:r>
        <w:rPr/>
        <w:t>gray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statistically</w:t>
      </w:r>
      <w:r>
        <w:rPr>
          <w:spacing w:val="-3"/>
        </w:rPr>
        <w:t> </w:t>
      </w:r>
      <w:r>
        <w:rPr/>
        <w:t>significant.</w:t>
      </w:r>
      <w:r>
        <w:rPr>
          <w:spacing w:val="14"/>
        </w:rPr>
        <w:t> </w:t>
      </w:r>
      <w:r>
        <w:rPr/>
        <w:t>Areas</w:t>
      </w:r>
      <w:r>
        <w:rPr>
          <w:spacing w:val="-3"/>
        </w:rPr>
        <w:t> </w:t>
      </w:r>
      <w:r>
        <w:rPr/>
        <w:t>shown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0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(B)</w:t>
      </w:r>
      <w:r>
        <w:rPr>
          <w:spacing w:val="-3"/>
        </w:rPr>
        <w:t> </w:t>
      </w:r>
      <w:r>
        <w:rPr/>
        <w:t>had</w:t>
      </w:r>
      <w:r>
        <w:rPr>
          <w:spacing w:val="-3"/>
        </w:rPr>
        <w:t> </w:t>
      </w:r>
      <w:r>
        <w:rPr/>
        <w:t>significant</w:t>
      </w:r>
      <w:r>
        <w:rPr>
          <w:spacing w:val="-3"/>
        </w:rPr>
        <w:t> </w:t>
      </w:r>
      <w:r>
        <w:rPr/>
        <w:t>trends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very</w:t>
      </w:r>
      <w:r>
        <w:rPr>
          <w:spacing w:val="-3"/>
        </w:rPr>
        <w:t> </w:t>
      </w:r>
      <w:r>
        <w:rPr/>
        <w:t>small</w:t>
      </w:r>
      <w:r>
        <w:rPr>
          <w:spacing w:val="-3"/>
        </w:rPr>
        <w:t> </w:t>
      </w:r>
      <w:r>
        <w:rPr>
          <w:spacing w:val="-2"/>
        </w:rPr>
        <w:t>changes.</w:t>
      </w:r>
    </w:p>
    <w:p>
      <w:pPr>
        <w:pStyle w:val="BodyText"/>
        <w:spacing w:after="0" w:line="218" w:lineRule="auto"/>
        <w:sectPr>
          <w:pgSz w:w="12240" w:h="15840"/>
          <w:pgMar w:header="0" w:footer="896" w:top="1600" w:bottom="1080" w:left="720" w:right="720"/>
        </w:sectPr>
      </w:pPr>
    </w:p>
    <w:p>
      <w:pPr>
        <w:spacing w:line="240" w:lineRule="auto"/>
        <w:ind w:left="171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687310" cy="5190744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7310" cy="519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18" w:lineRule="auto" w:before="173"/>
        <w:ind w:left="130"/>
      </w:pPr>
      <w:bookmarkStart w:name="_bookmark6" w:id="11"/>
      <w:bookmarkEnd w:id="11"/>
      <w:r>
        <w:rPr/>
      </w:r>
      <w:r>
        <w:rPr>
          <w:b/>
        </w:rPr>
        <w:t>Figure 6.</w:t>
      </w:r>
      <w:r>
        <w:rPr>
          <w:b/>
          <w:spacing w:val="40"/>
        </w:rPr>
        <w:t> </w:t>
      </w:r>
      <w:r>
        <w:rPr/>
        <w:t>Changes (units/year) in predicted heat stress for FCM across the CONUS over the entire 44-year period</w:t>
      </w:r>
      <w:r>
        <w:rPr>
          <w:spacing w:val="-9"/>
        </w:rPr>
        <w:t> </w:t>
      </w:r>
      <w:r>
        <w:rPr/>
        <w:t>(1981–2025).</w:t>
      </w:r>
      <w:r>
        <w:rPr>
          <w:spacing w:val="10"/>
        </w:rPr>
        <w:t> </w:t>
      </w:r>
      <w:r>
        <w:rPr/>
        <w:t>Maps</w:t>
      </w:r>
      <w:r>
        <w:rPr>
          <w:spacing w:val="-6"/>
        </w:rPr>
        <w:t> </w:t>
      </w:r>
      <w:r>
        <w:rPr/>
        <w:t>show</w:t>
      </w:r>
      <w:r>
        <w:rPr>
          <w:spacing w:val="-6"/>
        </w:rPr>
        <w:t> </w:t>
      </w:r>
      <w:r>
        <w:rPr/>
        <w:t>(A)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changes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(B)</w:t>
      </w:r>
      <w:r>
        <w:rPr>
          <w:spacing w:val="-6"/>
        </w:rPr>
        <w:t> </w:t>
      </w:r>
      <w:r>
        <w:rPr/>
        <w:t>statistically</w:t>
      </w:r>
      <w:r>
        <w:rPr>
          <w:spacing w:val="-6"/>
        </w:rPr>
        <w:t> </w:t>
      </w:r>
      <w:r>
        <w:rPr/>
        <w:t>significant</w:t>
      </w:r>
      <w:r>
        <w:rPr>
          <w:spacing w:val="-6"/>
        </w:rPr>
        <w:t> </w:t>
      </w:r>
      <w:r>
        <w:rPr/>
        <w:t>changes</w:t>
      </w:r>
      <w:r>
        <w:rPr>
          <w:spacing w:val="-6"/>
        </w:rPr>
        <w:t> </w:t>
      </w:r>
      <w:r>
        <w:rPr/>
        <w:t>(P</w:t>
      </w:r>
      <w:r>
        <w:rPr>
          <w:spacing w:val="-6"/>
        </w:rPr>
        <w:t> </w:t>
      </w:r>
      <w:r>
        <w:rPr>
          <w:w w:val="125"/>
        </w:rPr>
        <w:t>&lt;</w:t>
      </w:r>
      <w:r>
        <w:rPr>
          <w:spacing w:val="-18"/>
          <w:w w:val="125"/>
        </w:rPr>
        <w:t> </w:t>
      </w:r>
      <w:r>
        <w:rPr/>
        <w:t>0.1);</w:t>
      </w:r>
      <w:r>
        <w:rPr>
          <w:spacing w:val="-6"/>
        </w:rPr>
        <w:t> </w:t>
      </w:r>
      <w:r>
        <w:rPr/>
        <w:t>areas</w:t>
      </w:r>
      <w:r>
        <w:rPr>
          <w:spacing w:val="-6"/>
        </w:rPr>
        <w:t> </w:t>
      </w:r>
      <w:r>
        <w:rPr/>
        <w:t>shown in</w:t>
      </w:r>
      <w:r>
        <w:rPr>
          <w:spacing w:val="-4"/>
        </w:rPr>
        <w:t> </w:t>
      </w:r>
      <w:r>
        <w:rPr/>
        <w:t>gray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statistically</w:t>
      </w:r>
      <w:r>
        <w:rPr>
          <w:spacing w:val="-3"/>
        </w:rPr>
        <w:t> </w:t>
      </w:r>
      <w:r>
        <w:rPr/>
        <w:t>significant.</w:t>
      </w:r>
      <w:r>
        <w:rPr>
          <w:spacing w:val="14"/>
        </w:rPr>
        <w:t> </w:t>
      </w:r>
      <w:r>
        <w:rPr/>
        <w:t>Areas</w:t>
      </w:r>
      <w:r>
        <w:rPr>
          <w:spacing w:val="-3"/>
        </w:rPr>
        <w:t> </w:t>
      </w:r>
      <w:r>
        <w:rPr/>
        <w:t>shown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0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(B)</w:t>
      </w:r>
      <w:r>
        <w:rPr>
          <w:spacing w:val="-3"/>
        </w:rPr>
        <w:t> </w:t>
      </w:r>
      <w:r>
        <w:rPr/>
        <w:t>had</w:t>
      </w:r>
      <w:r>
        <w:rPr>
          <w:spacing w:val="-3"/>
        </w:rPr>
        <w:t> </w:t>
      </w:r>
      <w:r>
        <w:rPr/>
        <w:t>significant</w:t>
      </w:r>
      <w:r>
        <w:rPr>
          <w:spacing w:val="-3"/>
        </w:rPr>
        <w:t> </w:t>
      </w:r>
      <w:r>
        <w:rPr/>
        <w:t>trends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very</w:t>
      </w:r>
      <w:r>
        <w:rPr>
          <w:spacing w:val="-3"/>
        </w:rPr>
        <w:t> </w:t>
      </w:r>
      <w:r>
        <w:rPr/>
        <w:t>small</w:t>
      </w:r>
      <w:r>
        <w:rPr>
          <w:spacing w:val="-3"/>
        </w:rPr>
        <w:t> </w:t>
      </w:r>
      <w:r>
        <w:rPr>
          <w:spacing w:val="-2"/>
        </w:rPr>
        <w:t>changes.</w:t>
      </w:r>
    </w:p>
    <w:p>
      <w:pPr>
        <w:pStyle w:val="BodyText"/>
        <w:spacing w:after="0" w:line="218" w:lineRule="auto"/>
        <w:sectPr>
          <w:pgSz w:w="12240" w:h="15840"/>
          <w:pgMar w:header="0" w:footer="896" w:top="1600" w:bottom="1080" w:left="720" w:right="720"/>
        </w:sectPr>
      </w:pPr>
    </w:p>
    <w:p>
      <w:pPr>
        <w:spacing w:line="240" w:lineRule="auto"/>
        <w:ind w:left="171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676257" cy="5610701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6257" cy="5610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18" w:lineRule="auto" w:before="195"/>
        <w:ind w:left="104" w:right="105" w:firstLine="25"/>
      </w:pPr>
      <w:bookmarkStart w:name="_bookmark7" w:id="12"/>
      <w:bookmarkEnd w:id="12"/>
      <w:r>
        <w:rPr/>
      </w:r>
      <w:r>
        <w:rPr>
          <w:b/>
        </w:rPr>
        <w:t>Figure 7.</w:t>
      </w:r>
      <w:r>
        <w:rPr>
          <w:b/>
          <w:spacing w:val="40"/>
        </w:rPr>
        <w:t> </w:t>
      </w:r>
      <w:r>
        <w:rPr/>
        <w:t>Changes in predicted climatic suitability for FCM across the CONUS over the 44-year period (1981–2025).</w:t>
      </w:r>
      <w:r>
        <w:rPr>
          <w:spacing w:val="24"/>
        </w:rPr>
        <w:t> </w:t>
      </w:r>
      <w:r>
        <w:rPr/>
        <w:t>Suitability is defined as areas not excluded by climate stress.</w:t>
      </w:r>
      <w:r>
        <w:rPr>
          <w:spacing w:val="24"/>
        </w:rPr>
        <w:t> </w:t>
      </w:r>
      <w:r>
        <w:rPr/>
        <w:t>Positive changes (warmer colors) </w:t>
      </w:r>
      <w:r>
        <w:rPr>
          <w:spacing w:val="-2"/>
        </w:rPr>
        <w:t>indicate</w:t>
      </w:r>
      <w:r>
        <w:rPr>
          <w:spacing w:val="-9"/>
        </w:rPr>
        <w:t> </w:t>
      </w:r>
      <w:r>
        <w:rPr>
          <w:spacing w:val="-2"/>
        </w:rPr>
        <w:t>an</w:t>
      </w:r>
      <w:r>
        <w:rPr>
          <w:spacing w:val="-8"/>
        </w:rPr>
        <w:t> </w:t>
      </w:r>
      <w:r>
        <w:rPr>
          <w:spacing w:val="-2"/>
        </w:rPr>
        <w:t>increased</w:t>
      </w:r>
      <w:r>
        <w:rPr>
          <w:spacing w:val="-8"/>
        </w:rPr>
        <w:t> </w:t>
      </w:r>
      <w:r>
        <w:rPr>
          <w:spacing w:val="-2"/>
        </w:rPr>
        <w:t>likelihood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establishment,</w:t>
      </w:r>
      <w:r>
        <w:rPr>
          <w:spacing w:val="-9"/>
        </w:rPr>
        <w:t> </w:t>
      </w:r>
      <w:r>
        <w:rPr>
          <w:spacing w:val="-2"/>
        </w:rPr>
        <w:t>whereas</w:t>
      </w:r>
      <w:r>
        <w:rPr>
          <w:spacing w:val="-8"/>
        </w:rPr>
        <w:t> </w:t>
      </w:r>
      <w:r>
        <w:rPr>
          <w:spacing w:val="-2"/>
        </w:rPr>
        <w:t>negative</w:t>
      </w:r>
      <w:r>
        <w:rPr>
          <w:spacing w:val="-8"/>
        </w:rPr>
        <w:t> </w:t>
      </w:r>
      <w:r>
        <w:rPr>
          <w:spacing w:val="-2"/>
        </w:rPr>
        <w:t>changes</w:t>
      </w:r>
      <w:r>
        <w:rPr>
          <w:spacing w:val="-8"/>
        </w:rPr>
        <w:t> </w:t>
      </w:r>
      <w:r>
        <w:rPr>
          <w:spacing w:val="-2"/>
        </w:rPr>
        <w:t>(cooler</w:t>
      </w:r>
      <w:r>
        <w:rPr>
          <w:spacing w:val="-8"/>
        </w:rPr>
        <w:t> </w:t>
      </w:r>
      <w:r>
        <w:rPr>
          <w:spacing w:val="-2"/>
        </w:rPr>
        <w:t>colors)</w:t>
      </w:r>
      <w:r>
        <w:rPr>
          <w:spacing w:val="-9"/>
        </w:rPr>
        <w:t> </w:t>
      </w:r>
      <w:r>
        <w:rPr>
          <w:spacing w:val="-2"/>
        </w:rPr>
        <w:t>indicate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decreased </w:t>
      </w:r>
      <w:r>
        <w:rPr/>
        <w:t>likelihood of establishment.</w:t>
      </w:r>
    </w:p>
    <w:p>
      <w:pPr>
        <w:pStyle w:val="Heading2"/>
        <w:spacing w:before="292"/>
        <w:rPr>
          <w:b w:val="0"/>
        </w:rPr>
      </w:pPr>
      <w:r>
        <w:rPr>
          <w:b w:val="0"/>
          <w:w w:val="80"/>
        </w:rPr>
        <w:t>Recent</w:t>
      </w:r>
      <w:r>
        <w:rPr>
          <w:b w:val="0"/>
          <w:spacing w:val="31"/>
        </w:rPr>
        <w:t> </w:t>
      </w:r>
      <w:r>
        <w:rPr>
          <w:b w:val="0"/>
          <w:w w:val="80"/>
        </w:rPr>
        <w:t>period:</w:t>
      </w:r>
      <w:r>
        <w:rPr>
          <w:b w:val="0"/>
          <w:spacing w:val="67"/>
        </w:rPr>
        <w:t> </w:t>
      </w:r>
      <w:r>
        <w:rPr>
          <w:b w:val="0"/>
          <w:w w:val="80"/>
        </w:rPr>
        <w:t>2001–</w:t>
      </w:r>
      <w:r>
        <w:rPr>
          <w:b w:val="0"/>
          <w:spacing w:val="-4"/>
          <w:w w:val="80"/>
        </w:rPr>
        <w:t>2025</w:t>
      </w:r>
    </w:p>
    <w:p>
      <w:pPr>
        <w:pStyle w:val="BodyText"/>
        <w:spacing w:line="218" w:lineRule="auto" w:before="105"/>
        <w:ind w:left="130" w:right="124"/>
        <w:jc w:val="both"/>
      </w:pPr>
      <w:r>
        <w:rPr>
          <w:spacing w:val="-4"/>
        </w:rPr>
        <w:t>During 2001–2025, cold-stress trends became more mixed, with increases across portions of the northern </w:t>
      </w:r>
      <w:r>
        <w:rPr>
          <w:spacing w:val="-4"/>
        </w:rPr>
        <w:t>interior </w:t>
      </w:r>
      <w:r>
        <w:rPr/>
        <w:t>and</w:t>
      </w:r>
      <w:r>
        <w:rPr>
          <w:spacing w:val="-11"/>
        </w:rPr>
        <w:t> </w:t>
      </w:r>
      <w:r>
        <w:rPr/>
        <w:t>decreases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scattered</w:t>
      </w:r>
      <w:r>
        <w:rPr>
          <w:spacing w:val="-11"/>
        </w:rPr>
        <w:t> </w:t>
      </w:r>
      <w:r>
        <w:rPr/>
        <w:t>regions</w:t>
      </w:r>
      <w:r>
        <w:rPr>
          <w:spacing w:val="-11"/>
        </w:rPr>
        <w:t> </w:t>
      </w:r>
      <w:r>
        <w:rPr/>
        <w:t>(Figure</w:t>
      </w:r>
      <w:r>
        <w:rPr>
          <w:spacing w:val="-11"/>
        </w:rPr>
        <w:t> </w:t>
      </w:r>
      <w:hyperlink w:history="true" w:anchor="_bookmark8">
        <w:r>
          <w:rPr>
            <w:color w:val="0000FF"/>
          </w:rPr>
          <w:t>8</w:t>
        </w:r>
      </w:hyperlink>
      <w:r>
        <w:rPr/>
        <w:t>). Heat</w:t>
      </w:r>
      <w:r>
        <w:rPr>
          <w:spacing w:val="-11"/>
        </w:rPr>
        <w:t> </w:t>
      </w:r>
      <w:r>
        <w:rPr/>
        <w:t>stress</w:t>
      </w:r>
      <w:r>
        <w:rPr>
          <w:spacing w:val="-11"/>
        </w:rPr>
        <w:t> </w:t>
      </w:r>
      <w:r>
        <w:rPr/>
        <w:t>continued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increase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Southwest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southern Great Plains (Figure </w:t>
      </w:r>
      <w:hyperlink w:history="true" w:anchor="_bookmark9">
        <w:r>
          <w:rPr>
            <w:color w:val="0000FF"/>
          </w:rPr>
          <w:t>9</w:t>
        </w:r>
      </w:hyperlink>
      <w:r>
        <w:rPr/>
        <w:t>).</w:t>
      </w:r>
      <w:r>
        <w:rPr>
          <w:spacing w:val="35"/>
        </w:rPr>
        <w:t> </w:t>
      </w:r>
      <w:r>
        <w:rPr/>
        <w:t>The climatic-suitability map showed relatively limited significant change, although increases remained evident in portions of the southern United States (Figure </w:t>
      </w:r>
      <w:hyperlink w:history="true" w:anchor="_bookmark10">
        <w:r>
          <w:rPr>
            <w:color w:val="0000FF"/>
          </w:rPr>
          <w:t>10</w:t>
        </w:r>
      </w:hyperlink>
      <w:r>
        <w:rPr/>
        <w:t>).</w:t>
      </w:r>
    </w:p>
    <w:p>
      <w:pPr>
        <w:pStyle w:val="BodyText"/>
        <w:spacing w:after="0" w:line="218" w:lineRule="auto"/>
        <w:jc w:val="both"/>
        <w:sectPr>
          <w:pgSz w:w="12240" w:h="15840"/>
          <w:pgMar w:header="0" w:footer="896" w:top="1600" w:bottom="1080" w:left="720" w:right="720"/>
        </w:sectPr>
      </w:pPr>
    </w:p>
    <w:p>
      <w:pPr>
        <w:spacing w:line="240" w:lineRule="auto"/>
        <w:ind w:left="171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687310" cy="5190744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7310" cy="519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18" w:lineRule="auto" w:before="173"/>
        <w:ind w:left="130"/>
      </w:pPr>
      <w:bookmarkStart w:name="_bookmark8" w:id="13"/>
      <w:bookmarkEnd w:id="13"/>
      <w:r>
        <w:rPr/>
      </w:r>
      <w:r>
        <w:rPr>
          <w:b/>
        </w:rPr>
        <w:t>Figure 8.</w:t>
      </w:r>
      <w:r>
        <w:rPr>
          <w:b/>
          <w:spacing w:val="40"/>
        </w:rPr>
        <w:t> </w:t>
      </w:r>
      <w:r>
        <w:rPr/>
        <w:t>Changes (units/year) in predicted cold stress for FCM across the CONUS over the recent 24-year period</w:t>
      </w:r>
      <w:r>
        <w:rPr>
          <w:spacing w:val="-9"/>
        </w:rPr>
        <w:t> </w:t>
      </w:r>
      <w:r>
        <w:rPr/>
        <w:t>(2001–2025).</w:t>
      </w:r>
      <w:r>
        <w:rPr>
          <w:spacing w:val="10"/>
        </w:rPr>
        <w:t> </w:t>
      </w:r>
      <w:r>
        <w:rPr/>
        <w:t>Maps</w:t>
      </w:r>
      <w:r>
        <w:rPr>
          <w:spacing w:val="-6"/>
        </w:rPr>
        <w:t> </w:t>
      </w:r>
      <w:r>
        <w:rPr/>
        <w:t>show</w:t>
      </w:r>
      <w:r>
        <w:rPr>
          <w:spacing w:val="-6"/>
        </w:rPr>
        <w:t> </w:t>
      </w:r>
      <w:r>
        <w:rPr/>
        <w:t>(A)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changes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(B)</w:t>
      </w:r>
      <w:r>
        <w:rPr>
          <w:spacing w:val="-6"/>
        </w:rPr>
        <w:t> </w:t>
      </w:r>
      <w:r>
        <w:rPr/>
        <w:t>statistically</w:t>
      </w:r>
      <w:r>
        <w:rPr>
          <w:spacing w:val="-6"/>
        </w:rPr>
        <w:t> </w:t>
      </w:r>
      <w:r>
        <w:rPr/>
        <w:t>significant</w:t>
      </w:r>
      <w:r>
        <w:rPr>
          <w:spacing w:val="-6"/>
        </w:rPr>
        <w:t> </w:t>
      </w:r>
      <w:r>
        <w:rPr/>
        <w:t>changes</w:t>
      </w:r>
      <w:r>
        <w:rPr>
          <w:spacing w:val="-6"/>
        </w:rPr>
        <w:t> </w:t>
      </w:r>
      <w:r>
        <w:rPr/>
        <w:t>(P</w:t>
      </w:r>
      <w:r>
        <w:rPr>
          <w:spacing w:val="-6"/>
        </w:rPr>
        <w:t> </w:t>
      </w:r>
      <w:r>
        <w:rPr>
          <w:w w:val="125"/>
        </w:rPr>
        <w:t>&lt;</w:t>
      </w:r>
      <w:r>
        <w:rPr>
          <w:spacing w:val="-18"/>
          <w:w w:val="125"/>
        </w:rPr>
        <w:t> </w:t>
      </w:r>
      <w:r>
        <w:rPr/>
        <w:t>0.1);</w:t>
      </w:r>
      <w:r>
        <w:rPr>
          <w:spacing w:val="-6"/>
        </w:rPr>
        <w:t> </w:t>
      </w:r>
      <w:r>
        <w:rPr/>
        <w:t>areas</w:t>
      </w:r>
      <w:r>
        <w:rPr>
          <w:spacing w:val="-6"/>
        </w:rPr>
        <w:t> </w:t>
      </w:r>
      <w:r>
        <w:rPr/>
        <w:t>shown in</w:t>
      </w:r>
      <w:r>
        <w:rPr>
          <w:spacing w:val="-4"/>
        </w:rPr>
        <w:t> </w:t>
      </w:r>
      <w:r>
        <w:rPr/>
        <w:t>gray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statistically</w:t>
      </w:r>
      <w:r>
        <w:rPr>
          <w:spacing w:val="-3"/>
        </w:rPr>
        <w:t> </w:t>
      </w:r>
      <w:r>
        <w:rPr/>
        <w:t>significant.</w:t>
      </w:r>
      <w:r>
        <w:rPr>
          <w:spacing w:val="14"/>
        </w:rPr>
        <w:t> </w:t>
      </w:r>
      <w:r>
        <w:rPr/>
        <w:t>Areas</w:t>
      </w:r>
      <w:r>
        <w:rPr>
          <w:spacing w:val="-3"/>
        </w:rPr>
        <w:t> </w:t>
      </w:r>
      <w:r>
        <w:rPr/>
        <w:t>shown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0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(B)</w:t>
      </w:r>
      <w:r>
        <w:rPr>
          <w:spacing w:val="-3"/>
        </w:rPr>
        <w:t> </w:t>
      </w:r>
      <w:r>
        <w:rPr/>
        <w:t>had</w:t>
      </w:r>
      <w:r>
        <w:rPr>
          <w:spacing w:val="-3"/>
        </w:rPr>
        <w:t> </w:t>
      </w:r>
      <w:r>
        <w:rPr/>
        <w:t>significant</w:t>
      </w:r>
      <w:r>
        <w:rPr>
          <w:spacing w:val="-3"/>
        </w:rPr>
        <w:t> </w:t>
      </w:r>
      <w:r>
        <w:rPr/>
        <w:t>trends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very</w:t>
      </w:r>
      <w:r>
        <w:rPr>
          <w:spacing w:val="-3"/>
        </w:rPr>
        <w:t> </w:t>
      </w:r>
      <w:r>
        <w:rPr/>
        <w:t>small</w:t>
      </w:r>
      <w:r>
        <w:rPr>
          <w:spacing w:val="-3"/>
        </w:rPr>
        <w:t> </w:t>
      </w:r>
      <w:r>
        <w:rPr>
          <w:spacing w:val="-2"/>
        </w:rPr>
        <w:t>changes.</w:t>
      </w:r>
    </w:p>
    <w:p>
      <w:pPr>
        <w:pStyle w:val="BodyText"/>
        <w:spacing w:after="0" w:line="218" w:lineRule="auto"/>
        <w:sectPr>
          <w:pgSz w:w="12240" w:h="15840"/>
          <w:pgMar w:header="0" w:footer="896" w:top="1600" w:bottom="1080" w:left="720" w:right="720"/>
        </w:sectPr>
      </w:pPr>
    </w:p>
    <w:p>
      <w:pPr>
        <w:spacing w:line="240" w:lineRule="auto"/>
        <w:ind w:left="171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687310" cy="5190744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7310" cy="519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18" w:lineRule="auto" w:before="173"/>
        <w:ind w:left="130"/>
      </w:pPr>
      <w:bookmarkStart w:name="_bookmark9" w:id="14"/>
      <w:bookmarkEnd w:id="14"/>
      <w:r>
        <w:rPr/>
      </w:r>
      <w:r>
        <w:rPr>
          <w:b/>
        </w:rPr>
        <w:t>Figure 9.</w:t>
      </w:r>
      <w:r>
        <w:rPr>
          <w:b/>
          <w:spacing w:val="40"/>
        </w:rPr>
        <w:t> </w:t>
      </w:r>
      <w:r>
        <w:rPr/>
        <w:t>Changes (units/year) in predicted heat stress for FCM across the CONUS over the recent 24-year period</w:t>
      </w:r>
      <w:r>
        <w:rPr>
          <w:spacing w:val="-9"/>
        </w:rPr>
        <w:t> </w:t>
      </w:r>
      <w:r>
        <w:rPr/>
        <w:t>(2001–2025).</w:t>
      </w:r>
      <w:r>
        <w:rPr>
          <w:spacing w:val="10"/>
        </w:rPr>
        <w:t> </w:t>
      </w:r>
      <w:r>
        <w:rPr/>
        <w:t>Maps</w:t>
      </w:r>
      <w:r>
        <w:rPr>
          <w:spacing w:val="-6"/>
        </w:rPr>
        <w:t> </w:t>
      </w:r>
      <w:r>
        <w:rPr/>
        <w:t>show</w:t>
      </w:r>
      <w:r>
        <w:rPr>
          <w:spacing w:val="-6"/>
        </w:rPr>
        <w:t> </w:t>
      </w:r>
      <w:r>
        <w:rPr/>
        <w:t>(A)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changes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(B)</w:t>
      </w:r>
      <w:r>
        <w:rPr>
          <w:spacing w:val="-6"/>
        </w:rPr>
        <w:t> </w:t>
      </w:r>
      <w:r>
        <w:rPr/>
        <w:t>statistically</w:t>
      </w:r>
      <w:r>
        <w:rPr>
          <w:spacing w:val="-6"/>
        </w:rPr>
        <w:t> </w:t>
      </w:r>
      <w:r>
        <w:rPr/>
        <w:t>significant</w:t>
      </w:r>
      <w:r>
        <w:rPr>
          <w:spacing w:val="-6"/>
        </w:rPr>
        <w:t> </w:t>
      </w:r>
      <w:r>
        <w:rPr/>
        <w:t>changes</w:t>
      </w:r>
      <w:r>
        <w:rPr>
          <w:spacing w:val="-6"/>
        </w:rPr>
        <w:t> </w:t>
      </w:r>
      <w:r>
        <w:rPr/>
        <w:t>(P</w:t>
      </w:r>
      <w:r>
        <w:rPr>
          <w:spacing w:val="-6"/>
        </w:rPr>
        <w:t> </w:t>
      </w:r>
      <w:r>
        <w:rPr>
          <w:w w:val="125"/>
        </w:rPr>
        <w:t>&lt;</w:t>
      </w:r>
      <w:r>
        <w:rPr>
          <w:spacing w:val="-18"/>
          <w:w w:val="125"/>
        </w:rPr>
        <w:t> </w:t>
      </w:r>
      <w:r>
        <w:rPr/>
        <w:t>0.1);</w:t>
      </w:r>
      <w:r>
        <w:rPr>
          <w:spacing w:val="-6"/>
        </w:rPr>
        <w:t> </w:t>
      </w:r>
      <w:r>
        <w:rPr/>
        <w:t>areas</w:t>
      </w:r>
      <w:r>
        <w:rPr>
          <w:spacing w:val="-6"/>
        </w:rPr>
        <w:t> </w:t>
      </w:r>
      <w:r>
        <w:rPr/>
        <w:t>shown in</w:t>
      </w:r>
      <w:r>
        <w:rPr>
          <w:spacing w:val="-4"/>
        </w:rPr>
        <w:t> </w:t>
      </w:r>
      <w:r>
        <w:rPr/>
        <w:t>gray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statistically</w:t>
      </w:r>
      <w:r>
        <w:rPr>
          <w:spacing w:val="-3"/>
        </w:rPr>
        <w:t> </w:t>
      </w:r>
      <w:r>
        <w:rPr/>
        <w:t>significant.</w:t>
      </w:r>
      <w:r>
        <w:rPr>
          <w:spacing w:val="14"/>
        </w:rPr>
        <w:t> </w:t>
      </w:r>
      <w:r>
        <w:rPr/>
        <w:t>Areas</w:t>
      </w:r>
      <w:r>
        <w:rPr>
          <w:spacing w:val="-3"/>
        </w:rPr>
        <w:t> </w:t>
      </w:r>
      <w:r>
        <w:rPr/>
        <w:t>shown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0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(B)</w:t>
      </w:r>
      <w:r>
        <w:rPr>
          <w:spacing w:val="-3"/>
        </w:rPr>
        <w:t> </w:t>
      </w:r>
      <w:r>
        <w:rPr/>
        <w:t>had</w:t>
      </w:r>
      <w:r>
        <w:rPr>
          <w:spacing w:val="-3"/>
        </w:rPr>
        <w:t> </w:t>
      </w:r>
      <w:r>
        <w:rPr/>
        <w:t>significant</w:t>
      </w:r>
      <w:r>
        <w:rPr>
          <w:spacing w:val="-3"/>
        </w:rPr>
        <w:t> </w:t>
      </w:r>
      <w:r>
        <w:rPr/>
        <w:t>trends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very</w:t>
      </w:r>
      <w:r>
        <w:rPr>
          <w:spacing w:val="-3"/>
        </w:rPr>
        <w:t> </w:t>
      </w:r>
      <w:r>
        <w:rPr/>
        <w:t>small</w:t>
      </w:r>
      <w:r>
        <w:rPr>
          <w:spacing w:val="-3"/>
        </w:rPr>
        <w:t> </w:t>
      </w:r>
      <w:r>
        <w:rPr>
          <w:spacing w:val="-2"/>
        </w:rPr>
        <w:t>changes.</w:t>
      </w:r>
    </w:p>
    <w:p>
      <w:pPr>
        <w:pStyle w:val="BodyText"/>
        <w:spacing w:after="0" w:line="218" w:lineRule="auto"/>
        <w:sectPr>
          <w:pgSz w:w="12240" w:h="15840"/>
          <w:pgMar w:header="0" w:footer="896" w:top="1600" w:bottom="1080" w:left="720" w:right="720"/>
        </w:sectPr>
      </w:pPr>
    </w:p>
    <w:p>
      <w:pPr>
        <w:spacing w:line="240" w:lineRule="auto"/>
        <w:ind w:left="171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672929" cy="5610701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2929" cy="5610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18" w:lineRule="auto" w:before="200"/>
        <w:ind w:left="130" w:right="105"/>
      </w:pPr>
      <w:bookmarkStart w:name="_bookmark10" w:id="15"/>
      <w:bookmarkEnd w:id="15"/>
      <w:r>
        <w:rPr/>
      </w:r>
      <w:r>
        <w:rPr>
          <w:b/>
        </w:rPr>
        <w:t>Figure 10.</w:t>
      </w:r>
      <w:r>
        <w:rPr>
          <w:b/>
          <w:spacing w:val="40"/>
        </w:rPr>
        <w:t> </w:t>
      </w:r>
      <w:r>
        <w:rPr/>
        <w:t>Changes in predicted climatic suitability for FCM across the CONUS over the recent 24-year period</w:t>
      </w:r>
      <w:r>
        <w:rPr>
          <w:spacing w:val="-9"/>
        </w:rPr>
        <w:t> </w:t>
      </w:r>
      <w:r>
        <w:rPr/>
        <w:t>(2001–2025).</w:t>
      </w:r>
      <w:r>
        <w:rPr>
          <w:spacing w:val="8"/>
        </w:rPr>
        <w:t> </w:t>
      </w:r>
      <w:r>
        <w:rPr/>
        <w:t>Suitability</w:t>
      </w:r>
      <w:r>
        <w:rPr>
          <w:spacing w:val="-8"/>
        </w:rPr>
        <w:t> </w:t>
      </w:r>
      <w:r>
        <w:rPr/>
        <w:t>is</w:t>
      </w:r>
      <w:r>
        <w:rPr>
          <w:spacing w:val="-9"/>
        </w:rPr>
        <w:t> </w:t>
      </w:r>
      <w:r>
        <w:rPr/>
        <w:t>defined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areas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excluded</w:t>
      </w:r>
      <w:r>
        <w:rPr>
          <w:spacing w:val="-9"/>
        </w:rPr>
        <w:t> </w:t>
      </w:r>
      <w:r>
        <w:rPr/>
        <w:t>by</w:t>
      </w:r>
      <w:r>
        <w:rPr>
          <w:spacing w:val="-8"/>
        </w:rPr>
        <w:t> </w:t>
      </w:r>
      <w:r>
        <w:rPr/>
        <w:t>climate</w:t>
      </w:r>
      <w:r>
        <w:rPr>
          <w:spacing w:val="-8"/>
        </w:rPr>
        <w:t> </w:t>
      </w:r>
      <w:r>
        <w:rPr/>
        <w:t>stress.</w:t>
      </w:r>
      <w:r>
        <w:rPr>
          <w:spacing w:val="7"/>
        </w:rPr>
        <w:t> </w:t>
      </w:r>
      <w:r>
        <w:rPr/>
        <w:t>Positive</w:t>
      </w:r>
      <w:r>
        <w:rPr>
          <w:spacing w:val="-8"/>
        </w:rPr>
        <w:t> </w:t>
      </w:r>
      <w:r>
        <w:rPr/>
        <w:t>changes</w:t>
      </w:r>
      <w:r>
        <w:rPr>
          <w:spacing w:val="-8"/>
        </w:rPr>
        <w:t> </w:t>
      </w:r>
      <w:r>
        <w:rPr/>
        <w:t>(warmer </w:t>
      </w:r>
      <w:r>
        <w:rPr>
          <w:spacing w:val="-2"/>
        </w:rPr>
        <w:t>colors)</w:t>
      </w:r>
      <w:r>
        <w:rPr>
          <w:spacing w:val="-5"/>
        </w:rPr>
        <w:t> </w:t>
      </w:r>
      <w:r>
        <w:rPr>
          <w:spacing w:val="-2"/>
        </w:rPr>
        <w:t>indicate</w:t>
      </w:r>
      <w:r>
        <w:rPr>
          <w:spacing w:val="-5"/>
        </w:rPr>
        <w:t> </w:t>
      </w:r>
      <w:r>
        <w:rPr>
          <w:spacing w:val="-2"/>
        </w:rPr>
        <w:t>an</w:t>
      </w:r>
      <w:r>
        <w:rPr>
          <w:spacing w:val="-5"/>
        </w:rPr>
        <w:t> </w:t>
      </w:r>
      <w:r>
        <w:rPr>
          <w:spacing w:val="-2"/>
        </w:rPr>
        <w:t>increased</w:t>
      </w:r>
      <w:r>
        <w:rPr>
          <w:spacing w:val="-5"/>
        </w:rPr>
        <w:t> </w:t>
      </w:r>
      <w:r>
        <w:rPr>
          <w:spacing w:val="-2"/>
        </w:rPr>
        <w:t>likelihood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establishment,</w:t>
      </w:r>
      <w:r>
        <w:rPr>
          <w:spacing w:val="-5"/>
        </w:rPr>
        <w:t> </w:t>
      </w:r>
      <w:r>
        <w:rPr>
          <w:spacing w:val="-2"/>
        </w:rPr>
        <w:t>whereas</w:t>
      </w:r>
      <w:r>
        <w:rPr>
          <w:spacing w:val="-5"/>
        </w:rPr>
        <w:t> </w:t>
      </w:r>
      <w:r>
        <w:rPr>
          <w:spacing w:val="-2"/>
        </w:rPr>
        <w:t>negative</w:t>
      </w:r>
      <w:r>
        <w:rPr>
          <w:spacing w:val="-5"/>
        </w:rPr>
        <w:t> </w:t>
      </w:r>
      <w:r>
        <w:rPr>
          <w:spacing w:val="-2"/>
        </w:rPr>
        <w:t>changes</w:t>
      </w:r>
      <w:r>
        <w:rPr>
          <w:spacing w:val="-5"/>
        </w:rPr>
        <w:t> </w:t>
      </w:r>
      <w:r>
        <w:rPr>
          <w:spacing w:val="-2"/>
        </w:rPr>
        <w:t>(cooler</w:t>
      </w:r>
      <w:r>
        <w:rPr>
          <w:spacing w:val="-5"/>
        </w:rPr>
        <w:t> </w:t>
      </w:r>
      <w:r>
        <w:rPr>
          <w:spacing w:val="-2"/>
        </w:rPr>
        <w:t>colors)</w:t>
      </w:r>
      <w:r>
        <w:rPr>
          <w:spacing w:val="-5"/>
        </w:rPr>
        <w:t> </w:t>
      </w:r>
      <w:r>
        <w:rPr>
          <w:spacing w:val="-2"/>
        </w:rPr>
        <w:t>indicate</w:t>
      </w:r>
      <w:r>
        <w:rPr>
          <w:spacing w:val="-5"/>
        </w:rPr>
        <w:t> </w:t>
      </w:r>
      <w:r>
        <w:rPr>
          <w:spacing w:val="-2"/>
        </w:rPr>
        <w:t>a </w:t>
      </w:r>
      <w:r>
        <w:rPr/>
        <w:t>decreased likelihood of establishment.</w:t>
      </w:r>
    </w:p>
    <w:p>
      <w:pPr>
        <w:pStyle w:val="Heading1"/>
        <w:spacing w:before="278"/>
        <w:rPr>
          <w:b w:val="0"/>
        </w:rPr>
      </w:pPr>
      <w:bookmarkStart w:name="6C. Discussion" w:id="16"/>
      <w:bookmarkEnd w:id="16"/>
      <w:r>
        <w:rPr>
          <w:b w:val="0"/>
        </w:rPr>
      </w:r>
      <w:r>
        <w:rPr>
          <w:b w:val="0"/>
          <w:w w:val="90"/>
        </w:rPr>
        <w:t>6C.</w:t>
      </w:r>
      <w:r>
        <w:rPr>
          <w:b w:val="0"/>
          <w:spacing w:val="-6"/>
        </w:rPr>
        <w:t> </w:t>
      </w:r>
      <w:r>
        <w:rPr>
          <w:b w:val="0"/>
          <w:spacing w:val="-2"/>
          <w:w w:val="90"/>
        </w:rPr>
        <w:t>Discussion</w:t>
      </w:r>
    </w:p>
    <w:p>
      <w:pPr>
        <w:pStyle w:val="BodyText"/>
        <w:spacing w:line="218" w:lineRule="auto" w:before="100"/>
        <w:ind w:left="130" w:right="128"/>
        <w:jc w:val="both"/>
      </w:pPr>
      <w:r>
        <w:rPr>
          <w:spacing w:val="-6"/>
        </w:rPr>
        <w:t>Predicted phenology for FCM indicates a tendency toward earlier development in many southern regions over the </w:t>
      </w:r>
      <w:r>
        <w:rPr>
          <w:spacing w:val="-4"/>
        </w:rPr>
        <w:t>full</w:t>
      </w:r>
      <w:r>
        <w:rPr>
          <w:spacing w:val="-9"/>
        </w:rPr>
        <w:t> </w:t>
      </w:r>
      <w:r>
        <w:rPr>
          <w:spacing w:val="-4"/>
        </w:rPr>
        <w:t>period,</w:t>
      </w:r>
      <w:r>
        <w:rPr>
          <w:spacing w:val="-8"/>
        </w:rPr>
        <w:t> </w:t>
      </w:r>
      <w:r>
        <w:rPr>
          <w:spacing w:val="-4"/>
        </w:rPr>
        <w:t>consistent</w:t>
      </w:r>
      <w:r>
        <w:rPr>
          <w:spacing w:val="-9"/>
        </w:rPr>
        <w:t> </w:t>
      </w:r>
      <w:r>
        <w:rPr>
          <w:spacing w:val="-4"/>
        </w:rPr>
        <w:t>with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strong</w:t>
      </w:r>
      <w:r>
        <w:rPr>
          <w:spacing w:val="-9"/>
        </w:rPr>
        <w:t> </w:t>
      </w:r>
      <w:r>
        <w:rPr>
          <w:spacing w:val="-4"/>
        </w:rPr>
        <w:t>temperature</w:t>
      </w:r>
      <w:r>
        <w:rPr>
          <w:spacing w:val="-9"/>
        </w:rPr>
        <w:t> </w:t>
      </w:r>
      <w:r>
        <w:rPr>
          <w:spacing w:val="-4"/>
        </w:rPr>
        <w:t>dependence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multivoltine</w:t>
      </w:r>
      <w:r>
        <w:rPr>
          <w:spacing w:val="-9"/>
        </w:rPr>
        <w:t> </w:t>
      </w:r>
      <w:r>
        <w:rPr>
          <w:spacing w:val="-4"/>
        </w:rPr>
        <w:t>species.</w:t>
      </w:r>
      <w:r>
        <w:rPr>
          <w:spacing w:val="12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recent-period</w:t>
      </w:r>
      <w:r>
        <w:rPr>
          <w:spacing w:val="-9"/>
        </w:rPr>
        <w:t> </w:t>
      </w:r>
      <w:r>
        <w:rPr>
          <w:spacing w:val="-4"/>
        </w:rPr>
        <w:t>maps show</w:t>
      </w:r>
      <w:r>
        <w:rPr>
          <w:spacing w:val="-5"/>
        </w:rPr>
        <w:t> </w:t>
      </w:r>
      <w:r>
        <w:rPr>
          <w:spacing w:val="-4"/>
        </w:rPr>
        <w:t>greater</w:t>
      </w:r>
      <w:r>
        <w:rPr>
          <w:spacing w:val="-5"/>
        </w:rPr>
        <w:t> </w:t>
      </w:r>
      <w:r>
        <w:rPr>
          <w:spacing w:val="-4"/>
        </w:rPr>
        <w:t>regional</w:t>
      </w:r>
      <w:r>
        <w:rPr>
          <w:spacing w:val="-5"/>
        </w:rPr>
        <w:t> </w:t>
      </w:r>
      <w:r>
        <w:rPr>
          <w:spacing w:val="-4"/>
        </w:rPr>
        <w:t>heterogeneity,</w:t>
      </w:r>
      <w:r>
        <w:rPr>
          <w:spacing w:val="-5"/>
        </w:rPr>
        <w:t> </w:t>
      </w:r>
      <w:r>
        <w:rPr>
          <w:spacing w:val="-4"/>
        </w:rPr>
        <w:t>emphasizing</w:t>
      </w:r>
      <w:r>
        <w:rPr>
          <w:spacing w:val="-5"/>
        </w:rPr>
        <w:t> </w:t>
      </w:r>
      <w:r>
        <w:rPr>
          <w:spacing w:val="-4"/>
        </w:rPr>
        <w:t>that</w:t>
      </w:r>
      <w:r>
        <w:rPr>
          <w:spacing w:val="-5"/>
        </w:rPr>
        <w:t> </w:t>
      </w:r>
      <w:r>
        <w:rPr>
          <w:spacing w:val="-4"/>
        </w:rPr>
        <w:t>short-term</w:t>
      </w:r>
      <w:r>
        <w:rPr>
          <w:spacing w:val="-5"/>
        </w:rPr>
        <w:t> </w:t>
      </w:r>
      <w:r>
        <w:rPr>
          <w:spacing w:val="-4"/>
        </w:rPr>
        <w:t>climate</w:t>
      </w:r>
      <w:r>
        <w:rPr>
          <w:spacing w:val="-5"/>
        </w:rPr>
        <w:t> </w:t>
      </w:r>
      <w:r>
        <w:rPr>
          <w:spacing w:val="-4"/>
        </w:rPr>
        <w:t>variability</w:t>
      </w:r>
      <w:r>
        <w:rPr>
          <w:spacing w:val="-5"/>
        </w:rPr>
        <w:t> </w:t>
      </w:r>
      <w:r>
        <w:rPr>
          <w:spacing w:val="-4"/>
        </w:rPr>
        <w:t>can</w:t>
      </w:r>
      <w:r>
        <w:rPr>
          <w:spacing w:val="-5"/>
        </w:rPr>
        <w:t> </w:t>
      </w:r>
      <w:r>
        <w:rPr>
          <w:spacing w:val="-4"/>
        </w:rPr>
        <w:t>modify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longer-term </w:t>
      </w:r>
      <w:r>
        <w:rPr/>
        <w:t>spatial pattern.</w:t>
      </w:r>
      <w:r>
        <w:rPr>
          <w:spacing w:val="40"/>
        </w:rPr>
        <w:t> </w:t>
      </w:r>
      <w:r>
        <w:rPr/>
        <w:t>In environmentally suitable areas, shifts toward earlier activity could affect the timing of monitoring and management.</w:t>
      </w:r>
    </w:p>
    <w:p>
      <w:pPr>
        <w:pStyle w:val="BodyText"/>
        <w:spacing w:line="218" w:lineRule="auto" w:before="4"/>
        <w:ind w:left="130" w:right="85" w:firstLine="360"/>
        <w:jc w:val="both"/>
      </w:pPr>
      <w:r>
        <w:rPr/>
        <w:t>Decreasing</w:t>
      </w:r>
      <w:r>
        <w:rPr>
          <w:spacing w:val="-3"/>
        </w:rPr>
        <w:t> </w:t>
      </w:r>
      <w:r>
        <w:rPr/>
        <w:t>cold</w:t>
      </w:r>
      <w:r>
        <w:rPr>
          <w:spacing w:val="-3"/>
        </w:rPr>
        <w:t> </w:t>
      </w:r>
      <w:r>
        <w:rPr/>
        <w:t>stress</w:t>
      </w:r>
      <w:r>
        <w:rPr>
          <w:spacing w:val="-3"/>
        </w:rPr>
        <w:t> </w:t>
      </w:r>
      <w:r>
        <w:rPr/>
        <w:t>across</w:t>
      </w:r>
      <w:r>
        <w:rPr>
          <w:spacing w:val="-3"/>
        </w:rPr>
        <w:t> </w:t>
      </w:r>
      <w:r>
        <w:rPr/>
        <w:t>portions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northern</w:t>
      </w:r>
      <w:r>
        <w:rPr>
          <w:spacing w:val="-3"/>
        </w:rPr>
        <w:t> </w:t>
      </w:r>
      <w:r>
        <w:rPr/>
        <w:t>United</w:t>
      </w:r>
      <w:r>
        <w:rPr>
          <w:spacing w:val="-3"/>
        </w:rPr>
        <w:t> </w:t>
      </w:r>
      <w:r>
        <w:rPr/>
        <w:t>States</w:t>
      </w:r>
      <w:r>
        <w:rPr>
          <w:spacing w:val="-3"/>
        </w:rPr>
        <w:t> </w:t>
      </w:r>
      <w:r>
        <w:rPr/>
        <w:t>could</w:t>
      </w:r>
      <w:r>
        <w:rPr>
          <w:spacing w:val="-3"/>
        </w:rPr>
        <w:t> </w:t>
      </w:r>
      <w:r>
        <w:rPr/>
        <w:t>expand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areas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cold </w:t>
      </w:r>
      <w:r>
        <w:rPr>
          <w:spacing w:val="-6"/>
        </w:rPr>
        <w:t>conditions</w:t>
      </w:r>
      <w:r>
        <w:rPr>
          <w:spacing w:val="-7"/>
        </w:rPr>
        <w:t> </w:t>
      </w:r>
      <w:r>
        <w:rPr>
          <w:spacing w:val="-6"/>
        </w:rPr>
        <w:t>are</w:t>
      </w:r>
      <w:r>
        <w:rPr>
          <w:spacing w:val="-7"/>
        </w:rPr>
        <w:t> </w:t>
      </w:r>
      <w:r>
        <w:rPr>
          <w:spacing w:val="-6"/>
        </w:rPr>
        <w:t>less</w:t>
      </w:r>
      <w:r>
        <w:rPr>
          <w:spacing w:val="-7"/>
        </w:rPr>
        <w:t> </w:t>
      </w:r>
      <w:r>
        <w:rPr>
          <w:spacing w:val="-6"/>
        </w:rPr>
        <w:t>limiting,</w:t>
      </w:r>
      <w:r>
        <w:rPr>
          <w:spacing w:val="-3"/>
        </w:rPr>
        <w:t> </w:t>
      </w:r>
      <w:r>
        <w:rPr>
          <w:spacing w:val="-6"/>
        </w:rPr>
        <w:t>while</w:t>
      </w:r>
      <w:r>
        <w:rPr>
          <w:spacing w:val="-7"/>
        </w:rPr>
        <w:t> </w:t>
      </w:r>
      <w:r>
        <w:rPr>
          <w:spacing w:val="-6"/>
        </w:rPr>
        <w:t>increasing</w:t>
      </w:r>
      <w:r>
        <w:rPr>
          <w:spacing w:val="-7"/>
        </w:rPr>
        <w:t> </w:t>
      </w:r>
      <w:r>
        <w:rPr>
          <w:spacing w:val="-6"/>
        </w:rPr>
        <w:t>heat stress</w:t>
      </w:r>
      <w:r>
        <w:rPr>
          <w:spacing w:val="-7"/>
        </w:rPr>
        <w:t> </w:t>
      </w:r>
      <w:r>
        <w:rPr>
          <w:spacing w:val="-6"/>
        </w:rPr>
        <w:t>in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Southwest</w:t>
      </w:r>
      <w:r>
        <w:rPr>
          <w:spacing w:val="-7"/>
        </w:rPr>
        <w:t> </w:t>
      </w:r>
      <w:r>
        <w:rPr>
          <w:spacing w:val="-6"/>
        </w:rPr>
        <w:t>could offset</w:t>
      </w:r>
      <w:r>
        <w:rPr>
          <w:spacing w:val="-7"/>
        </w:rPr>
        <w:t> </w:t>
      </w:r>
      <w:r>
        <w:rPr>
          <w:spacing w:val="-6"/>
        </w:rPr>
        <w:t>some</w:t>
      </w:r>
      <w:r>
        <w:rPr>
          <w:spacing w:val="-7"/>
        </w:rPr>
        <w:t> </w:t>
      </w:r>
      <w:r>
        <w:rPr>
          <w:spacing w:val="-6"/>
        </w:rPr>
        <w:t>of</w:t>
      </w:r>
      <w:r>
        <w:rPr>
          <w:spacing w:val="-7"/>
        </w:rPr>
        <w:t> </w:t>
      </w:r>
      <w:r>
        <w:rPr>
          <w:spacing w:val="-6"/>
        </w:rPr>
        <w:t>that</w:t>
      </w:r>
      <w:r>
        <w:rPr>
          <w:spacing w:val="-7"/>
        </w:rPr>
        <w:t> </w:t>
      </w:r>
      <w:r>
        <w:rPr>
          <w:spacing w:val="-6"/>
        </w:rPr>
        <w:t>potential benefit.</w:t>
      </w:r>
    </w:p>
    <w:p>
      <w:pPr>
        <w:pStyle w:val="BodyText"/>
        <w:spacing w:after="0" w:line="218" w:lineRule="auto"/>
        <w:jc w:val="both"/>
        <w:sectPr>
          <w:pgSz w:w="12240" w:h="15840"/>
          <w:pgMar w:header="0" w:footer="896" w:top="1600" w:bottom="1080" w:left="720" w:right="720"/>
        </w:sectPr>
      </w:pPr>
    </w:p>
    <w:p>
      <w:pPr>
        <w:pStyle w:val="BodyText"/>
        <w:spacing w:line="218" w:lineRule="auto" w:before="124"/>
        <w:ind w:left="130" w:right="98" w:hanging="8"/>
        <w:jc w:val="both"/>
      </w:pPr>
      <w:r>
        <w:rPr/>
        <w:t>The suitability maps suggest that these opposing stress changes may result in localized rather than uniform </w:t>
      </w:r>
      <w:r>
        <w:rPr>
          <w:spacing w:val="-2"/>
        </w:rPr>
        <w:t>changes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establishment</w:t>
      </w:r>
      <w:r>
        <w:rPr>
          <w:spacing w:val="-11"/>
        </w:rPr>
        <w:t> </w:t>
      </w:r>
      <w:r>
        <w:rPr>
          <w:spacing w:val="-2"/>
        </w:rPr>
        <w:t>likelihood.</w:t>
      </w:r>
      <w:r>
        <w:rPr>
          <w:spacing w:val="3"/>
        </w:rPr>
        <w:t> </w:t>
      </w:r>
      <w:r>
        <w:rPr>
          <w:spacing w:val="-2"/>
        </w:rPr>
        <w:t>Because</w:t>
      </w:r>
      <w:r>
        <w:rPr>
          <w:spacing w:val="-12"/>
        </w:rPr>
        <w:t> </w:t>
      </w:r>
      <w:r>
        <w:rPr>
          <w:spacing w:val="-2"/>
        </w:rPr>
        <w:t>FCM</w:t>
      </w:r>
      <w:r>
        <w:rPr>
          <w:spacing w:val="-12"/>
        </w:rPr>
        <w:t> </w:t>
      </w:r>
      <w:r>
        <w:rPr>
          <w:spacing w:val="-2"/>
        </w:rPr>
        <w:t>is</w:t>
      </w:r>
      <w:r>
        <w:rPr>
          <w:spacing w:val="-11"/>
        </w:rPr>
        <w:t> </w:t>
      </w:r>
      <w:r>
        <w:rPr>
          <w:spacing w:val="-2"/>
        </w:rPr>
        <w:t>influenced</w:t>
      </w:r>
      <w:r>
        <w:rPr>
          <w:spacing w:val="-12"/>
        </w:rPr>
        <w:t> </w:t>
      </w:r>
      <w:r>
        <w:rPr>
          <w:spacing w:val="-2"/>
        </w:rPr>
        <w:t>by</w:t>
      </w:r>
      <w:r>
        <w:rPr>
          <w:spacing w:val="-12"/>
        </w:rPr>
        <w:t> </w:t>
      </w:r>
      <w:r>
        <w:rPr>
          <w:spacing w:val="-2"/>
        </w:rPr>
        <w:t>temperature,</w:t>
      </w:r>
      <w:r>
        <w:rPr>
          <w:spacing w:val="-11"/>
        </w:rPr>
        <w:t> </w:t>
      </w:r>
      <w:r>
        <w:rPr>
          <w:spacing w:val="-2"/>
        </w:rPr>
        <w:t>food</w:t>
      </w:r>
      <w:r>
        <w:rPr>
          <w:spacing w:val="-12"/>
        </w:rPr>
        <w:t> </w:t>
      </w:r>
      <w:r>
        <w:rPr>
          <w:spacing w:val="-2"/>
        </w:rPr>
        <w:t>availability,</w:t>
      </w:r>
      <w:r>
        <w:rPr>
          <w:spacing w:val="-12"/>
        </w:rPr>
        <w:t> </w:t>
      </w:r>
      <w:r>
        <w:rPr>
          <w:spacing w:val="-2"/>
        </w:rPr>
        <w:t>photoperiod, </w:t>
      </w:r>
      <w:r>
        <w:rPr/>
        <w:t>humidity,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latitude,</w:t>
      </w:r>
      <w:r>
        <w:rPr>
          <w:spacing w:val="-4"/>
        </w:rPr>
        <w:t> </w:t>
      </w:r>
      <w:r>
        <w:rPr/>
        <w:t>climate-stress</w:t>
      </w:r>
      <w:r>
        <w:rPr>
          <w:spacing w:val="-4"/>
        </w:rPr>
        <w:t> </w:t>
      </w:r>
      <w:r>
        <w:rPr/>
        <w:t>trends</w:t>
      </w:r>
      <w:r>
        <w:rPr>
          <w:spacing w:val="-4"/>
        </w:rPr>
        <w:t> </w:t>
      </w:r>
      <w:r>
        <w:rPr/>
        <w:t>should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interpreted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component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establishment</w:t>
      </w:r>
      <w:r>
        <w:rPr>
          <w:spacing w:val="-4"/>
        </w:rPr>
        <w:t> </w:t>
      </w:r>
      <w:r>
        <w:rPr/>
        <w:t>risk.</w:t>
      </w:r>
    </w:p>
    <w:p>
      <w:pPr>
        <w:pStyle w:val="BodyText"/>
        <w:spacing w:line="218" w:lineRule="auto" w:before="3"/>
        <w:ind w:left="122" w:right="122" w:firstLine="367"/>
        <w:jc w:val="both"/>
      </w:pPr>
      <w:r>
        <w:rPr/>
        <w:t>The stronger and more spatially extensive trends in predicted phenology and climate stress over the full </w:t>
      </w:r>
      <w:r>
        <w:rPr>
          <w:spacing w:val="-6"/>
        </w:rPr>
        <w:t>44-year</w:t>
      </w:r>
      <w:r>
        <w:rPr>
          <w:spacing w:val="-8"/>
        </w:rPr>
        <w:t> </w:t>
      </w:r>
      <w:r>
        <w:rPr>
          <w:spacing w:val="-6"/>
        </w:rPr>
        <w:t>period</w:t>
      </w:r>
      <w:r>
        <w:rPr>
          <w:spacing w:val="-7"/>
        </w:rPr>
        <w:t> </w:t>
      </w:r>
      <w:r>
        <w:rPr>
          <w:spacing w:val="-6"/>
        </w:rPr>
        <w:t>may</w:t>
      </w:r>
      <w:r>
        <w:rPr>
          <w:spacing w:val="-8"/>
        </w:rPr>
        <w:t> </w:t>
      </w:r>
      <w:r>
        <w:rPr>
          <w:spacing w:val="-6"/>
        </w:rPr>
        <w:t>reflect</w:t>
      </w:r>
      <w:r>
        <w:rPr>
          <w:spacing w:val="-7"/>
        </w:rPr>
        <w:t> </w:t>
      </w:r>
      <w:r>
        <w:rPr>
          <w:spacing w:val="-6"/>
        </w:rPr>
        <w:t>both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larger</w:t>
      </w:r>
      <w:r>
        <w:rPr>
          <w:spacing w:val="-8"/>
        </w:rPr>
        <w:t> </w:t>
      </w:r>
      <w:r>
        <w:rPr>
          <w:spacing w:val="-6"/>
        </w:rPr>
        <w:t>sample</w:t>
      </w:r>
      <w:r>
        <w:rPr>
          <w:spacing w:val="-7"/>
        </w:rPr>
        <w:t> </w:t>
      </w:r>
      <w:r>
        <w:rPr>
          <w:spacing w:val="-6"/>
        </w:rPr>
        <w:t>size,</w:t>
      </w:r>
      <w:r>
        <w:rPr>
          <w:spacing w:val="-5"/>
        </w:rPr>
        <w:t> </w:t>
      </w:r>
      <w:r>
        <w:rPr>
          <w:spacing w:val="-6"/>
        </w:rPr>
        <w:t>which</w:t>
      </w:r>
      <w:r>
        <w:rPr>
          <w:spacing w:val="-8"/>
        </w:rPr>
        <w:t> </w:t>
      </w:r>
      <w:r>
        <w:rPr>
          <w:spacing w:val="-6"/>
        </w:rPr>
        <w:t>can</w:t>
      </w:r>
      <w:r>
        <w:rPr>
          <w:spacing w:val="-7"/>
        </w:rPr>
        <w:t> </w:t>
      </w:r>
      <w:r>
        <w:rPr>
          <w:spacing w:val="-6"/>
        </w:rPr>
        <w:t>reduce</w:t>
      </w:r>
      <w:r>
        <w:rPr>
          <w:spacing w:val="-8"/>
        </w:rPr>
        <w:t> </w:t>
      </w:r>
      <w:r>
        <w:rPr>
          <w:spacing w:val="-6"/>
        </w:rPr>
        <w:t>noise</w:t>
      </w:r>
      <w:r>
        <w:rPr>
          <w:spacing w:val="-7"/>
        </w:rPr>
        <w:t> </w:t>
      </w:r>
      <w:r>
        <w:rPr>
          <w:spacing w:val="-6"/>
        </w:rPr>
        <w:t>and</w:t>
      </w:r>
      <w:r>
        <w:rPr>
          <w:spacing w:val="-8"/>
        </w:rPr>
        <w:t> </w:t>
      </w:r>
      <w:r>
        <w:rPr>
          <w:spacing w:val="-6"/>
        </w:rPr>
        <w:t>improve</w:t>
      </w:r>
      <w:r>
        <w:rPr>
          <w:spacing w:val="-8"/>
        </w:rPr>
        <w:t> </w:t>
      </w:r>
      <w:r>
        <w:rPr>
          <w:spacing w:val="-6"/>
        </w:rPr>
        <w:t>detection</w:t>
      </w:r>
      <w:r>
        <w:rPr>
          <w:spacing w:val="-7"/>
        </w:rPr>
        <w:t> </w:t>
      </w:r>
      <w:r>
        <w:rPr>
          <w:spacing w:val="-6"/>
        </w:rPr>
        <w:t>of</w:t>
      </w:r>
      <w:r>
        <w:rPr>
          <w:spacing w:val="-8"/>
        </w:rPr>
        <w:t> </w:t>
      </w:r>
      <w:r>
        <w:rPr>
          <w:spacing w:val="-6"/>
        </w:rPr>
        <w:t>directional </w:t>
      </w:r>
      <w:r>
        <w:rPr>
          <w:spacing w:val="-2"/>
        </w:rPr>
        <w:t>patterns,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differences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underlying</w:t>
      </w:r>
      <w:r>
        <w:rPr>
          <w:spacing w:val="-12"/>
        </w:rPr>
        <w:t> </w:t>
      </w:r>
      <w:r>
        <w:rPr>
          <w:spacing w:val="-2"/>
        </w:rPr>
        <w:t>climate</w:t>
      </w:r>
      <w:r>
        <w:rPr>
          <w:spacing w:val="-12"/>
        </w:rPr>
        <w:t> </w:t>
      </w:r>
      <w:r>
        <w:rPr>
          <w:spacing w:val="-2"/>
        </w:rPr>
        <w:t>trends</w:t>
      </w:r>
      <w:r>
        <w:rPr>
          <w:spacing w:val="-11"/>
        </w:rPr>
        <w:t> </w:t>
      </w:r>
      <w:r>
        <w:rPr>
          <w:spacing w:val="-2"/>
        </w:rPr>
        <w:t>between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two</w:t>
      </w:r>
      <w:r>
        <w:rPr>
          <w:spacing w:val="-12"/>
        </w:rPr>
        <w:t> </w:t>
      </w:r>
      <w:r>
        <w:rPr>
          <w:spacing w:val="-2"/>
        </w:rPr>
        <w:t>time</w:t>
      </w:r>
      <w:r>
        <w:rPr>
          <w:spacing w:val="-11"/>
        </w:rPr>
        <w:t> </w:t>
      </w:r>
      <w:r>
        <w:rPr>
          <w:spacing w:val="-2"/>
        </w:rPr>
        <w:t>periods.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particular,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recent 24-year</w:t>
      </w:r>
      <w:r>
        <w:rPr>
          <w:spacing w:val="-12"/>
        </w:rPr>
        <w:t> </w:t>
      </w:r>
      <w:r>
        <w:rPr>
          <w:spacing w:val="-2"/>
        </w:rPr>
        <w:t>period</w:t>
      </w:r>
      <w:r>
        <w:rPr>
          <w:spacing w:val="-12"/>
        </w:rPr>
        <w:t> </w:t>
      </w:r>
      <w:r>
        <w:rPr>
          <w:spacing w:val="-2"/>
        </w:rPr>
        <w:t>may</w:t>
      </w:r>
      <w:r>
        <w:rPr>
          <w:spacing w:val="-12"/>
        </w:rPr>
        <w:t> </w:t>
      </w:r>
      <w:r>
        <w:rPr>
          <w:spacing w:val="-2"/>
        </w:rPr>
        <w:t>capture</w:t>
      </w:r>
      <w:r>
        <w:rPr>
          <w:spacing w:val="-11"/>
        </w:rPr>
        <w:t> </w:t>
      </w:r>
      <w:r>
        <w:rPr>
          <w:spacing w:val="-2"/>
        </w:rPr>
        <w:t>climate</w:t>
      </w:r>
      <w:r>
        <w:rPr>
          <w:spacing w:val="-12"/>
        </w:rPr>
        <w:t> </w:t>
      </w:r>
      <w:r>
        <w:rPr>
          <w:spacing w:val="-2"/>
        </w:rPr>
        <w:t>variability</w:t>
      </w:r>
      <w:r>
        <w:rPr>
          <w:spacing w:val="-12"/>
        </w:rPr>
        <w:t> </w:t>
      </w:r>
      <w:r>
        <w:rPr>
          <w:spacing w:val="-2"/>
        </w:rPr>
        <w:t>or</w:t>
      </w:r>
      <w:r>
        <w:rPr>
          <w:spacing w:val="-12"/>
        </w:rPr>
        <w:t> </w:t>
      </w:r>
      <w:r>
        <w:rPr>
          <w:spacing w:val="-2"/>
        </w:rPr>
        <w:t>regional</w:t>
      </w:r>
      <w:r>
        <w:rPr>
          <w:spacing w:val="-11"/>
        </w:rPr>
        <w:t> </w:t>
      </w:r>
      <w:r>
        <w:rPr>
          <w:spacing w:val="-2"/>
        </w:rPr>
        <w:t>trends</w:t>
      </w:r>
      <w:r>
        <w:rPr>
          <w:spacing w:val="-12"/>
        </w:rPr>
        <w:t> </w:t>
      </w:r>
      <w:r>
        <w:rPr>
          <w:spacing w:val="-2"/>
        </w:rPr>
        <w:t>that</w:t>
      </w:r>
      <w:r>
        <w:rPr>
          <w:spacing w:val="-12"/>
        </w:rPr>
        <w:t> </w:t>
      </w:r>
      <w:r>
        <w:rPr>
          <w:spacing w:val="-2"/>
        </w:rPr>
        <w:t>differ</w:t>
      </w:r>
      <w:r>
        <w:rPr>
          <w:spacing w:val="-12"/>
        </w:rPr>
        <w:t> </w:t>
      </w:r>
      <w:r>
        <w:rPr>
          <w:spacing w:val="-2"/>
        </w:rPr>
        <w:t>from</w:t>
      </w:r>
      <w:r>
        <w:rPr>
          <w:spacing w:val="-11"/>
        </w:rPr>
        <w:t> </w:t>
      </w:r>
      <w:r>
        <w:rPr>
          <w:spacing w:val="-2"/>
        </w:rPr>
        <w:t>those</w:t>
      </w:r>
      <w:r>
        <w:rPr>
          <w:spacing w:val="-12"/>
        </w:rPr>
        <w:t> </w:t>
      </w:r>
      <w:r>
        <w:rPr>
          <w:spacing w:val="-2"/>
        </w:rPr>
        <w:t>observed</w:t>
      </w:r>
      <w:r>
        <w:rPr>
          <w:spacing w:val="-12"/>
        </w:rPr>
        <w:t> </w:t>
      </w:r>
      <w:r>
        <w:rPr>
          <w:spacing w:val="-2"/>
        </w:rPr>
        <w:t>over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longer </w:t>
      </w:r>
      <w:r>
        <w:rPr/>
        <w:t>44-year</w:t>
      </w:r>
      <w:r>
        <w:rPr>
          <w:spacing w:val="-5"/>
        </w:rPr>
        <w:t> </w:t>
      </w:r>
      <w:r>
        <w:rPr/>
        <w:t>period. Thus,</w:t>
      </w:r>
      <w:r>
        <w:rPr>
          <w:spacing w:val="-5"/>
        </w:rPr>
        <w:t> </w:t>
      </w:r>
      <w:r>
        <w:rPr/>
        <w:t>differences</w:t>
      </w:r>
      <w:r>
        <w:rPr>
          <w:spacing w:val="-5"/>
        </w:rPr>
        <w:t> </w:t>
      </w:r>
      <w:r>
        <w:rPr/>
        <w:t>between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two</w:t>
      </w:r>
      <w:r>
        <w:rPr>
          <w:spacing w:val="-5"/>
        </w:rPr>
        <w:t> </w:t>
      </w:r>
      <w:r>
        <w:rPr/>
        <w:t>periods</w:t>
      </w:r>
      <w:r>
        <w:rPr>
          <w:spacing w:val="-5"/>
        </w:rPr>
        <w:t> </w:t>
      </w:r>
      <w:r>
        <w:rPr/>
        <w:t>should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interpreted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reflecting</w:t>
      </w:r>
      <w:r>
        <w:rPr>
          <w:spacing w:val="-5"/>
        </w:rPr>
        <w:t> </w:t>
      </w:r>
      <w:r>
        <w:rPr/>
        <w:t>both</w:t>
      </w:r>
      <w:r>
        <w:rPr>
          <w:spacing w:val="-5"/>
        </w:rPr>
        <w:t> </w:t>
      </w:r>
      <w:r>
        <w:rPr/>
        <w:t>long-term climate trends and shorter-term regional variability.</w:t>
      </w:r>
    </w:p>
    <w:p>
      <w:pPr>
        <w:pStyle w:val="Heading1"/>
        <w:spacing w:before="194"/>
        <w:jc w:val="both"/>
        <w:rPr>
          <w:b w:val="0"/>
        </w:rPr>
      </w:pPr>
      <w:bookmarkStart w:name="6D. References" w:id="17"/>
      <w:bookmarkEnd w:id="17"/>
      <w:r>
        <w:rPr>
          <w:b w:val="0"/>
        </w:rPr>
      </w:r>
      <w:r>
        <w:rPr>
          <w:b w:val="0"/>
          <w:w w:val="95"/>
        </w:rPr>
        <w:t>6D.</w:t>
      </w:r>
      <w:r>
        <w:rPr>
          <w:b w:val="0"/>
          <w:spacing w:val="-2"/>
          <w:w w:val="95"/>
        </w:rPr>
        <w:t> </w:t>
      </w:r>
      <w:r>
        <w:rPr>
          <w:b w:val="0"/>
          <w:spacing w:val="-2"/>
          <w:w w:val="90"/>
        </w:rPr>
        <w:t>References</w:t>
      </w:r>
    </w:p>
    <w:p>
      <w:pPr>
        <w:pStyle w:val="BodyText"/>
        <w:spacing w:line="218" w:lineRule="auto" w:before="100"/>
        <w:ind w:left="850" w:right="95" w:hanging="720"/>
        <w:jc w:val="both"/>
      </w:pPr>
      <w:bookmarkStart w:name="_bookmark12" w:id="18"/>
      <w:bookmarkEnd w:id="18"/>
      <w:r>
        <w:rPr/>
      </w:r>
      <w:r>
        <w:rPr>
          <w:w w:val="105"/>
        </w:rPr>
        <w:t>Barker,</w:t>
      </w:r>
      <w:r>
        <w:rPr>
          <w:w w:val="105"/>
        </w:rPr>
        <w:t> B.</w:t>
      </w:r>
      <w:r>
        <w:rPr>
          <w:w w:val="105"/>
        </w:rPr>
        <w:t> S.,</w:t>
      </w:r>
      <w:r>
        <w:rPr>
          <w:w w:val="105"/>
        </w:rPr>
        <w:t> and</w:t>
      </w:r>
      <w:r>
        <w:rPr>
          <w:w w:val="105"/>
        </w:rPr>
        <w:t> L.</w:t>
      </w:r>
      <w:r>
        <w:rPr>
          <w:w w:val="105"/>
        </w:rPr>
        <w:t> Coop.</w:t>
      </w:r>
      <w:r>
        <w:rPr>
          <w:spacing w:val="40"/>
          <w:w w:val="105"/>
        </w:rPr>
        <w:t> </w:t>
      </w:r>
      <w:r>
        <w:rPr>
          <w:w w:val="105"/>
        </w:rPr>
        <w:t>2019.</w:t>
      </w:r>
      <w:r>
        <w:rPr>
          <w:spacing w:val="40"/>
          <w:w w:val="105"/>
        </w:rPr>
        <w:t> </w:t>
      </w:r>
      <w:r>
        <w:rPr>
          <w:w w:val="105"/>
        </w:rPr>
        <w:t>False</w:t>
      </w:r>
      <w:r>
        <w:rPr>
          <w:w w:val="105"/>
        </w:rPr>
        <w:t> codling</w:t>
      </w:r>
      <w:r>
        <w:rPr>
          <w:w w:val="105"/>
        </w:rPr>
        <w:t> moth,</w:t>
      </w:r>
      <w:r>
        <w:rPr>
          <w:w w:val="105"/>
        </w:rPr>
        <w:t> Thaumatotibia</w:t>
      </w:r>
      <w:r>
        <w:rPr>
          <w:w w:val="105"/>
        </w:rPr>
        <w:t> leucotreta.</w:t>
      </w:r>
      <w:r>
        <w:rPr>
          <w:spacing w:val="40"/>
          <w:w w:val="105"/>
        </w:rPr>
        <w:t> </w:t>
      </w:r>
      <w:r>
        <w:rPr>
          <w:w w:val="105"/>
        </w:rPr>
        <w:t>Phenology/degree-day and</w:t>
      </w:r>
      <w:r>
        <w:rPr>
          <w:w w:val="105"/>
        </w:rPr>
        <w:t> climate</w:t>
      </w:r>
      <w:r>
        <w:rPr>
          <w:w w:val="105"/>
        </w:rPr>
        <w:t> suitability</w:t>
      </w:r>
      <w:r>
        <w:rPr>
          <w:w w:val="105"/>
        </w:rPr>
        <w:t> model</w:t>
      </w:r>
      <w:r>
        <w:rPr>
          <w:w w:val="105"/>
        </w:rPr>
        <w:t> analysis</w:t>
      </w:r>
      <w:r>
        <w:rPr>
          <w:w w:val="105"/>
        </w:rPr>
        <w:t> for</w:t>
      </w:r>
      <w:r>
        <w:rPr>
          <w:w w:val="105"/>
        </w:rPr>
        <w:t> USPEST.ORG.</w:t>
      </w:r>
      <w:r>
        <w:rPr>
          <w:w w:val="105"/>
        </w:rPr>
        <w:t> Prepared</w:t>
      </w:r>
      <w:r>
        <w:rPr>
          <w:w w:val="105"/>
        </w:rPr>
        <w:t> for</w:t>
      </w:r>
      <w:r>
        <w:rPr>
          <w:w w:val="105"/>
        </w:rPr>
        <w:t> United</w:t>
      </w:r>
      <w:r>
        <w:rPr>
          <w:w w:val="105"/>
        </w:rPr>
        <w:t> States</w:t>
      </w:r>
      <w:r>
        <w:rPr>
          <w:w w:val="105"/>
        </w:rPr>
        <w:t> Department of</w:t>
      </w:r>
      <w:r>
        <w:rPr>
          <w:spacing w:val="-1"/>
          <w:w w:val="105"/>
        </w:rPr>
        <w:t> </w:t>
      </w:r>
      <w:r>
        <w:rPr>
          <w:w w:val="105"/>
        </w:rPr>
        <w:t>Agriculture</w:t>
      </w:r>
      <w:r>
        <w:rPr>
          <w:spacing w:val="-1"/>
          <w:w w:val="105"/>
        </w:rPr>
        <w:t> </w:t>
      </w:r>
      <w:r>
        <w:rPr>
          <w:w w:val="105"/>
        </w:rPr>
        <w:t>(USDA)</w:t>
      </w:r>
      <w:r>
        <w:rPr>
          <w:spacing w:val="-1"/>
          <w:w w:val="105"/>
        </w:rPr>
        <w:t> </w:t>
      </w:r>
      <w:r>
        <w:rPr>
          <w:w w:val="105"/>
        </w:rPr>
        <w:t>–</w:t>
      </w:r>
      <w:r>
        <w:rPr>
          <w:spacing w:val="-1"/>
          <w:w w:val="105"/>
        </w:rPr>
        <w:t> </w:t>
      </w:r>
      <w:r>
        <w:rPr>
          <w:w w:val="105"/>
        </w:rPr>
        <w:t>Animal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Plant</w:t>
      </w:r>
      <w:r>
        <w:rPr>
          <w:spacing w:val="-1"/>
          <w:w w:val="105"/>
        </w:rPr>
        <w:t> </w:t>
      </w:r>
      <w:r>
        <w:rPr>
          <w:w w:val="105"/>
        </w:rPr>
        <w:t>Health</w:t>
      </w:r>
      <w:r>
        <w:rPr>
          <w:spacing w:val="-1"/>
          <w:w w:val="105"/>
        </w:rPr>
        <w:t> </w:t>
      </w:r>
      <w:r>
        <w:rPr>
          <w:w w:val="105"/>
        </w:rPr>
        <w:t>Inspection</w:t>
      </w:r>
      <w:r>
        <w:rPr>
          <w:spacing w:val="-1"/>
          <w:w w:val="105"/>
        </w:rPr>
        <w:t> </w:t>
      </w:r>
      <w:r>
        <w:rPr>
          <w:w w:val="105"/>
        </w:rPr>
        <w:t>Service</w:t>
      </w:r>
      <w:r>
        <w:rPr>
          <w:spacing w:val="-1"/>
          <w:w w:val="105"/>
        </w:rPr>
        <w:t> </w:t>
      </w:r>
      <w:r>
        <w:rPr>
          <w:w w:val="105"/>
        </w:rPr>
        <w:t>(APHIS)</w:t>
      </w:r>
      <w:r>
        <w:rPr>
          <w:spacing w:val="-1"/>
          <w:w w:val="105"/>
        </w:rPr>
        <w:t> </w:t>
      </w:r>
      <w:r>
        <w:rPr>
          <w:w w:val="105"/>
        </w:rPr>
        <w:t>–</w:t>
      </w:r>
      <w:r>
        <w:rPr>
          <w:spacing w:val="-1"/>
          <w:w w:val="105"/>
        </w:rPr>
        <w:t> </w:t>
      </w:r>
      <w:r>
        <w:rPr>
          <w:w w:val="105"/>
        </w:rPr>
        <w:t>Plant</w:t>
      </w:r>
      <w:r>
        <w:rPr>
          <w:spacing w:val="-1"/>
          <w:w w:val="105"/>
        </w:rPr>
        <w:t> </w:t>
      </w:r>
      <w:r>
        <w:rPr>
          <w:w w:val="105"/>
        </w:rPr>
        <w:t>Protection and Quarantine (PPQ). Vs.</w:t>
      </w:r>
      <w:r>
        <w:rPr>
          <w:w w:val="105"/>
        </w:rPr>
        <w:t> 1.0 (12/2/2019).</w:t>
      </w:r>
      <w:r>
        <w:rPr>
          <w:w w:val="105"/>
        </w:rPr>
        <w:t> Online at: </w:t>
      </w:r>
      <w:hyperlink r:id="rId17">
        <w:r>
          <w:rPr>
            <w:color w:val="0000FF"/>
            <w:w w:val="105"/>
          </w:rPr>
          <w:t>https://uspest.org/CAPS/Thaumatotibia_</w:t>
        </w:r>
      </w:hyperlink>
      <w:r>
        <w:rPr>
          <w:color w:val="0000FF"/>
          <w:w w:val="105"/>
        </w:rPr>
        <w:t> </w:t>
      </w:r>
      <w:bookmarkStart w:name="_bookmark11" w:id="19"/>
      <w:bookmarkEnd w:id="19"/>
      <w:r>
        <w:rPr>
          <w:color w:val="0000FF"/>
          <w:w w:val="106"/>
        </w:rPr>
      </w:r>
      <w:hyperlink r:id="rId17">
        <w:r>
          <w:rPr>
            <w:color w:val="0000FF"/>
          </w:rPr>
          <w:t>leucotreta_white_paper.pdf</w:t>
        </w:r>
      </w:hyperlink>
      <w:r>
        <w:rPr>
          <w:color w:val="0000FF"/>
        </w:rPr>
        <w:t> </w:t>
      </w:r>
      <w:r>
        <w:rPr/>
        <w:t>(accessed 8 September 2025).</w:t>
      </w:r>
    </w:p>
    <w:p>
      <w:pPr>
        <w:spacing w:line="268" w:lineRule="exact" w:before="0"/>
        <w:ind w:left="130" w:right="0" w:firstLine="0"/>
        <w:jc w:val="both"/>
        <w:rPr>
          <w:sz w:val="22"/>
        </w:rPr>
      </w:pPr>
      <w:r>
        <w:rPr>
          <w:sz w:val="22"/>
        </w:rPr>
        <w:t>Carstens,</w:t>
      </w:r>
      <w:r>
        <w:rPr>
          <w:spacing w:val="22"/>
          <w:sz w:val="22"/>
        </w:rPr>
        <w:t> </w:t>
      </w:r>
      <w:r>
        <w:rPr>
          <w:sz w:val="22"/>
        </w:rPr>
        <w:t>E.,</w:t>
      </w:r>
      <w:r>
        <w:rPr>
          <w:spacing w:val="22"/>
          <w:sz w:val="22"/>
        </w:rPr>
        <w:t> </w:t>
      </w:r>
      <w:r>
        <w:rPr>
          <w:sz w:val="22"/>
        </w:rPr>
        <w:t>and</w:t>
      </w:r>
      <w:r>
        <w:rPr>
          <w:spacing w:val="23"/>
          <w:sz w:val="22"/>
        </w:rPr>
        <w:t> </w:t>
      </w:r>
      <w:r>
        <w:rPr>
          <w:sz w:val="22"/>
        </w:rPr>
        <w:t>S.</w:t>
      </w:r>
      <w:r>
        <w:rPr>
          <w:spacing w:val="22"/>
          <w:sz w:val="22"/>
        </w:rPr>
        <w:t> </w:t>
      </w:r>
      <w:r>
        <w:rPr>
          <w:sz w:val="22"/>
        </w:rPr>
        <w:t>Moore.</w:t>
      </w:r>
      <w:r>
        <w:rPr>
          <w:spacing w:val="49"/>
          <w:sz w:val="22"/>
        </w:rPr>
        <w:t> </w:t>
      </w:r>
      <w:r>
        <w:rPr>
          <w:sz w:val="22"/>
        </w:rPr>
        <w:t>2020.</w:t>
      </w:r>
      <w:r>
        <w:rPr>
          <w:spacing w:val="50"/>
          <w:sz w:val="22"/>
        </w:rPr>
        <w:t> </w:t>
      </w:r>
      <w:r>
        <w:rPr>
          <w:i/>
          <w:sz w:val="22"/>
        </w:rPr>
        <w:t>Thaumatotibia</w:t>
      </w:r>
      <w:r>
        <w:rPr>
          <w:i/>
          <w:spacing w:val="28"/>
          <w:sz w:val="22"/>
        </w:rPr>
        <w:t> </w:t>
      </w:r>
      <w:r>
        <w:rPr>
          <w:i/>
          <w:sz w:val="22"/>
        </w:rPr>
        <w:t>leucotreta</w:t>
      </w:r>
      <w:r>
        <w:rPr>
          <w:i/>
          <w:spacing w:val="31"/>
          <w:sz w:val="22"/>
        </w:rPr>
        <w:t> </w:t>
      </w:r>
      <w:r>
        <w:rPr>
          <w:sz w:val="22"/>
        </w:rPr>
        <w:t>(false</w:t>
      </w:r>
      <w:r>
        <w:rPr>
          <w:spacing w:val="23"/>
          <w:sz w:val="22"/>
        </w:rPr>
        <w:t> </w:t>
      </w:r>
      <w:r>
        <w:rPr>
          <w:sz w:val="22"/>
        </w:rPr>
        <w:t>codling</w:t>
      </w:r>
      <w:r>
        <w:rPr>
          <w:spacing w:val="22"/>
          <w:sz w:val="22"/>
        </w:rPr>
        <w:t> </w:t>
      </w:r>
      <w:r>
        <w:rPr>
          <w:sz w:val="22"/>
        </w:rPr>
        <w:t>moth</w:t>
      </w:r>
      <w:r>
        <w:rPr>
          <w:spacing w:val="23"/>
          <w:sz w:val="22"/>
        </w:rPr>
        <w:t> </w:t>
      </w:r>
      <w:r>
        <w:rPr>
          <w:sz w:val="22"/>
        </w:rPr>
        <w:t>(FCM)).</w:t>
      </w:r>
      <w:r>
        <w:rPr>
          <w:spacing w:val="22"/>
          <w:sz w:val="22"/>
        </w:rPr>
        <w:t> </w:t>
      </w:r>
      <w:r>
        <w:rPr>
          <w:sz w:val="22"/>
        </w:rPr>
        <w:t>CABI</w:t>
      </w:r>
      <w:r>
        <w:rPr>
          <w:spacing w:val="22"/>
          <w:sz w:val="22"/>
        </w:rPr>
        <w:t> </w:t>
      </w:r>
      <w:r>
        <w:rPr>
          <w:spacing w:val="-2"/>
          <w:sz w:val="22"/>
        </w:rPr>
        <w:t>Compendium.</w:t>
      </w:r>
    </w:p>
    <w:p>
      <w:pPr>
        <w:pStyle w:val="BodyText"/>
        <w:spacing w:line="271" w:lineRule="exact"/>
        <w:ind w:left="842"/>
        <w:jc w:val="both"/>
      </w:pPr>
      <w:bookmarkStart w:name="_bookmark13" w:id="20"/>
      <w:bookmarkEnd w:id="20"/>
      <w:r>
        <w:rPr/>
      </w:r>
      <w:r>
        <w:rPr>
          <w:spacing w:val="-2"/>
        </w:rPr>
        <w:t>Available</w:t>
      </w:r>
      <w:r>
        <w:rPr>
          <w:spacing w:val="7"/>
        </w:rPr>
        <w:t> </w:t>
      </w:r>
      <w:r>
        <w:rPr>
          <w:spacing w:val="-2"/>
        </w:rPr>
        <w:t>online:</w:t>
      </w:r>
      <w:r>
        <w:rPr>
          <w:spacing w:val="29"/>
        </w:rPr>
        <w:t> </w:t>
      </w:r>
      <w:hyperlink r:id="rId18">
        <w:r>
          <w:rPr>
            <w:color w:val="0000FF"/>
            <w:spacing w:val="-2"/>
          </w:rPr>
          <w:t>https://doi.org/10.1079/cabicompendium.6904</w:t>
        </w:r>
      </w:hyperlink>
      <w:r>
        <w:rPr>
          <w:color w:val="0000FF"/>
          <w:spacing w:val="8"/>
        </w:rPr>
        <w:t> </w:t>
      </w:r>
      <w:r>
        <w:rPr>
          <w:spacing w:val="-2"/>
        </w:rPr>
        <w:t>(accessed</w:t>
      </w:r>
      <w:r>
        <w:rPr>
          <w:spacing w:val="8"/>
        </w:rPr>
        <w:t> </w:t>
      </w:r>
      <w:r>
        <w:rPr>
          <w:spacing w:val="-2"/>
        </w:rPr>
        <w:t>25</w:t>
      </w:r>
      <w:r>
        <w:rPr>
          <w:spacing w:val="8"/>
        </w:rPr>
        <w:t> </w:t>
      </w:r>
      <w:r>
        <w:rPr>
          <w:spacing w:val="-2"/>
        </w:rPr>
        <w:t>August</w:t>
      </w:r>
      <w:r>
        <w:rPr>
          <w:spacing w:val="8"/>
        </w:rPr>
        <w:t> </w:t>
      </w:r>
      <w:r>
        <w:rPr>
          <w:spacing w:val="-2"/>
        </w:rPr>
        <w:t>2025).</w:t>
      </w:r>
    </w:p>
    <w:p>
      <w:pPr>
        <w:spacing w:line="271" w:lineRule="exact" w:before="0"/>
        <w:ind w:left="130" w:right="0" w:firstLine="0"/>
        <w:jc w:val="both"/>
        <w:rPr>
          <w:sz w:val="22"/>
        </w:rPr>
      </w:pPr>
      <w:bookmarkStart w:name="_bookmark14" w:id="21"/>
      <w:bookmarkEnd w:id="21"/>
      <w:r>
        <w:rPr/>
      </w:r>
      <w:r>
        <w:rPr>
          <w:w w:val="105"/>
          <w:sz w:val="22"/>
        </w:rPr>
        <w:t>EPPO.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2013.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Pest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risk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analysis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-3"/>
          <w:w w:val="105"/>
          <w:sz w:val="22"/>
        </w:rPr>
        <w:t> </w:t>
      </w:r>
      <w:r>
        <w:rPr>
          <w:i/>
          <w:w w:val="105"/>
          <w:sz w:val="22"/>
        </w:rPr>
        <w:t>Thaumatotibia</w:t>
      </w:r>
      <w:r>
        <w:rPr>
          <w:i/>
          <w:spacing w:val="3"/>
          <w:w w:val="105"/>
          <w:sz w:val="22"/>
        </w:rPr>
        <w:t> </w:t>
      </w:r>
      <w:r>
        <w:rPr>
          <w:i/>
          <w:w w:val="105"/>
          <w:sz w:val="22"/>
        </w:rPr>
        <w:t>leucotreta</w:t>
      </w:r>
      <w:r>
        <w:rPr>
          <w:w w:val="105"/>
          <w:sz w:val="22"/>
        </w:rPr>
        <w:t>.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EPPO,</w:t>
      </w:r>
      <w:r>
        <w:rPr>
          <w:spacing w:val="-2"/>
          <w:w w:val="105"/>
          <w:sz w:val="22"/>
        </w:rPr>
        <w:t> Paris.</w:t>
      </w:r>
    </w:p>
    <w:p>
      <w:pPr>
        <w:pStyle w:val="BodyText"/>
        <w:spacing w:line="218" w:lineRule="auto" w:before="8"/>
        <w:ind w:left="850" w:right="98" w:hanging="720"/>
        <w:jc w:val="both"/>
      </w:pPr>
      <w:r>
        <w:rPr/>
        <w:t>EPPO. 2025. </w:t>
      </w:r>
      <w:r>
        <w:rPr>
          <w:i/>
        </w:rPr>
        <w:t>Thaumatotibia leucotreta</w:t>
      </w:r>
      <w:r>
        <w:rPr/>
        <w:t>. EPPO datasheets on pests recommended for regulation. Online </w:t>
      </w:r>
      <w:r>
        <w:rPr/>
        <w:t>at: </w:t>
      </w:r>
      <w:bookmarkStart w:name="_bookmark15" w:id="22"/>
      <w:bookmarkEnd w:id="22"/>
      <w:r>
        <w:rPr>
          <w:w w:val="109"/>
        </w:rPr>
      </w:r>
      <w:hyperlink r:id="rId19">
        <w:r>
          <w:rPr>
            <w:color w:val="0000FF"/>
          </w:rPr>
          <w:t>https://gd.eppo.int/</w:t>
        </w:r>
      </w:hyperlink>
      <w:r>
        <w:rPr>
          <w:color w:val="0000FF"/>
        </w:rPr>
        <w:t> </w:t>
      </w:r>
      <w:r>
        <w:rPr/>
        <w:t>(accessed 25 August 2025).</w:t>
      </w:r>
    </w:p>
    <w:p>
      <w:pPr>
        <w:pStyle w:val="BodyText"/>
        <w:spacing w:line="218" w:lineRule="auto" w:before="1"/>
        <w:ind w:left="837" w:right="120" w:hanging="707"/>
        <w:jc w:val="both"/>
      </w:pPr>
      <w:r>
        <w:rPr/>
        <w:t>Gilligan, T. M., M. E. Epstein, and K. M. Hoffman.</w:t>
      </w:r>
      <w:r>
        <w:rPr>
          <w:spacing w:val="40"/>
        </w:rPr>
        <w:t> </w:t>
      </w:r>
      <w:r>
        <w:rPr/>
        <w:t>2011.</w:t>
      </w:r>
      <w:r>
        <w:rPr>
          <w:spacing w:val="40"/>
        </w:rPr>
        <w:t> </w:t>
      </w:r>
      <w:r>
        <w:rPr/>
        <w:t>Discovery of false codling moth, </w:t>
      </w:r>
      <w:r>
        <w:rPr>
          <w:i/>
        </w:rPr>
        <w:t>Thaumatotibia</w:t>
      </w:r>
      <w:r>
        <w:rPr>
          <w:i/>
        </w:rPr>
        <w:t> leucotreta</w:t>
      </w:r>
      <w:r>
        <w:rPr>
          <w:i/>
          <w:spacing w:val="-14"/>
        </w:rPr>
        <w:t> </w:t>
      </w:r>
      <w:r>
        <w:rPr/>
        <w:t>(Meyrick),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California</w:t>
      </w:r>
      <w:r>
        <w:rPr>
          <w:spacing w:val="-13"/>
        </w:rPr>
        <w:t> </w:t>
      </w:r>
      <w:r>
        <w:rPr/>
        <w:t>(Lepidoptera:</w:t>
      </w:r>
      <w:r>
        <w:rPr>
          <w:spacing w:val="-10"/>
        </w:rPr>
        <w:t> </w:t>
      </w:r>
      <w:r>
        <w:rPr/>
        <w:t>Tortricidae).</w:t>
      </w:r>
      <w:r>
        <w:rPr>
          <w:spacing w:val="-2"/>
        </w:rPr>
        <w:t> </w:t>
      </w:r>
      <w:r>
        <w:rPr/>
        <w:t>Proceedings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Entomological</w:t>
      </w:r>
      <w:r>
        <w:rPr>
          <w:spacing w:val="-13"/>
        </w:rPr>
        <w:t> </w:t>
      </w:r>
      <w:r>
        <w:rPr/>
        <w:t>Society </w:t>
      </w:r>
      <w:bookmarkStart w:name="_bookmark16" w:id="23"/>
      <w:bookmarkEnd w:id="23"/>
      <w:r>
        <w:rPr/>
        <w:t>of</w:t>
      </w:r>
      <w:r>
        <w:rPr/>
        <w:t> Washington 113:426–435.</w:t>
      </w:r>
    </w:p>
    <w:p>
      <w:pPr>
        <w:pStyle w:val="BodyText"/>
        <w:spacing w:line="218" w:lineRule="auto" w:before="3"/>
        <w:ind w:left="842" w:right="98" w:hanging="713"/>
        <w:jc w:val="both"/>
      </w:pPr>
      <w:r>
        <w:rPr/>
        <w:t>NAPPFAST. 2003.</w:t>
      </w:r>
      <w:r>
        <w:rPr>
          <w:spacing w:val="40"/>
        </w:rPr>
        <w:t> </w:t>
      </w:r>
      <w:r>
        <w:rPr/>
        <w:t>Pest assessment: False codling moth, </w:t>
      </w:r>
      <w:r>
        <w:rPr>
          <w:i/>
        </w:rPr>
        <w:t>Cryptophlebia leucotreta </w:t>
      </w:r>
      <w:r>
        <w:rPr/>
        <w:t>(Meyrick), (Lepidoptera: </w:t>
      </w:r>
      <w:bookmarkStart w:name="_bookmark17" w:id="24"/>
      <w:bookmarkEnd w:id="24"/>
      <w:r>
        <w:rPr/>
        <w:t>T</w:t>
      </w:r>
      <w:r>
        <w:rPr/>
        <w:t>ortricidae).</w:t>
      </w:r>
      <w:r>
        <w:rPr>
          <w:spacing w:val="40"/>
        </w:rPr>
        <w:t> </w:t>
      </w:r>
      <w:r>
        <w:rPr/>
        <w:t>USDA-APHIS-PPQ-CPHST-PERAL/NCSU.</w:t>
      </w:r>
    </w:p>
    <w:p>
      <w:pPr>
        <w:pStyle w:val="BodyText"/>
        <w:spacing w:line="218" w:lineRule="auto" w:before="2"/>
        <w:ind w:left="850" w:right="85" w:hanging="720"/>
        <w:jc w:val="both"/>
      </w:pPr>
      <w:r>
        <w:rPr>
          <w:spacing w:val="-2"/>
          <w:w w:val="105"/>
        </w:rPr>
        <w:t>Patrick,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E.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M.,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I.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Koomen,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S.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Ndlela,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J.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M.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Wesonga.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2021.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Effect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moisture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stress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on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development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false</w:t>
      </w:r>
      <w:r>
        <w:rPr>
          <w:spacing w:val="-1"/>
          <w:w w:val="105"/>
        </w:rPr>
        <w:t> </w:t>
      </w:r>
      <w:r>
        <w:rPr>
          <w:w w:val="105"/>
        </w:rPr>
        <w:t>codling</w:t>
      </w:r>
      <w:r>
        <w:rPr>
          <w:spacing w:val="-1"/>
          <w:w w:val="105"/>
        </w:rPr>
        <w:t> </w:t>
      </w:r>
      <w:r>
        <w:rPr>
          <w:w w:val="105"/>
        </w:rPr>
        <w:t>moth</w:t>
      </w:r>
      <w:r>
        <w:rPr>
          <w:spacing w:val="-1"/>
          <w:w w:val="105"/>
        </w:rPr>
        <w:t> </w:t>
      </w:r>
      <w:r>
        <w:rPr>
          <w:i/>
          <w:w w:val="105"/>
        </w:rPr>
        <w:t>Thaumatotibia</w:t>
      </w:r>
      <w:r>
        <w:rPr>
          <w:i/>
          <w:w w:val="105"/>
        </w:rPr>
        <w:t> leucotreta</w:t>
      </w:r>
      <w:r>
        <w:rPr>
          <w:i/>
          <w:w w:val="105"/>
        </w:rPr>
        <w:t> </w:t>
      </w:r>
      <w:r>
        <w:rPr>
          <w:w w:val="105"/>
        </w:rPr>
        <w:t>(Lepidoptera:</w:t>
      </w:r>
      <w:r>
        <w:rPr>
          <w:spacing w:val="27"/>
          <w:w w:val="105"/>
        </w:rPr>
        <w:t> </w:t>
      </w:r>
      <w:r>
        <w:rPr>
          <w:w w:val="105"/>
        </w:rPr>
        <w:t>Tortricidae)</w:t>
      </w:r>
      <w:r>
        <w:rPr>
          <w:spacing w:val="-1"/>
          <w:w w:val="105"/>
        </w:rPr>
        <w:t> </w:t>
      </w:r>
      <w:r>
        <w:rPr>
          <w:w w:val="105"/>
        </w:rPr>
        <w:t>on</w:t>
      </w:r>
      <w:r>
        <w:rPr>
          <w:spacing w:val="-1"/>
          <w:w w:val="105"/>
        </w:rPr>
        <w:t> </w:t>
      </w:r>
      <w:r>
        <w:rPr>
          <w:w w:val="105"/>
        </w:rPr>
        <w:t>two</w:t>
      </w:r>
      <w:r>
        <w:rPr>
          <w:spacing w:val="-1"/>
          <w:w w:val="105"/>
        </w:rPr>
        <w:t> </w:t>
      </w:r>
      <w:r>
        <w:rPr>
          <w:w w:val="105"/>
        </w:rPr>
        <w:t>tomato</w:t>
      </w:r>
      <w:r>
        <w:rPr>
          <w:spacing w:val="-1"/>
          <w:w w:val="105"/>
        </w:rPr>
        <w:t> </w:t>
      </w:r>
      <w:r>
        <w:rPr>
          <w:w w:val="105"/>
        </w:rPr>
        <w:t>varieties. </w:t>
      </w:r>
      <w:bookmarkStart w:name="_bookmark18" w:id="25"/>
      <w:bookmarkEnd w:id="25"/>
      <w:r>
        <w:rPr/>
        <w:t>Neotropical</w:t>
      </w:r>
      <w:r>
        <w:rPr/>
        <w:t> Entomology 50:828–834.</w:t>
      </w:r>
    </w:p>
    <w:p>
      <w:pPr>
        <w:pStyle w:val="BodyText"/>
        <w:spacing w:line="218" w:lineRule="auto" w:before="3"/>
        <w:ind w:left="832" w:right="105" w:hanging="703"/>
        <w:jc w:val="both"/>
      </w:pPr>
      <w:r>
        <w:rPr/>
        <w:t>Stotter, R. L., and </w:t>
      </w:r>
      <w:r>
        <w:rPr>
          <w:w w:val="105"/>
        </w:rPr>
        <w:t>J. </w:t>
      </w:r>
      <w:r>
        <w:rPr/>
        <w:t>S. Terblanche. 2009. Low-temperature tolerance of false codling moth </w:t>
      </w:r>
      <w:r>
        <w:rPr>
          <w:i/>
        </w:rPr>
        <w:t>Thaumatotibia leu-</w:t>
      </w:r>
      <w:bookmarkStart w:name="_bookmark19" w:id="26"/>
      <w:bookmarkEnd w:id="26"/>
      <w:r>
        <w:rPr>
          <w:i/>
        </w:rPr>
        <w:t>c</w:t>
      </w:r>
      <w:r>
        <w:rPr>
          <w:i/>
        </w:rPr>
        <w:t>otreta </w:t>
      </w:r>
      <w:r>
        <w:rPr/>
        <w:t>(Meyrick) (Lepidoptera:</w:t>
      </w:r>
      <w:r>
        <w:rPr>
          <w:spacing w:val="34"/>
        </w:rPr>
        <w:t> </w:t>
      </w:r>
      <w:r>
        <w:rPr/>
        <w:t>Tortricidae) in South Africa.</w:t>
      </w:r>
      <w:r>
        <w:rPr>
          <w:spacing w:val="34"/>
        </w:rPr>
        <w:t> </w:t>
      </w:r>
      <w:r>
        <w:rPr/>
        <w:t>Journal of Thermal Biology 34:320–325.</w:t>
      </w:r>
    </w:p>
    <w:p>
      <w:pPr>
        <w:pStyle w:val="BodyText"/>
        <w:spacing w:line="218" w:lineRule="auto" w:before="1"/>
        <w:ind w:left="850" w:right="85" w:hanging="720"/>
        <w:jc w:val="both"/>
      </w:pPr>
      <w:r>
        <w:rPr>
          <w:w w:val="105"/>
        </w:rPr>
        <w:t>Terblanche,</w:t>
      </w:r>
      <w:r>
        <w:rPr>
          <w:spacing w:val="-9"/>
          <w:w w:val="105"/>
        </w:rPr>
        <w:t> </w:t>
      </w:r>
      <w:r>
        <w:rPr>
          <w:w w:val="105"/>
        </w:rPr>
        <w:t>J.</w:t>
      </w:r>
      <w:r>
        <w:rPr>
          <w:spacing w:val="-9"/>
          <w:w w:val="105"/>
        </w:rPr>
        <w:t> </w:t>
      </w:r>
      <w:r>
        <w:rPr>
          <w:w w:val="105"/>
        </w:rPr>
        <w:t>S.,</w:t>
      </w:r>
      <w:r>
        <w:rPr>
          <w:spacing w:val="-9"/>
          <w:w w:val="105"/>
        </w:rPr>
        <w:t> </w:t>
      </w:r>
      <w:r>
        <w:rPr>
          <w:w w:val="105"/>
        </w:rPr>
        <w:t>K.</w:t>
      </w:r>
      <w:r>
        <w:rPr>
          <w:spacing w:val="-9"/>
          <w:w w:val="105"/>
        </w:rPr>
        <w:t> </w:t>
      </w:r>
      <w:r>
        <w:rPr>
          <w:w w:val="105"/>
        </w:rPr>
        <w:t>A.</w:t>
      </w:r>
      <w:r>
        <w:rPr>
          <w:spacing w:val="-9"/>
          <w:w w:val="105"/>
        </w:rPr>
        <w:t> </w:t>
      </w:r>
      <w:r>
        <w:rPr>
          <w:w w:val="105"/>
        </w:rPr>
        <w:t>Mitchell,</w:t>
      </w:r>
      <w:r>
        <w:rPr>
          <w:spacing w:val="-9"/>
          <w:w w:val="105"/>
        </w:rPr>
        <w:t> </w:t>
      </w:r>
      <w:r>
        <w:rPr>
          <w:w w:val="105"/>
        </w:rPr>
        <w:t>W.</w:t>
      </w:r>
      <w:r>
        <w:rPr>
          <w:spacing w:val="-9"/>
          <w:w w:val="105"/>
        </w:rPr>
        <w:t> </w:t>
      </w:r>
      <w:r>
        <w:rPr>
          <w:w w:val="105"/>
        </w:rPr>
        <w:t>Uys,</w:t>
      </w:r>
      <w:r>
        <w:rPr>
          <w:spacing w:val="-9"/>
          <w:w w:val="105"/>
        </w:rPr>
        <w:t> </w:t>
      </w:r>
      <w:r>
        <w:rPr>
          <w:w w:val="105"/>
        </w:rPr>
        <w:t>C.</w:t>
      </w:r>
      <w:r>
        <w:rPr>
          <w:spacing w:val="-9"/>
          <w:w w:val="105"/>
        </w:rPr>
        <w:t> </w:t>
      </w:r>
      <w:r>
        <w:rPr>
          <w:w w:val="105"/>
        </w:rPr>
        <w:t>Short,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L.</w:t>
      </w:r>
      <w:r>
        <w:rPr>
          <w:spacing w:val="-9"/>
          <w:w w:val="105"/>
        </w:rPr>
        <w:t> </w:t>
      </w:r>
      <w:r>
        <w:rPr>
          <w:w w:val="105"/>
        </w:rPr>
        <w:t>Boardman.</w:t>
      </w:r>
      <w:r>
        <w:rPr>
          <w:w w:val="105"/>
        </w:rPr>
        <w:t> 2017.</w:t>
      </w:r>
      <w:r>
        <w:rPr>
          <w:w w:val="105"/>
        </w:rPr>
        <w:t> Thermal</w:t>
      </w:r>
      <w:r>
        <w:rPr>
          <w:spacing w:val="-9"/>
          <w:w w:val="105"/>
        </w:rPr>
        <w:t> </w:t>
      </w:r>
      <w:r>
        <w:rPr>
          <w:w w:val="105"/>
        </w:rPr>
        <w:t>limits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survival</w:t>
      </w:r>
      <w:r>
        <w:rPr>
          <w:spacing w:val="-9"/>
          <w:w w:val="105"/>
        </w:rPr>
        <w:t> </w:t>
      </w:r>
      <w:r>
        <w:rPr>
          <w:w w:val="105"/>
        </w:rPr>
        <w:t>and activity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two</w:t>
      </w:r>
      <w:r>
        <w:rPr>
          <w:spacing w:val="-9"/>
          <w:w w:val="105"/>
        </w:rPr>
        <w:t> </w:t>
      </w:r>
      <w:r>
        <w:rPr>
          <w:w w:val="105"/>
        </w:rPr>
        <w:t>life</w:t>
      </w:r>
      <w:r>
        <w:rPr>
          <w:spacing w:val="-9"/>
          <w:w w:val="105"/>
        </w:rPr>
        <w:t> </w:t>
      </w:r>
      <w:r>
        <w:rPr>
          <w:w w:val="105"/>
        </w:rPr>
        <w:t>stages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false</w:t>
      </w:r>
      <w:r>
        <w:rPr>
          <w:spacing w:val="-9"/>
          <w:w w:val="105"/>
        </w:rPr>
        <w:t> </w:t>
      </w:r>
      <w:r>
        <w:rPr>
          <w:w w:val="105"/>
        </w:rPr>
        <w:t>codling</w:t>
      </w:r>
      <w:r>
        <w:rPr>
          <w:spacing w:val="-9"/>
          <w:w w:val="105"/>
        </w:rPr>
        <w:t> </w:t>
      </w:r>
      <w:r>
        <w:rPr>
          <w:w w:val="105"/>
        </w:rPr>
        <w:t>moth</w:t>
      </w:r>
      <w:r>
        <w:rPr>
          <w:spacing w:val="-9"/>
          <w:w w:val="105"/>
        </w:rPr>
        <w:t> </w:t>
      </w:r>
      <w:r>
        <w:rPr>
          <w:i/>
          <w:w w:val="105"/>
        </w:rPr>
        <w:t>Thaumatotibia</w:t>
      </w:r>
      <w:r>
        <w:rPr>
          <w:i/>
          <w:spacing w:val="-5"/>
          <w:w w:val="105"/>
        </w:rPr>
        <w:t> </w:t>
      </w:r>
      <w:r>
        <w:rPr>
          <w:i/>
          <w:w w:val="105"/>
        </w:rPr>
        <w:t>leucotreta</w:t>
      </w:r>
      <w:r>
        <w:rPr>
          <w:i/>
          <w:spacing w:val="-4"/>
          <w:w w:val="105"/>
        </w:rPr>
        <w:t> </w:t>
      </w:r>
      <w:r>
        <w:rPr>
          <w:w w:val="105"/>
        </w:rPr>
        <w:t>(Lepidoptera,</w:t>
      </w:r>
      <w:r>
        <w:rPr>
          <w:spacing w:val="-7"/>
          <w:w w:val="105"/>
        </w:rPr>
        <w:t> </w:t>
      </w:r>
      <w:r>
        <w:rPr>
          <w:w w:val="105"/>
        </w:rPr>
        <w:t>Tortricidae). </w:t>
      </w:r>
      <w:bookmarkStart w:name="_bookmark20" w:id="27"/>
      <w:bookmarkEnd w:id="27"/>
      <w:r>
        <w:rPr/>
        <w:t>P</w:t>
      </w:r>
      <w:r>
        <w:rPr/>
        <w:t>hysiological Entomology 42:379–388.</w:t>
      </w:r>
    </w:p>
    <w:p>
      <w:pPr>
        <w:pStyle w:val="BodyText"/>
        <w:spacing w:line="218" w:lineRule="auto" w:before="3"/>
        <w:ind w:left="850" w:right="92" w:hanging="720"/>
        <w:jc w:val="both"/>
      </w:pPr>
      <w:r>
        <w:rPr/>
        <w:t>Stibick, J. 2006. New pest response guidelines: false codling moth Thaumatotibia leucotreta. USDA-APHIS-PPQ-Emergency and Domestic Programs, Riverdale, Maryland. Online at: </w:t>
      </w:r>
      <w:hyperlink r:id="rId20">
        <w:r>
          <w:rPr>
            <w:color w:val="0000FF"/>
          </w:rPr>
          <w:t>https://www.cdfa.ca.gov/</w:t>
        </w:r>
      </w:hyperlink>
      <w:r>
        <w:rPr>
          <w:color w:val="0000FF"/>
        </w:rPr>
        <w:t> </w:t>
      </w:r>
      <w:bookmarkStart w:name="_bookmark21" w:id="28"/>
      <w:bookmarkEnd w:id="28"/>
      <w:r>
        <w:rPr>
          <w:color w:val="0000FF"/>
          <w:w w:val="101"/>
        </w:rPr>
      </w:r>
      <w:hyperlink r:id="rId20">
        <w:r>
          <w:rPr>
            <w:color w:val="0000FF"/>
            <w:w w:val="105"/>
          </w:rPr>
          <w:t>plant/fcm/pdfs/publications/Stibick_2006-FCM_NPRG.pdf</w:t>
        </w:r>
      </w:hyperlink>
      <w:r>
        <w:rPr>
          <w:color w:val="0000FF"/>
          <w:spacing w:val="-11"/>
          <w:w w:val="105"/>
        </w:rPr>
        <w:t> </w:t>
      </w:r>
      <w:r>
        <w:rPr>
          <w:w w:val="105"/>
        </w:rPr>
        <w:t>(accessed</w:t>
      </w:r>
      <w:r>
        <w:rPr>
          <w:spacing w:val="-11"/>
          <w:w w:val="105"/>
        </w:rPr>
        <w:t> </w:t>
      </w:r>
      <w:r>
        <w:rPr>
          <w:w w:val="105"/>
        </w:rPr>
        <w:t>3</w:t>
      </w:r>
      <w:r>
        <w:rPr>
          <w:spacing w:val="-11"/>
          <w:w w:val="105"/>
        </w:rPr>
        <w:t> </w:t>
      </w:r>
      <w:r>
        <w:rPr>
          <w:w w:val="105"/>
        </w:rPr>
        <w:t>April</w:t>
      </w:r>
      <w:r>
        <w:rPr>
          <w:spacing w:val="-11"/>
          <w:w w:val="105"/>
        </w:rPr>
        <w:t> </w:t>
      </w:r>
      <w:r>
        <w:rPr>
          <w:w w:val="105"/>
        </w:rPr>
        <w:t>2026).</w:t>
      </w:r>
    </w:p>
    <w:p>
      <w:pPr>
        <w:pStyle w:val="BodyText"/>
        <w:spacing w:line="218" w:lineRule="auto" w:before="3"/>
        <w:ind w:left="850" w:right="98" w:hanging="720"/>
        <w:jc w:val="both"/>
      </w:pPr>
      <w:r>
        <w:rPr>
          <w:spacing w:val="-2"/>
          <w:w w:val="105"/>
        </w:rPr>
        <w:t>Venette,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R.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C.,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E.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E.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Davis,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M.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Dacosta,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H.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Heisler,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M.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Larson.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2003.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Mini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risk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assessment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False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codling </w:t>
      </w:r>
      <w:r>
        <w:rPr>
          <w:w w:val="105"/>
        </w:rPr>
        <w:t>moth, </w:t>
      </w:r>
      <w:r>
        <w:rPr>
          <w:i/>
          <w:w w:val="105"/>
        </w:rPr>
        <w:t>Thaumatotibia </w:t>
      </w:r>
      <w:r>
        <w:rPr>
          <w:w w:val="105"/>
        </w:rPr>
        <w:t>(=</w:t>
      </w:r>
      <w:r>
        <w:rPr>
          <w:i/>
          <w:w w:val="105"/>
        </w:rPr>
        <w:t>Cryptophlebia</w:t>
      </w:r>
      <w:r>
        <w:rPr>
          <w:w w:val="105"/>
        </w:rPr>
        <w:t>) </w:t>
      </w:r>
      <w:r>
        <w:rPr>
          <w:i/>
          <w:w w:val="105"/>
        </w:rPr>
        <w:t>leucotreta </w:t>
      </w:r>
      <w:r>
        <w:rPr>
          <w:w w:val="105"/>
        </w:rPr>
        <w:t>(Meyrick) [Lepidoptera:</w:t>
      </w:r>
      <w:r>
        <w:rPr>
          <w:w w:val="105"/>
        </w:rPr>
        <w:t> Tortricidae].</w:t>
      </w:r>
      <w:r>
        <w:rPr>
          <w:w w:val="105"/>
        </w:rPr>
        <w:t> CAPS PRA, St. Paul, Minnesota.</w:t>
      </w:r>
    </w:p>
    <w:sectPr>
      <w:pgSz w:w="12240" w:h="15840"/>
      <w:pgMar w:header="0" w:footer="896" w:top="1480" w:bottom="10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Palatino Linotype">
    <w:altName w:val="Palatino Linotype"/>
    <w:charset w:val="0"/>
    <w:family w:val="roman"/>
    <w:pitch w:val="variable"/>
  </w:font>
  <w:font w:name="Georgia">
    <w:altName w:val="Georgia"/>
    <w:charset w:val="0"/>
    <w:family w:val="roman"/>
    <w:pitch w:val="variable"/>
  </w:font>
  <w:font w:name="Arial Black">
    <w:altName w:val="Arial Black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8528">
              <wp:simplePos x="0" y="0"/>
              <wp:positionH relativeFrom="page">
                <wp:posOffset>3804221</wp:posOffset>
              </wp:positionH>
              <wp:positionV relativeFrom="page">
                <wp:posOffset>9349555</wp:posOffset>
              </wp:positionV>
              <wp:extent cx="164465" cy="22225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4465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35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9.545013pt;margin-top:736.185486pt;width:12.95pt;height:17.5pt;mso-position-horizontal-relative:page;mso-position-vertical-relative:page;z-index:-1599795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35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6"/>
      <w:numFmt w:val="decimal"/>
      <w:lvlText w:val="%1."/>
      <w:lvlJc w:val="left"/>
      <w:pPr>
        <w:ind w:left="604" w:hanging="474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118"/>
        <w:sz w:val="34"/>
        <w:szCs w:val="34"/>
        <w:lang w:val="en-US" w:eastAsia="en-US" w:bidi="ar-SA"/>
      </w:rPr>
    </w:lvl>
    <w:lvl w:ilvl="1">
      <w:start w:val="1"/>
      <w:numFmt w:val="lowerRoman"/>
      <w:lvlText w:val="%2."/>
      <w:lvlJc w:val="left"/>
      <w:pPr>
        <w:ind w:left="359" w:hanging="230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83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3" w:hanging="2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66" w:hanging="2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0" w:hanging="2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3" w:hanging="2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6" w:hanging="2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00" w:hanging="2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33" w:hanging="23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Palatino Linotype" w:hAnsi="Palatino Linotype" w:eastAsia="Palatino Linotype" w:cs="Palatino Linotyp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Palatino Linotype" w:hAnsi="Palatino Linotype" w:eastAsia="Palatino Linotype" w:cs="Palatino Linotype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30"/>
      <w:outlineLvl w:val="1"/>
    </w:pPr>
    <w:rPr>
      <w:rFonts w:ascii="Arial Black" w:hAnsi="Arial Black" w:eastAsia="Arial Black" w:cs="Arial Black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30"/>
      <w:outlineLvl w:val="2"/>
    </w:pPr>
    <w:rPr>
      <w:rFonts w:ascii="Arial Black" w:hAnsi="Arial Black" w:eastAsia="Arial Black" w:cs="Arial Black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8"/>
      <w:ind w:left="130" w:hanging="473"/>
    </w:pPr>
    <w:rPr>
      <w:rFonts w:ascii="Arial Black" w:hAnsi="Arial Black" w:eastAsia="Arial Black" w:cs="Arial Black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51" w:lineRule="exact"/>
    </w:pPr>
    <w:rPr>
      <w:rFonts w:ascii="Palatino Linotype" w:hAnsi="Palatino Linotype" w:eastAsia="Palatino Linotype" w:cs="Palatino Linotype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s://uspest.org/DDRP" TargetMode="Externa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image" Target="media/image8.jpeg"/><Relationship Id="rId15" Type="http://schemas.openxmlformats.org/officeDocument/2006/relationships/image" Target="media/image9.jpeg"/><Relationship Id="rId16" Type="http://schemas.openxmlformats.org/officeDocument/2006/relationships/image" Target="media/image10.jpeg"/><Relationship Id="rId17" Type="http://schemas.openxmlformats.org/officeDocument/2006/relationships/hyperlink" Target="https://uspest.org/CAPS/Thaumatotibia_leucotreta_white_paper.pdf" TargetMode="External"/><Relationship Id="rId18" Type="http://schemas.openxmlformats.org/officeDocument/2006/relationships/hyperlink" Target="https://doi.org/10.1079/cabicompendium.6904" TargetMode="External"/><Relationship Id="rId19" Type="http://schemas.openxmlformats.org/officeDocument/2006/relationships/hyperlink" Target="https://gd.eppo.int/" TargetMode="External"/><Relationship Id="rId20" Type="http://schemas.openxmlformats.org/officeDocument/2006/relationships/hyperlink" Target="https://www.cdfa.ca.gov/plant/fcm/pdfs/publications/Stibick_2006-FCM_NPRG.pdf" TargetMode="External"/><Relationship Id="rId2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6. False codling moth (Thaumatotibia leucotreta)</dc:title>
  <dcterms:created xsi:type="dcterms:W3CDTF">2026-10-26T16:51:49Z</dcterms:created>
  <dcterms:modified xsi:type="dcterms:W3CDTF">2026-10-26T16:51:49Z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2026-10-16T00:00:00Z</vt:filetime>
  </property>
  <property fmtid="{D5CDD505-2E9C-101B-9397-08002B2CF9AE}" pid="3" name="Creator">
    <vt:lpwstr>LaTeX via pandoc</vt:lpwstr>
  </property>
  <property fmtid="{D5CDD505-2E9C-101B-9397-08002B2CF9AE}" pid="4" name="LastSaved">
    <vt:filetime>2026-10-26T00:00:00Z</vt:filetime>
  </property>
  <property fmtid="{D5CDD505-2E9C-101B-9397-08002B2CF9AE}" pid="5" name="PTEX.FullBanner">
    <vt:lpwstr>This is LuaHBTeX, Version 1.24.0 (TeX Live 2026)</vt:lpwstr>
  </property>
  <property fmtid="{D5CDD505-2E9C-101B-9397-08002B2CF9AE}" pid="6" name="Producer">
    <vt:lpwstr>LuaTeX-1.24.0</vt:lpwstr>
  </property>
</Properties>
</file>