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6.png" ContentType="image/png"/>
  <Override PartName="/word/media/rId62.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0.png" ContentType="image/png"/>
  <Override PartName="/word/media/rId4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FTIR</w:t>
      </w:r>
      <w:r>
        <w:t xml:space="preserve"> </w:t>
      </w:r>
      <w:r>
        <w:t xml:space="preserve">analysis</w:t>
      </w:r>
    </w:p>
    <w:bookmarkStart w:id="20" w:name="introduction"/>
    <w:p>
      <w:pPr>
        <w:pStyle w:val="Heading2"/>
      </w:pPr>
      <w:r>
        <w:t xml:space="preserve">Introduction</w:t>
      </w:r>
    </w:p>
    <w:p>
      <w:pPr>
        <w:pStyle w:val="SourceCode"/>
      </w:pPr>
      <w:r>
        <w:rPr>
          <w:rStyle w:val="CommentTok"/>
        </w:rPr>
        <w:t xml:space="preserve"># Loading libraries and data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(here)</w:t>
      </w:r>
      <w:r>
        <w:br/>
      </w:r>
      <w:r>
        <w:rPr>
          <w:rStyle w:val="NormalTok"/>
        </w:rPr>
        <w:t xml:space="preserve">ftir_data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"05-results/ftir-data_long.csv"</w:t>
      </w:r>
      <w:r>
        <w:rPr>
          <w:rStyle w:val="NormalTok"/>
        </w:rPr>
        <w:t xml:space="preserve">))</w:t>
      </w:r>
      <w:r>
        <w:br/>
      </w:r>
      <w:r>
        <w:rPr>
          <w:rStyle w:val="NormalTok"/>
        </w:rPr>
        <w:t xml:space="preserve">grind_data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"05-results/grind-data_cleaned.csv"</w:t>
      </w:r>
      <w:r>
        <w:rPr>
          <w:rStyle w:val="NormalTok"/>
        </w:rPr>
        <w:t xml:space="preserve">))</w:t>
      </w:r>
      <w:r>
        <w:br/>
      </w:r>
      <w:r>
        <w:rPr>
          <w:rStyle w:val="NormalTok"/>
        </w:rPr>
        <w:t xml:space="preserve">ftir_metadata </w:t>
      </w:r>
      <w:r>
        <w:rPr>
          <w:rStyle w:val="OtherTok"/>
        </w:rPr>
        <w:t xml:space="preserve">&lt;-</w:t>
      </w:r>
      <w:r>
        <w:rPr>
          <w:rStyle w:val="NormalTok"/>
        </w:rPr>
        <w:t xml:space="preserve"> </w:t>
      </w:r>
      <w:r>
        <w:rPr>
          <w:rStyle w:val="FunctionTok"/>
        </w:rPr>
        <w:t xml:space="preserve">read_tsv</w:t>
      </w:r>
      <w:r>
        <w:rPr>
          <w:rStyle w:val="NormalTok"/>
        </w:rPr>
        <w:t xml:space="preserve">(</w:t>
      </w:r>
      <w:r>
        <w:rPr>
          <w:rStyle w:val="FunctionTok"/>
        </w:rPr>
        <w:t xml:space="preserve">here</w:t>
      </w:r>
      <w:r>
        <w:rPr>
          <w:rStyle w:val="NormalTok"/>
        </w:rPr>
        <w:t xml:space="preserve">(</w:t>
      </w:r>
      <w:r>
        <w:rPr>
          <w:rStyle w:val="StringTok"/>
        </w:rPr>
        <w:t xml:space="preserve">"01-documentation/ftir-metadata.tsv"</w:t>
      </w:r>
      <w:r>
        <w:rPr>
          <w:rStyle w:val="NormalTok"/>
        </w:rPr>
        <w:t xml:space="preserve">))</w:t>
      </w:r>
    </w:p>
    <w:p>
      <w:pPr>
        <w:pStyle w:val="FirstParagraph"/>
      </w:pPr>
      <w:r>
        <w:t xml:space="preserve">To determine the mineral composition and crystallisation of the artificial dental</w:t>
      </w:r>
      <w:r>
        <w:t xml:space="preserve"> </w:t>
      </w:r>
      <w:r>
        <w:t xml:space="preserve">calculus samples, we used Fourier Transform Infrared (FTIR) spectroscopy. We</w:t>
      </w:r>
      <w:r>
        <w:t xml:space="preserve"> </w:t>
      </w:r>
      <w:r>
        <w:t xml:space="preserve">compared the spectra of artificial dental calculus with spectra of archaeological</w:t>
      </w:r>
      <w:r>
        <w:t xml:space="preserve"> </w:t>
      </w:r>
      <w:r>
        <w:t xml:space="preserve">dental calculus, as well as splitting factors.</w:t>
      </w:r>
    </w:p>
    <w:bookmarkEnd w:id="20"/>
    <w:bookmarkStart w:id="21" w:name="materials"/>
    <w:p>
      <w:pPr>
        <w:pStyle w:val="Heading2"/>
      </w:pPr>
      <w:r>
        <w:t xml:space="preserve">Materials</w:t>
      </w:r>
    </w:p>
    <w:p>
      <w:pPr>
        <w:pStyle w:val="SourceCode"/>
      </w:pPr>
      <w:r>
        <w:rPr>
          <w:rStyle w:val="NormalTok"/>
        </w:rPr>
        <w:t xml:space="preserve">n_samples </w:t>
      </w:r>
      <w:r>
        <w:rPr>
          <w:rStyle w:val="OtherTok"/>
        </w:rPr>
        <w:t xml:space="preserve">&lt;-</w:t>
      </w:r>
      <w:r>
        <w:rPr>
          <w:rStyle w:val="NormalTok"/>
        </w:rPr>
        <w:t xml:space="preserve"> ftir_metadata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"Artificial"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mean</w:t>
      </w:r>
      <w:r>
        <w:rPr>
          <w:rStyle w:val="NormalTok"/>
        </w:rPr>
        <w:t xml:space="preserve">(weight_mg, </w:t>
      </w:r>
      <w:r>
        <w:rPr>
          <w:rStyle w:val="AttributeTok"/>
        </w:rPr>
        <w:t xml:space="preserve">na.rm =</w:t>
      </w:r>
      <w:r>
        <w:rPr>
          <w:rStyle w:val="NormalTok"/>
        </w:rPr>
        <w:t xml:space="preserve"> T)</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(n_samples,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"Summary of FTIR samples used in analysis, including weight in mg."</w:t>
      </w:r>
      <w:r>
        <w:rPr>
          <w:rStyle w:val="NormalTok"/>
        </w:rPr>
        <w:t xml:space="preserve">)</w:t>
      </w:r>
    </w:p>
    <w:p>
      <w:pPr>
        <w:pStyle w:val="TableCaption"/>
      </w:pPr>
      <w:r>
        <w:t xml:space="preserve">Summary of FTIR samples used in analysis, including weight in mg.</w:t>
      </w:r>
    </w:p>
    <w:tbl>
      <w:tblPr>
        <w:tblStyle w:val="Table"/>
        <w:tblW w:type="auto" w:w="0"/>
        <w:tblLook w:firstRow="1" w:lastRow="0" w:firstColumn="0" w:lastColumn="0" w:noHBand="0" w:noVBand="0" w:val="0020"/>
        <w:tblCaption w:val="Summary of FTIR samples used in analysis, including weight in mg."/>
      </w:tblPr>
      <w:tblGrid>
        <w:gridCol w:w="2640"/>
        <w:gridCol w:w="2640"/>
        <w:gridCol w:w="2640"/>
      </w:tblGrid>
      <w:tr>
        <w:trPr>
          <w:tblHeader w:val="true"/>
        </w:trPr>
        <w:tc>
          <w:tcPr/>
          <w:p>
            <w:pPr>
              <w:pStyle w:val="Compact"/>
              <w:jc w:val="right"/>
            </w:pPr>
            <w:r>
              <w:t xml:space="preserve">day</w:t>
            </w:r>
          </w:p>
        </w:tc>
        <w:tc>
          <w:tcPr/>
          <w:p>
            <w:pPr>
              <w:pStyle w:val="Compact"/>
              <w:jc w:val="right"/>
            </w:pPr>
            <w:r>
              <w:t xml:space="preserve">n</w:t>
            </w:r>
          </w:p>
        </w:tc>
        <w:tc>
          <w:tcPr/>
          <w:p>
            <w:pPr>
              <w:pStyle w:val="Compact"/>
              <w:jc w:val="right"/>
            </w:pPr>
            <w:r>
              <w:t xml:space="preserve">weight</w:t>
            </w:r>
          </w:p>
        </w:tc>
      </w:tr>
      <w:tr>
        <w:tc>
          <w:tcPr/>
          <w:p>
            <w:pPr>
              <w:pStyle w:val="Compact"/>
              <w:jc w:val="right"/>
            </w:pPr>
            <w:r>
              <w:t xml:space="preserve">7</w:t>
            </w:r>
          </w:p>
        </w:tc>
        <w:tc>
          <w:tcPr/>
          <w:p>
            <w:pPr>
              <w:pStyle w:val="Compact"/>
              <w:jc w:val="right"/>
            </w:pPr>
            <w:r>
              <w:t xml:space="preserve">3</w:t>
            </w:r>
          </w:p>
        </w:tc>
        <w:tc>
          <w:tcPr/>
          <w:p>
            <w:pPr>
              <w:pStyle w:val="Compact"/>
              <w:jc w:val="right"/>
            </w:pPr>
            <w:r>
              <w:t xml:space="preserve">0.79</w:t>
            </w:r>
          </w:p>
        </w:tc>
      </w:tr>
      <w:tr>
        <w:tc>
          <w:tcPr/>
          <w:p>
            <w:pPr>
              <w:pStyle w:val="Compact"/>
              <w:jc w:val="right"/>
            </w:pPr>
            <w:r>
              <w:t xml:space="preserve">12</w:t>
            </w:r>
          </w:p>
        </w:tc>
        <w:tc>
          <w:tcPr/>
          <w:p>
            <w:pPr>
              <w:pStyle w:val="Compact"/>
              <w:jc w:val="right"/>
            </w:pPr>
            <w:r>
              <w:t xml:space="preserve">4</w:t>
            </w:r>
          </w:p>
        </w:tc>
        <w:tc>
          <w:tcPr/>
          <w:p>
            <w:pPr>
              <w:pStyle w:val="Compact"/>
              <w:jc w:val="right"/>
            </w:pPr>
            <w:r>
              <w:t xml:space="preserve">1.01</w:t>
            </w:r>
          </w:p>
        </w:tc>
      </w:tr>
      <w:tr>
        <w:tc>
          <w:tcPr/>
          <w:p>
            <w:pPr>
              <w:pStyle w:val="Compact"/>
              <w:jc w:val="right"/>
            </w:pPr>
            <w:r>
              <w:t xml:space="preserve">16</w:t>
            </w:r>
          </w:p>
        </w:tc>
        <w:tc>
          <w:tcPr/>
          <w:p>
            <w:pPr>
              <w:pStyle w:val="Compact"/>
              <w:jc w:val="right"/>
            </w:pPr>
            <w:r>
              <w:t xml:space="preserve">7</w:t>
            </w:r>
          </w:p>
        </w:tc>
        <w:tc>
          <w:tcPr/>
          <w:p>
            <w:pPr>
              <w:pStyle w:val="Compact"/>
              <w:jc w:val="right"/>
            </w:pPr>
            <w:r>
              <w:t xml:space="preserve">2.00</w:t>
            </w:r>
          </w:p>
        </w:tc>
      </w:tr>
      <w:tr>
        <w:tc>
          <w:tcPr/>
          <w:p>
            <w:pPr>
              <w:pStyle w:val="Compact"/>
              <w:jc w:val="right"/>
            </w:pPr>
            <w:r>
              <w:t xml:space="preserve">20</w:t>
            </w:r>
          </w:p>
        </w:tc>
        <w:tc>
          <w:tcPr/>
          <w:p>
            <w:pPr>
              <w:pStyle w:val="Compact"/>
              <w:jc w:val="right"/>
            </w:pPr>
            <w:r>
              <w:t xml:space="preserve">6</w:t>
            </w:r>
          </w:p>
        </w:tc>
        <w:tc>
          <w:tcPr/>
          <w:p>
            <w:pPr>
              <w:pStyle w:val="Compact"/>
              <w:jc w:val="right"/>
            </w:pPr>
            <w:r>
              <w:t xml:space="preserve">3.50</w:t>
            </w:r>
          </w:p>
        </w:tc>
      </w:tr>
      <w:tr>
        <w:tc>
          <w:tcPr/>
          <w:p>
            <w:pPr>
              <w:pStyle w:val="Compact"/>
              <w:jc w:val="right"/>
            </w:pPr>
            <w:r>
              <w:t xml:space="preserve">24</w:t>
            </w:r>
          </w:p>
        </w:tc>
        <w:tc>
          <w:tcPr/>
          <w:p>
            <w:pPr>
              <w:pStyle w:val="Compact"/>
              <w:jc w:val="right"/>
            </w:pPr>
            <w:r>
              <w:t xml:space="preserve">8</w:t>
            </w:r>
          </w:p>
        </w:tc>
        <w:tc>
          <w:tcPr/>
          <w:p>
            <w:pPr>
              <w:pStyle w:val="Compact"/>
              <w:jc w:val="right"/>
            </w:pPr>
            <w:r>
              <w:t xml:space="preserve">3.87</w:t>
            </w:r>
          </w:p>
        </w:tc>
      </w:tr>
    </w:tbl>
    <w:p>
      <w:pPr>
        <w:pStyle w:val="BodyText"/>
      </w:pPr>
      <w:r>
        <w:t xml:space="preserve">28 model biofilm samples from days 7, 16, 20, and 24, were analysed. Reference</w:t>
      </w:r>
      <w:r>
        <w:t xml:space="preserve"> </w:t>
      </w:r>
      <w:r>
        <w:t xml:space="preserve">samples for comparison included two modern calculus samples and an archaeological</w:t>
      </w:r>
      <w:r>
        <w:t xml:space="preserve"> </w:t>
      </w:r>
      <w:r>
        <w:t xml:space="preserve">calculus sample. The</w:t>
      </w:r>
      <w:r>
        <w:t xml:space="preserve"> </w:t>
      </w:r>
      <w:r>
        <w:t xml:space="preserve">archaeological sample was an isolated tooth from Middenbeemster, a rural Dutch</w:t>
      </w:r>
      <w:r>
        <w:t xml:space="preserve"> </w:t>
      </w:r>
      <w:r>
        <w:t xml:space="preserve">site from the 19th century. Samples</w:t>
      </w:r>
      <w:r>
        <w:t xml:space="preserve"> </w:t>
      </w:r>
      <w:r>
        <w:t xml:space="preserve">F12.1A5, F12.B1, F12.1D1, F12.1D2, F16.1D6, F20.2C5, F20.2D5, F24.2D3</w:t>
      </w:r>
      <w:r>
        <w:t xml:space="preserve"> </w:t>
      </w:r>
      <w:r>
        <w:t xml:space="preserve">had to be combined to</w:t>
      </w:r>
      <w:r>
        <w:t xml:space="preserve"> </w:t>
      </w:r>
      <w:r>
        <w:t xml:space="preserve">provide enough material for analysis. Only samples collected on the same day</w:t>
      </w:r>
      <w:r>
        <w:t xml:space="preserve"> </w:t>
      </w:r>
      <w:r>
        <w:t xml:space="preserve">were combined with each other (F12.1A5+F12.B1_B, F12.1D1+F12.1D2, F16.1C6+F16.1D6_grind_a, F20.2C5+F20.2D5_grind_a, F24.2C3+F24.2D3_grind_a). Samples from days 7 and 12 did</w:t>
      </w:r>
      <w:r>
        <w:t xml:space="preserve"> </w:t>
      </w:r>
      <w:r>
        <w:t xml:space="preserve">not produce enough material for a grind curve. They were largely composed of</w:t>
      </w:r>
      <w:r>
        <w:t xml:space="preserve"> </w:t>
      </w:r>
      <w:r>
        <w:t xml:space="preserve">organics and proteins, i.e. would not be able to produce a splitting factor, anyway.</w:t>
      </w:r>
    </w:p>
    <w:p>
      <w:pPr>
        <w:pStyle w:val="SourceCode"/>
      </w:pPr>
      <w:r>
        <w:rPr>
          <w:rStyle w:val="NormalTok"/>
        </w:rPr>
        <w:t xml:space="preserve">grind_data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w:t>
      </w:r>
      <w:r>
        <w:rPr>
          <w:rStyle w:val="NormalTok"/>
        </w:rPr>
        <w:t xml:space="preserve"> </w:t>
      </w:r>
      <w:r>
        <w:rPr>
          <w:rStyle w:val="StringTok"/>
        </w:rPr>
        <w:t xml:space="preserve">"Artificial calculus"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p>
      <w:pPr>
        <w:pStyle w:val="TableCaption"/>
      </w:pPr>
      <w:r>
        <w:t xml:space="preserve">Summary of samples used in grinding curves.</w:t>
      </w:r>
    </w:p>
    <w:tbl>
      <w:tblPr>
        <w:tblStyle w:val="Table"/>
        <w:tblW w:type="auto" w:w="0"/>
        <w:tblLook w:firstRow="1" w:lastRow="0" w:firstColumn="0" w:lastColumn="0" w:noHBand="0" w:noVBand="0" w:val="0020"/>
        <w:tblCaption w:val="Summary of samples used in grinding curves."/>
      </w:tblPr>
      <w:tblGrid>
        <w:gridCol w:w="3960"/>
        <w:gridCol w:w="3960"/>
      </w:tblGrid>
      <w:tr>
        <w:trPr>
          <w:tblHeader w:val="true"/>
        </w:trPr>
        <w:tc>
          <w:tcPr/>
          <w:p>
            <w:pPr>
              <w:pStyle w:val="Compact"/>
              <w:jc w:val="right"/>
            </w:pPr>
            <w:r>
              <w:t xml:space="preserve">day</w:t>
            </w:r>
          </w:p>
        </w:tc>
        <w:tc>
          <w:tcPr/>
          <w:p>
            <w:pPr>
              <w:pStyle w:val="Compact"/>
              <w:jc w:val="right"/>
            </w:pPr>
            <w:r>
              <w:t xml:space="preserve">n</w:t>
            </w:r>
          </w:p>
        </w:tc>
      </w:tr>
      <w:tr>
        <w:tc>
          <w:tcPr/>
          <w:p>
            <w:pPr>
              <w:pStyle w:val="Compact"/>
              <w:jc w:val="right"/>
            </w:pPr>
            <w:r>
              <w:t xml:space="preserve">16</w:t>
            </w:r>
          </w:p>
        </w:tc>
        <w:tc>
          <w:tcPr/>
          <w:p>
            <w:pPr>
              <w:pStyle w:val="Compact"/>
              <w:jc w:val="right"/>
            </w:pPr>
            <w:r>
              <w:t xml:space="preserve">16</w:t>
            </w:r>
          </w:p>
        </w:tc>
      </w:tr>
      <w:tr>
        <w:tc>
          <w:tcPr/>
          <w:p>
            <w:pPr>
              <w:pStyle w:val="Compact"/>
              <w:jc w:val="right"/>
            </w:pPr>
            <w:r>
              <w:t xml:space="preserve">20</w:t>
            </w:r>
          </w:p>
        </w:tc>
        <w:tc>
          <w:tcPr/>
          <w:p>
            <w:pPr>
              <w:pStyle w:val="Compact"/>
              <w:jc w:val="right"/>
            </w:pPr>
            <w:r>
              <w:t xml:space="preserve">15</w:t>
            </w:r>
          </w:p>
        </w:tc>
      </w:tr>
      <w:tr>
        <w:tc>
          <w:tcPr/>
          <w:p>
            <w:pPr>
              <w:pStyle w:val="Compact"/>
              <w:jc w:val="right"/>
            </w:pPr>
            <w:r>
              <w:t xml:space="preserve">24</w:t>
            </w:r>
          </w:p>
        </w:tc>
        <w:tc>
          <w:tcPr/>
          <w:p>
            <w:pPr>
              <w:pStyle w:val="Compact"/>
              <w:jc w:val="right"/>
            </w:pPr>
            <w:r>
              <w:t xml:space="preserve">16</w:t>
            </w:r>
          </w:p>
        </w:tc>
      </w:tr>
    </w:tbl>
    <w:bookmarkEnd w:id="21"/>
    <w:bookmarkStart w:id="22" w:name="methods"/>
    <w:p>
      <w:pPr>
        <w:pStyle w:val="Heading2"/>
      </w:pPr>
      <w:r>
        <w:t xml:space="preserve">Methods</w:t>
      </w:r>
    </w:p>
    <w:p>
      <w:pPr>
        <w:pStyle w:val="FirstParagraph"/>
      </w:pPr>
      <w:r>
        <w:t xml:space="preserve">Samples were ground with KBr and pressed under up to two tons of pressure.</w:t>
      </w:r>
      <w:r>
        <w:t xml:space="preserve"> </w:t>
      </w:r>
      <w:r>
        <w:t xml:space="preserve">Repeated measurements were taken and after different grinding durations, and</w:t>
      </w:r>
      <w:r>
        <w:t xml:space="preserve"> </w:t>
      </w:r>
      <w:r>
        <w:t xml:space="preserve">a grind curve was produced following -</w:t>
      </w:r>
      <w:r>
        <w:t xml:space="preserve">@asscherAtomicDisorder2011</w:t>
      </w:r>
      <w:r>
        <w:t xml:space="preserve">.</w:t>
      </w:r>
      <w:r>
        <w:t xml:space="preserve"> </w:t>
      </w:r>
      <w:r>
        <w:t xml:space="preserve">Samples were ground and analysed up to six times (a-f) for the grind curve.</w:t>
      </w:r>
      <w:r>
        <w:t xml:space="preserve"> </w:t>
      </w:r>
      <w:r>
        <w:t xml:space="preserve">The analysis was conducted at Haifa University with a Thermo Nicolet is5</w:t>
      </w:r>
      <w:r>
        <w:t xml:space="preserve"> </w:t>
      </w:r>
      <w:r>
        <w:t xml:space="preserve">spectrometer in transmission,</w:t>
      </w:r>
      <w:r>
        <w:t xml:space="preserve"> </w:t>
      </w:r>
      <w:r>
        <w:t xml:space="preserve">at 4 cm</w:t>
      </w:r>
      <m:oMath>
        <m:sSup>
          <m:e>
            <m:r>
              <m:t>​</m:t>
            </m:r>
          </m:e>
          <m:sup>
            <m:r>
              <m:rPr>
                <m:sty m:val="p"/>
              </m:rPr>
              <m:t>−</m:t>
            </m:r>
            <m:r>
              <m:t>1</m:t>
            </m:r>
          </m:sup>
        </m:sSup>
      </m:oMath>
      <w:r>
        <w:t xml:space="preserve"> </w:t>
      </w:r>
      <w:r>
        <w:t xml:space="preserve">resolution, with an average of 32 scans between wavenumbers 4000</w:t>
      </w:r>
      <w:r>
        <w:t xml:space="preserve"> </w:t>
      </w:r>
      <w:r>
        <w:t xml:space="preserve">and 400 cm</w:t>
      </w:r>
      <m:oMath>
        <m:sSup>
          <m:e>
            <m:r>
              <m:t>​</m:t>
            </m:r>
          </m:e>
          <m:sup>
            <m:r>
              <m:rPr>
                <m:sty m:val="p"/>
              </m:rPr>
              <m:t>−</m:t>
            </m:r>
            <m:r>
              <m:t>1</m:t>
            </m:r>
          </m:sup>
        </m:sSup>
      </m:oMath>
      <w:r>
        <w:t xml:space="preserve">.</w:t>
      </w:r>
      <w:r>
        <w:t xml:space="preserve"> </w:t>
      </w:r>
      <w:r>
        <w:t xml:space="preserve">The splitting factor was calculated following -</w:t>
      </w:r>
      <w:r>
        <w:t xml:space="preserve">@asscherAtomicDisorder2011</w:t>
      </w:r>
      <w:r>
        <w:t xml:space="preserve">,</w:t>
      </w:r>
      <w:r>
        <w:t xml:space="preserve"> </w:t>
      </w:r>
      <w:r>
        <w:t xml:space="preserve">using the full width at half maximum (FWHM) of the main peak at 1035. Grinds a-f</w:t>
      </w:r>
      <w:r>
        <w:t xml:space="preserve"> </w:t>
      </w:r>
      <w:r>
        <w:t xml:space="preserve">represent different levels of grinding. Samples denoted with an</w:t>
      </w:r>
      <w:r>
        <w:t xml:space="preserve"> </w:t>
      </w:r>
      <w:r>
        <w:t xml:space="preserve">‘</w:t>
      </w:r>
      <w:r>
        <w:t xml:space="preserve">a</w:t>
      </w:r>
      <w:r>
        <w:t xml:space="preserve">’</w:t>
      </w:r>
      <w:r>
        <w:t xml:space="preserve"> </w:t>
      </w:r>
      <w:r>
        <w:t xml:space="preserve">were ground</w:t>
      </w:r>
      <w:r>
        <w:t xml:space="preserve"> </w:t>
      </w:r>
      <w:r>
        <w:t xml:space="preserve">for the least amount of time and</w:t>
      </w:r>
      <w:r>
        <w:t xml:space="preserve"> </w:t>
      </w:r>
      <w:r>
        <w:t xml:space="preserve">‘</w:t>
      </w:r>
      <w:r>
        <w:t xml:space="preserve">f</w:t>
      </w:r>
      <w:r>
        <w:t xml:space="preserve">’</w:t>
      </w:r>
      <w:r>
        <w:t xml:space="preserve"> </w:t>
      </w:r>
      <w:r>
        <w:t xml:space="preserve">the most.</w:t>
      </w:r>
    </w:p>
    <w:bookmarkEnd w:id="22"/>
    <w:bookmarkStart w:id="48" w:name="results"/>
    <w:p>
      <w:pPr>
        <w:pStyle w:val="Heading2"/>
      </w:pPr>
      <w:r>
        <w:t xml:space="preserve">Results</w:t>
      </w:r>
    </w:p>
    <w:p>
      <w:pPr>
        <w:pStyle w:val="SourceCode"/>
      </w:pPr>
      <w:r>
        <w:rPr>
          <w:rStyle w:val="NormalTok"/>
        </w:rPr>
        <w:t xml:space="preserve">grind_sample_order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"Archaeological calculus"</w:t>
      </w:r>
      <w:r>
        <w:rPr>
          <w:rStyle w:val="NormalTok"/>
        </w:rPr>
        <w:t xml:space="preserve">,</w:t>
      </w:r>
      <w:r>
        <w:br/>
      </w:r>
      <w:r>
        <w:rPr>
          <w:rStyle w:val="NormalTok"/>
        </w:rPr>
        <w:t xml:space="preserve">  </w:t>
      </w:r>
      <w:r>
        <w:rPr>
          <w:rStyle w:val="StringTok"/>
        </w:rPr>
        <w:t xml:space="preserve">"Artificial calculus day 16"</w:t>
      </w:r>
      <w:r>
        <w:rPr>
          <w:rStyle w:val="NormalTok"/>
        </w:rPr>
        <w:t xml:space="preserve">,</w:t>
      </w:r>
      <w:r>
        <w:br/>
      </w:r>
      <w:r>
        <w:rPr>
          <w:rStyle w:val="NormalTok"/>
        </w:rPr>
        <w:t xml:space="preserve">  </w:t>
      </w:r>
      <w:r>
        <w:rPr>
          <w:rStyle w:val="StringTok"/>
        </w:rPr>
        <w:t xml:space="preserve">"Artificial calculus day 20"</w:t>
      </w:r>
      <w:r>
        <w:rPr>
          <w:rStyle w:val="NormalTok"/>
        </w:rPr>
        <w:t xml:space="preserve">,</w:t>
      </w:r>
      <w:r>
        <w:br/>
      </w:r>
      <w:r>
        <w:rPr>
          <w:rStyle w:val="NormalTok"/>
        </w:rPr>
        <w:t xml:space="preserve">  </w:t>
      </w:r>
      <w:r>
        <w:rPr>
          <w:rStyle w:val="StringTok"/>
        </w:rPr>
        <w:t xml:space="preserve">"Artificial calculus day 24"</w:t>
      </w:r>
      <w:r>
        <w:rPr>
          <w:rStyle w:val="NormalTok"/>
        </w:rPr>
        <w:t xml:space="preserve">,</w:t>
      </w:r>
      <w:r>
        <w:br/>
      </w:r>
      <w:r>
        <w:rPr>
          <w:rStyle w:val="NormalTok"/>
        </w:rPr>
        <w:t xml:space="preserve">  </w:t>
      </w:r>
      <w:r>
        <w:rPr>
          <w:rStyle w:val="StringTok"/>
        </w:rPr>
        <w:t xml:space="preserve">"Archaeological bone"</w:t>
      </w:r>
      <w:r>
        <w:rPr>
          <w:rStyle w:val="NormalTok"/>
        </w:rPr>
        <w:t xml:space="preserve">,</w:t>
      </w:r>
      <w:r>
        <w:br/>
      </w:r>
      <w:r>
        <w:rPr>
          <w:rStyle w:val="NormalTok"/>
        </w:rPr>
        <w:t xml:space="preserve">  </w:t>
      </w:r>
      <w:r>
        <w:rPr>
          <w:rStyle w:val="StringTok"/>
        </w:rPr>
        <w:t xml:space="preserve">"Bone-Dentine"</w:t>
      </w:r>
      <w:r>
        <w:rPr>
          <w:rStyle w:val="NormalTok"/>
        </w:rPr>
        <w:t xml:space="preserve">,</w:t>
      </w:r>
      <w:r>
        <w:br/>
      </w:r>
      <w:r>
        <w:rPr>
          <w:rStyle w:val="NormalTok"/>
        </w:rPr>
        <w:t xml:space="preserve">  </w:t>
      </w:r>
      <w:r>
        <w:rPr>
          <w:rStyle w:val="StringTok"/>
        </w:rPr>
        <w:t xml:space="preserve">"Bone-Dentine_2"</w:t>
      </w:r>
      <w:r>
        <w:rPr>
          <w:rStyle w:val="NormalTok"/>
        </w:rPr>
        <w:t xml:space="preserve">,</w:t>
      </w:r>
      <w:r>
        <w:br/>
      </w:r>
      <w:r>
        <w:rPr>
          <w:rStyle w:val="NormalTok"/>
        </w:rPr>
        <w:t xml:space="preserve">  </w:t>
      </w:r>
      <w:r>
        <w:rPr>
          <w:rStyle w:val="StringTok"/>
        </w:rPr>
        <w:t xml:space="preserve">"Enamel"</w:t>
      </w:r>
      <w:r>
        <w:rPr>
          <w:rStyle w:val="NormalTok"/>
        </w:rPr>
        <w:t xml:space="preserve">,</w:t>
      </w:r>
      <w:r>
        <w:br/>
      </w:r>
      <w:r>
        <w:rPr>
          <w:rStyle w:val="NormalTok"/>
        </w:rPr>
        <w:t xml:space="preserve">  </w:t>
      </w:r>
      <w:r>
        <w:rPr>
          <w:rStyle w:val="StringTok"/>
        </w:rPr>
        <w:t xml:space="preserve">"Enamel_2"</w:t>
      </w:r>
      <w:r>
        <w:rPr>
          <w:rStyle w:val="NormalTok"/>
        </w:rPr>
        <w:t xml:space="preserve">,</w:t>
      </w:r>
      <w:r>
        <w:br/>
      </w:r>
      <w:r>
        <w:rPr>
          <w:rStyle w:val="NormalTok"/>
        </w:rPr>
        <w:t xml:space="preserve">  </w:t>
      </w:r>
      <w:r>
        <w:rPr>
          <w:rStyle w:val="StringTok"/>
        </w:rPr>
        <w:t xml:space="preserve">"Enamel_3"</w:t>
      </w:r>
      <w:r>
        <w:rPr>
          <w:rStyle w:val="NormalTok"/>
        </w:rPr>
        <w:t xml:space="preserve">)</w:t>
      </w:r>
    </w:p>
    <w:p>
      <w:pPr>
        <w:pStyle w:val="SourceCode"/>
      </w:pPr>
      <w:r>
        <w:rPr>
          <w:rStyle w:val="CommentTok"/>
        </w:rPr>
        <w:t xml:space="preserve"># day 7</w:t>
      </w:r>
      <w:r>
        <w:br/>
      </w: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day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"F7"</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"F7.1A6_b"</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CaptionedFigure"/>
      </w:pPr>
      <w:r>
        <w:drawing>
          <wp:inline>
            <wp:extent cx="4620126" cy="3696101"/>
            <wp:effectExtent b="0" l="0" r="0" t="0"/>
            <wp:docPr descr="Spectra from all experiment sampling days." title="" id="24" name="Picture"/>
            <a:graphic>
              <a:graphicData uri="http://schemas.openxmlformats.org/drawingml/2006/picture">
                <pic:pic>
                  <pic:nvPicPr>
                    <pic:cNvPr descr="FTIR-analysis_files/figure-docx/ind-spectra-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Spectra from all experiment sampling days.</w:t>
      </w:r>
    </w:p>
    <w:p>
      <w:pPr>
        <w:pStyle w:val="SourceCode"/>
      </w:pPr>
      <w:r>
        <w:rPr>
          <w:rStyle w:val="CommentTok"/>
        </w:rPr>
        <w:t xml:space="preserve"># day 12</w:t>
      </w:r>
      <w:r>
        <w:br/>
      </w: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day </w:t>
      </w:r>
      <w:r>
        <w:rPr>
          <w:rStyle w:val="SpecialCharTok"/>
        </w:rPr>
        <w:t xml:space="preserve">==</w:t>
      </w:r>
      <w:r>
        <w:rPr>
          <w:rStyle w:val="NormalTok"/>
        </w:rPr>
        <w:t xml:space="preserve"> </w:t>
      </w:r>
      <w:r>
        <w:rPr>
          <w:rStyle w:val="DecValTok"/>
        </w:rPr>
        <w:t xml:space="preserve">12</w:t>
      </w:r>
      <w:r>
        <w:br/>
      </w:r>
      <w:r>
        <w:rPr>
          <w:rStyle w:val="NormalTok"/>
        </w:rPr>
        <w:t xml:space="preserve">    </w:t>
      </w:r>
      <w:r>
        <w:rPr>
          <w:rStyle w:val="CommentTok"/>
        </w:rPr>
        <w:t xml:space="preserve">#sample != "F7",</w:t>
      </w:r>
      <w:r>
        <w:br/>
      </w:r>
      <w:r>
        <w:rPr>
          <w:rStyle w:val="NormalTok"/>
        </w:rPr>
        <w:t xml:space="preserve">    </w:t>
      </w:r>
      <w:r>
        <w:rPr>
          <w:rStyle w:val="CommentTok"/>
        </w:rPr>
        <w:t xml:space="preserve">#sample != "F7.1A6_b"</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CaptionedFigure"/>
      </w:pPr>
      <w:r>
        <w:drawing>
          <wp:inline>
            <wp:extent cx="4620126" cy="3696101"/>
            <wp:effectExtent b="0" l="0" r="0" t="0"/>
            <wp:docPr descr="Spectra from all experiment sampling days." title="" id="27" name="Picture"/>
            <a:graphic>
              <a:graphicData uri="http://schemas.openxmlformats.org/drawingml/2006/picture">
                <pic:pic>
                  <pic:nvPicPr>
                    <pic:cNvPr descr="FTIR-analysis_files/figure-docx/ind-spectra-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Spectra from all experiment sampling days.</w:t>
      </w:r>
    </w:p>
    <w:p>
      <w:pPr>
        <w:pStyle w:val="SourceCode"/>
      </w:pPr>
      <w:r>
        <w:rPr>
          <w:rStyle w:val="CommentTok"/>
        </w:rPr>
        <w:t xml:space="preserve"># day 16</w:t>
      </w:r>
      <w:r>
        <w:br/>
      </w: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day </w:t>
      </w:r>
      <w:r>
        <w:rPr>
          <w:rStyle w:val="SpecialCha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FunctionTok"/>
        </w:rPr>
        <w:t xml:space="preserve">is.na</w:t>
      </w:r>
      <w:r>
        <w:rPr>
          <w:rStyle w:val="NormalTok"/>
        </w:rPr>
        <w:t xml:space="preserve">(grind),</w:t>
      </w:r>
      <w:r>
        <w:br/>
      </w:r>
      <w:r>
        <w:rPr>
          <w:rStyle w:val="NormalTok"/>
        </w:rPr>
        <w:t xml:space="preserve">    sample </w:t>
      </w:r>
      <w:r>
        <w:rPr>
          <w:rStyle w:val="SpecialCharTok"/>
        </w:rPr>
        <w:t xml:space="preserve">!=</w:t>
      </w:r>
      <w:r>
        <w:rPr>
          <w:rStyle w:val="NormalTok"/>
        </w:rPr>
        <w:t xml:space="preserve"> </w:t>
      </w:r>
      <w:r>
        <w:rPr>
          <w:rStyle w:val="StringTok"/>
        </w:rPr>
        <w:t xml:space="preserve">"F16.2D2"</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"F16.1D6"</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"F16.1B2"</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CaptionedFigure"/>
      </w:pPr>
      <w:r>
        <w:drawing>
          <wp:inline>
            <wp:extent cx="4620126" cy="3696101"/>
            <wp:effectExtent b="0" l="0" r="0" t="0"/>
            <wp:docPr descr="Spectra from all experiment sampling days." title="" id="30" name="Picture"/>
            <a:graphic>
              <a:graphicData uri="http://schemas.openxmlformats.org/drawingml/2006/picture">
                <pic:pic>
                  <pic:nvPicPr>
                    <pic:cNvPr descr="FTIR-analysis_files/figure-docx/ind-spectra-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Spectra from all experiment sampling days.</w:t>
      </w:r>
    </w:p>
    <w:p>
      <w:pPr>
        <w:pStyle w:val="SourceCode"/>
      </w:pPr>
      <w:r>
        <w:rPr>
          <w:rStyle w:val="CommentTok"/>
        </w:rPr>
        <w:t xml:space="preserve"># day 24 (final product)</w:t>
      </w:r>
      <w:r>
        <w:br/>
      </w: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day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FunctionTok"/>
        </w:rPr>
        <w:t xml:space="preserve">is.na</w:t>
      </w:r>
      <w:r>
        <w:rPr>
          <w:rStyle w:val="NormalTok"/>
        </w:rPr>
        <w:t xml:space="preserve">(grind),</w:t>
      </w:r>
      <w:r>
        <w:br/>
      </w:r>
      <w:r>
        <w:rPr>
          <w:rStyle w:val="NormalTok"/>
        </w:rPr>
        <w:t xml:space="preserve">    </w:t>
      </w:r>
      <w:r>
        <w:rPr>
          <w:rStyle w:val="FunctionTok"/>
        </w:rPr>
        <w:t xml:space="preserve">str_detect</w:t>
      </w:r>
      <w:r>
        <w:rPr>
          <w:rStyle w:val="NormalTok"/>
        </w:rPr>
        <w:t xml:space="preserve">(sample, </w:t>
      </w:r>
      <w:r>
        <w:rPr>
          <w:rStyle w:val="StringTok"/>
        </w:rPr>
        <w:t xml:space="preserve">"[_]"</w:t>
      </w:r>
      <w:r>
        <w:rPr>
          <w:rStyle w:val="NormalTok"/>
        </w:rPr>
        <w:t xml:space="preserve">, </w:t>
      </w:r>
      <w:r>
        <w:rPr>
          <w:rStyle w:val="AttributeTok"/>
        </w:rPr>
        <w:t xml:space="preserve">negate =</w:t>
      </w:r>
      <w:r>
        <w:rPr>
          <w:rStyle w:val="NormalTok"/>
        </w:rPr>
        <w:t xml:space="preserve"> T),</w:t>
      </w:r>
      <w:r>
        <w:br/>
      </w:r>
      <w:r>
        <w:rPr>
          <w:rStyle w:val="NormalTok"/>
        </w:rPr>
        <w:t xml:space="preserve">    sample </w:t>
      </w:r>
      <w:r>
        <w:rPr>
          <w:rStyle w:val="SpecialCharTok"/>
        </w:rPr>
        <w:t xml:space="preserve">!=</w:t>
      </w:r>
      <w:r>
        <w:rPr>
          <w:rStyle w:val="NormalTok"/>
        </w:rPr>
        <w:t xml:space="preserve"> </w:t>
      </w:r>
      <w:r>
        <w:rPr>
          <w:rStyle w:val="StringTok"/>
        </w:rPr>
        <w:t xml:space="preserve">"F24.1B3"</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"F24.2C3"</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"F24.2D3"</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"F24.2A4"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CaptionedFigure"/>
      </w:pPr>
      <w:r>
        <w:drawing>
          <wp:inline>
            <wp:extent cx="4620126" cy="3696101"/>
            <wp:effectExtent b="0" l="0" r="0" t="0"/>
            <wp:docPr descr="Spectra from all experiment sampling days." title="" id="33" name="Picture"/>
            <a:graphic>
              <a:graphicData uri="http://schemas.openxmlformats.org/drawingml/2006/picture">
                <pic:pic>
                  <pic:nvPicPr>
                    <pic:cNvPr descr="FTIR-analysis_files/figure-docx/ind-spectra-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Spectra from all experiment sampling days.</w:t>
      </w:r>
    </w:p>
    <w:bookmarkStart w:id="35" w:name="day-7"/>
    <w:p>
      <w:pPr>
        <w:pStyle w:val="Heading3"/>
      </w:pPr>
      <w:r>
        <w:t xml:space="preserve">Day 7</w:t>
      </w:r>
    </w:p>
    <w:p>
      <w:pPr>
        <w:pStyle w:val="SourceCode"/>
      </w:pPr>
      <w:r>
        <w:rPr>
          <w:rStyle w:val="NormalTok"/>
        </w:rPr>
        <w:t xml:space="preserve">int_plot_7 </w:t>
      </w:r>
      <w:r>
        <w:rPr>
          <w:rStyle w:val="OtherTok"/>
        </w:rPr>
        <w:t xml:space="preserve">&lt;-</w:t>
      </w:r>
      <w:r>
        <w:rPr>
          <w:rStyle w:val="NormalTok"/>
        </w:rPr>
        <w:t xml:space="preserve"> 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"F7.1A6"</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r>
        <w:br/>
      </w:r>
      <w:r>
        <w:br/>
      </w:r>
      <w:r>
        <w:rPr>
          <w:rStyle w:val="NormalTok"/>
        </w:rPr>
        <w:t xml:space="preserve">plotly</w:t>
      </w:r>
      <w:r>
        <w:rPr>
          <w:rStyle w:val="SpecialCharTok"/>
        </w:rPr>
        <w:t xml:space="preserve">::</w:t>
      </w:r>
      <w:r>
        <w:rPr>
          <w:rStyle w:val="FunctionTok"/>
        </w:rPr>
        <w:t xml:space="preserve">ggplotly</w:t>
      </w:r>
      <w:r>
        <w:rPr>
          <w:rStyle w:val="NormalTok"/>
        </w:rPr>
        <w:t xml:space="preserve">(int_plot_7)</w:t>
      </w:r>
    </w:p>
    <w:p>
      <w:pPr>
        <w:pStyle w:val="FirstParagraph"/>
      </w:pPr>
      <w:r>
        <w:t xml:space="preserve">Day 7 spectra have large O–H and amide A absorbance bands in stretching mode around 3400 cm</w:t>
      </w:r>
      <m:oMath>
        <m:sSup>
          <m:e>
            <m:r>
              <m:t>​</m:t>
            </m:r>
          </m:e>
          <m:sup>
            <m:r>
              <m:rPr>
                <m:sty m:val="p"/>
              </m:rPr>
              <m:t>−</m:t>
            </m:r>
            <m:r>
              <m:t>1</m:t>
            </m:r>
          </m:sup>
        </m:sSup>
      </m:oMath>
      <w:r>
        <w:t xml:space="preserve">,</w:t>
      </w:r>
      <w:r>
        <w:t xml:space="preserve"> </w:t>
      </w:r>
      <w:r>
        <w:t xml:space="preserve">as well as three marked CH</w:t>
      </w:r>
      <w:r>
        <w:rPr>
          <w:vertAlign w:val="subscript"/>
        </w:rPr>
        <w:t xml:space="preserve">3</w:t>
      </w:r>
      <w:r>
        <w:t xml:space="preserve"> </w:t>
      </w:r>
      <w:r>
        <w:t xml:space="preserve">and CH</w:t>
      </w:r>
      <m:oMath>
        <m:sSub>
          <m:e>
            <m:r>
              <m:t>​</m:t>
            </m:r>
          </m:e>
          <m:sub>
            <m:r>
              <m:t>2</m:t>
            </m:r>
          </m:sub>
        </m:sSub>
      </m:oMath>
      <w:r>
        <w:t xml:space="preserve"> </w:t>
      </w:r>
      <w:r>
        <w:t xml:space="preserve">stretching vibrations at 2960,</w:t>
      </w:r>
      <w:r>
        <w:t xml:space="preserve"> </w:t>
      </w:r>
      <w:r>
        <w:t xml:space="preserve">2920, and 2850 cm</w:t>
      </w:r>
      <m:oMath>
        <m:sSup>
          <m:e>
            <m:r>
              <m:t>​</m:t>
            </m:r>
          </m:e>
          <m:sup>
            <m:r>
              <m:rPr>
                <m:sty m:val="p"/>
              </m:rPr>
              <m:t>−</m:t>
            </m:r>
            <m:r>
              <m:t>1</m:t>
            </m:r>
          </m:sup>
        </m:sSup>
      </m:oMath>
      <w:r>
        <w:t xml:space="preserve">. There is a clear amide I peak at 1650 and a less</w:t>
      </w:r>
      <w:r>
        <w:t xml:space="preserve"> </w:t>
      </w:r>
      <w:r>
        <w:t xml:space="preserve">pronounced amide II peak at 1545 cm</w:t>
      </w:r>
      <m:oMath>
        <m:sSup>
          <m:e>
            <m:r>
              <m:t>​</m:t>
            </m:r>
          </m:e>
          <m:sup>
            <m:r>
              <m:rPr>
                <m:sty m:val="p"/>
              </m:rPr>
              <m:t>−</m:t>
            </m:r>
            <m:r>
              <m:t>1</m:t>
            </m:r>
          </m:sup>
        </m:sSup>
      </m:oMath>
      <w:r>
        <w:t xml:space="preserve">.</w:t>
      </w:r>
      <w:r>
        <w:t xml:space="preserve"> </w:t>
      </w:r>
      <w:r>
        <w:t xml:space="preserve">In the</w:t>
      </w:r>
      <w:r>
        <w:t xml:space="preserve"> </w:t>
      </w:r>
      <w:r>
        <w:t xml:space="preserve">‘</w:t>
      </w:r>
      <w:r>
        <w:t xml:space="preserve">fingerprint</w:t>
      </w:r>
      <w:r>
        <w:t xml:space="preserve">’</w:t>
      </w:r>
      <w:r>
        <w:t xml:space="preserve"> </w:t>
      </w:r>
      <w:r>
        <w:t xml:space="preserve">region, C–O</w:t>
      </w:r>
      <m:oMath>
        <m:sSubSup>
          <m:e>
            <m:r>
              <m:t>​</m:t>
            </m:r>
          </m:e>
          <m:sub>
            <m:r>
              <m:t>3</m:t>
            </m:r>
          </m:sub>
          <m:sup>
            <m:r>
              <m:t>2</m:t>
            </m:r>
            <m:r>
              <m:rPr>
                <m:sty m:val="p"/>
              </m:rPr>
              <m:t>−</m:t>
            </m:r>
          </m:sup>
        </m:sSubSup>
      </m:oMath>
      <w:r>
        <w:t xml:space="preserve"> </w:t>
      </w:r>
      <w:r>
        <w:t xml:space="preserve">at 1400 absorbance band corresponding to the v</w:t>
      </w:r>
      <w:r>
        <w:rPr>
          <w:vertAlign w:val="subscript"/>
        </w:rPr>
        <w:t xml:space="preserve">3</w:t>
      </w:r>
      <w:r>
        <w:t xml:space="preserve"> </w:t>
      </w:r>
      <w:r>
        <w:t xml:space="preserve">stretching vibrations, P–O</w:t>
      </w:r>
      <w:r>
        <w:rPr>
          <w:vertAlign w:val="subscript"/>
        </w:rPr>
        <w:t xml:space="preserve">4</w:t>
      </w:r>
      <w:r>
        <w:t xml:space="preserve"> </w:t>
      </w:r>
      <w:r>
        <w:t xml:space="preserve">absorbance band</w:t>
      </w:r>
      <w:r>
        <w:t xml:space="preserve"> </w:t>
      </w:r>
      <w:r>
        <w:t xml:space="preserve">corresponding to the v</w:t>
      </w:r>
      <w:r>
        <w:rPr>
          <w:vertAlign w:val="subscript"/>
        </w:rPr>
        <w:t xml:space="preserve">3</w:t>
      </w:r>
      <w:r>
        <w:t xml:space="preserve"> </w:t>
      </w:r>
      <w:r>
        <w:t xml:space="preserve">antisymmetric stretching vibrations</w:t>
      </w:r>
      <w:r>
        <w:t xml:space="preserve"> </w:t>
      </w:r>
      <w:r>
        <w:t xml:space="preserve">at 1080 cm</w:t>
      </w:r>
      <m:oMath>
        <m:sSup>
          <m:e>
            <m:r>
              <m:t>​</m:t>
            </m:r>
          </m:e>
          <m:sup>
            <m:r>
              <m:rPr>
                <m:sty m:val="p"/>
              </m:rPr>
              <m:t>−</m:t>
            </m:r>
            <m:r>
              <m:t>1</m:t>
            </m:r>
          </m:sup>
        </m:sSup>
      </m:oMath>
      <w:r>
        <w:t xml:space="preserve">, and minor phosphate absorption bands around 500 cm</w:t>
      </w:r>
      <m:oMath>
        <m:sSup>
          <m:e>
            <m:r>
              <m:t>​</m:t>
            </m:r>
          </m:e>
          <m:sup>
            <m:r>
              <m:rPr>
                <m:sty m:val="p"/>
              </m:rPr>
              <m:t>−</m:t>
            </m:r>
            <m:r>
              <m:t>1</m:t>
            </m:r>
          </m:sup>
        </m:sSup>
      </m:oMath>
      <w:r>
        <w:t xml:space="preserve"> </w:t>
      </w:r>
      <w:r>
        <w:t xml:space="preserve">in</w:t>
      </w:r>
      <w:r>
        <w:t xml:space="preserve"> </w:t>
      </w:r>
      <w:r>
        <w:t xml:space="preserve">sample F7.1A6, but absent in sample F7.2D1. The absorption bands at 1080</w:t>
      </w:r>
      <w:r>
        <w:t xml:space="preserve"> </w:t>
      </w:r>
      <w:r>
        <w:t xml:space="preserve">cm</w:t>
      </w:r>
      <m:oMath>
        <m:sSup>
          <m:e>
            <m:r>
              <m:t>​</m:t>
            </m:r>
          </m:e>
          <m:sup>
            <m:r>
              <m:rPr>
                <m:sty m:val="p"/>
              </m:rPr>
              <m:t>−</m:t>
            </m:r>
            <m:r>
              <m:t>1</m:t>
            </m:r>
          </m:sup>
        </m:sSup>
      </m:oMath>
      <w:r>
        <w:t xml:space="preserve"> </w:t>
      </w:r>
      <w:r>
        <w:t xml:space="preserve">could also be a C–N stretching mode from aliphatic amines.</w:t>
      </w:r>
      <w:r>
        <w:t xml:space="preserve"> </w:t>
      </w:r>
      <w:r>
        <w:t xml:space="preserve">The relative absorbance of O–H and Amide I and II bands are higher than the</w:t>
      </w:r>
      <w:r>
        <w:t xml:space="preserve"> </w:t>
      </w:r>
      <w:r>
        <w:t xml:space="preserve">phosphate bands, representing a relatively higher content of lipids and proteins</w:t>
      </w:r>
      <w:r>
        <w:t xml:space="preserve"> </w:t>
      </w:r>
      <w:r>
        <w:t xml:space="preserve">than inorganic content. Large variation between spectra.</w:t>
      </w:r>
    </w:p>
    <w:bookmarkEnd w:id="35"/>
    <w:bookmarkStart w:id="39" w:name="day-12"/>
    <w:p>
      <w:pPr>
        <w:pStyle w:val="Heading3"/>
      </w:pPr>
      <w:r>
        <w:t xml:space="preserve">Day 12</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"F12.1D1+F12.1D2"</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TIR-analysis_files/figure-docx/int-plot-day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ggplotly</w:t>
      </w:r>
      <w:r>
        <w:rPr>
          <w:rStyle w:val="NormalTok"/>
        </w:rPr>
        <w:t xml:space="preserve">()</w:t>
      </w:r>
    </w:p>
    <w:p>
      <w:pPr>
        <w:pStyle w:val="FirstParagraph"/>
      </w:pPr>
      <w:r>
        <w:t xml:space="preserve">Day 12, amide I and II continue to be the dominant peaks, and a higher ratio</w:t>
      </w:r>
      <w:r>
        <w:t xml:space="preserve"> </w:t>
      </w:r>
      <w:r>
        <w:t xml:space="preserve">of both amide and O–H to PO</w:t>
      </w:r>
      <w:r>
        <w:rPr>
          <w:vertAlign w:val="subscript"/>
        </w:rPr>
        <w:t xml:space="preserve">4</w:t>
      </w:r>
      <w:r>
        <w:t xml:space="preserve"> </w:t>
      </w:r>
      <w:r>
        <w:t xml:space="preserve">v</w:t>
      </w:r>
      <w:r>
        <w:rPr>
          <w:vertAlign w:val="subscript"/>
        </w:rPr>
        <w:t xml:space="preserve">3</w:t>
      </w:r>
      <w:r>
        <w:t xml:space="preserve"> </w:t>
      </w:r>
      <w:r>
        <w:t xml:space="preserve">absorbance bands.</w:t>
      </w:r>
      <w:r>
        <w:t xml:space="preserve"> </w:t>
      </w:r>
      <w:r>
        <w:t xml:space="preserve">Three marked CH</w:t>
      </w:r>
      <w:r>
        <w:rPr>
          <w:vertAlign w:val="subscript"/>
        </w:rPr>
        <w:t xml:space="preserve">3</w:t>
      </w:r>
      <w:r>
        <w:t xml:space="preserve"> </w:t>
      </w:r>
      <w:r>
        <w:t xml:space="preserve">and CH</w:t>
      </w:r>
      <m:oMath>
        <m:sSub>
          <m:e>
            <m:r>
              <m:t>​</m:t>
            </m:r>
          </m:e>
          <m:sub>
            <m:r>
              <m:t>2</m:t>
            </m:r>
          </m:sub>
        </m:sSub>
      </m:oMath>
      <w:r>
        <w:t xml:space="preserve"> </w:t>
      </w:r>
      <w:r>
        <w:t xml:space="preserve">stretching vibrations at 2960,</w:t>
      </w:r>
      <w:r>
        <w:t xml:space="preserve"> </w:t>
      </w:r>
      <w:r>
        <w:t xml:space="preserve">2920, and 2850 cm</w:t>
      </w:r>
      <m:oMath>
        <m:sSup>
          <m:e>
            <m:r>
              <m:t>​</m:t>
            </m:r>
          </m:e>
          <m:sup>
            <m:r>
              <m:rPr>
                <m:sty m:val="p"/>
              </m:rPr>
              <m:t>−</m:t>
            </m:r>
            <m:r>
              <m:t>1</m:t>
            </m:r>
          </m:sup>
        </m:sSup>
      </m:oMath>
      <w:r>
        <w:t xml:space="preserve">. Reduced variation between two of the three spectra.</w:t>
      </w:r>
    </w:p>
    <w:p>
      <w:pPr>
        <w:pStyle w:val="BodyText"/>
      </w:pPr>
      <w:r>
        <w:t xml:space="preserve">What is the absorbance band at 1080?? Is it actually Phosphate??</w:t>
      </w:r>
    </w:p>
    <w:bookmarkEnd w:id="39"/>
    <w:bookmarkStart w:id="43" w:name="day-16"/>
    <w:p>
      <w:pPr>
        <w:pStyle w:val="Heading3"/>
      </w:pPr>
      <w:r>
        <w:t xml:space="preserve">Day 16</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"F16.2B2"</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TIR-analysis_files/figure-docx/int-plot-day1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ggplotly</w:t>
      </w:r>
      <w:r>
        <w:rPr>
          <w:rStyle w:val="NormalTok"/>
        </w:rPr>
        <w:t xml:space="preserve">()</w:t>
      </w:r>
    </w:p>
    <w:p>
      <w:pPr>
        <w:pStyle w:val="FirstParagraph"/>
      </w:pPr>
      <w:r>
        <w:t xml:space="preserve">Day 16, the ratio of O–H and amides to PO</w:t>
      </w:r>
      <w:r>
        <w:rPr>
          <w:vertAlign w:val="subscript"/>
        </w:rPr>
        <w:t xml:space="preserve">4</w:t>
      </w:r>
      <w:r>
        <w:t xml:space="preserve"> </w:t>
      </w:r>
      <w:r>
        <w:t xml:space="preserve">has shifted, with</w:t>
      </w:r>
      <w:r>
        <w:t xml:space="preserve"> </w:t>
      </w:r>
      <w:r>
        <w:t xml:space="preserve">the main peak shifting to the PO</w:t>
      </w:r>
      <w:r>
        <w:rPr>
          <w:vertAlign w:val="subscript"/>
        </w:rPr>
        <w:t xml:space="preserve">4</w:t>
      </w:r>
      <w:r>
        <w:t xml:space="preserve"> </w:t>
      </w:r>
      <w:r>
        <w:t xml:space="preserve">v</w:t>
      </w:r>
      <w:r>
        <w:rPr>
          <w:vertAlign w:val="subscript"/>
        </w:rPr>
        <w:t xml:space="preserve">3</w:t>
      </w:r>
      <w:r>
        <w:t xml:space="preserve"> </w:t>
      </w:r>
      <w:r>
        <w:t xml:space="preserve">absorbance band at 1040</w:t>
      </w:r>
      <w:r>
        <w:t xml:space="preserve"> </w:t>
      </w:r>
      <w:r>
        <w:t xml:space="preserve">(except in sample F16.1A2). A well-defined PO</w:t>
      </w:r>
      <w:r>
        <w:rPr>
          <w:vertAlign w:val="subscript"/>
        </w:rPr>
        <w:t xml:space="preserve">4</w:t>
      </w:r>
      <w:r>
        <w:t xml:space="preserve"> </w:t>
      </w:r>
      <w:r>
        <w:t xml:space="preserve">doublet at 600 and 560 is</w:t>
      </w:r>
      <w:r>
        <w:t xml:space="preserve"> </w:t>
      </w:r>
      <w:r>
        <w:t xml:space="preserve">present. Small CO</w:t>
      </w:r>
      <m:oMath>
        <m:sSubSup>
          <m:e>
            <m:r>
              <m:t>​</m:t>
            </m:r>
          </m:e>
          <m:sub>
            <m:r>
              <m:t>3</m:t>
            </m:r>
          </m:sub>
          <m:sup>
            <m:r>
              <m:t>2</m:t>
            </m:r>
            <m:r>
              <m:rPr>
                <m:sty m:val="p"/>
              </m:rPr>
              <m:t>−</m:t>
            </m:r>
          </m:sup>
        </m:sSubSup>
      </m:oMath>
      <w:r>
        <w:t xml:space="preserve"> </w:t>
      </w:r>
      <w:r>
        <w:t xml:space="preserve">stretching vibrations at 870 cm$^{-1}.</w:t>
      </w:r>
      <w:r>
        <w:t xml:space="preserve"> </w:t>
      </w:r>
      <w:r>
        <w:t xml:space="preserve">Decreased variability between the spectra, with most spectra exhibiting a</w:t>
      </w:r>
      <w:r>
        <w:t xml:space="preserve"> </w:t>
      </w:r>
      <w:r>
        <w:t xml:space="preserve">higher phosphate-to-protein/lipid ratio.</w:t>
      </w:r>
    </w:p>
    <w:bookmarkEnd w:id="43"/>
    <w:bookmarkStart w:id="47" w:name="day-24"/>
    <w:p>
      <w:pPr>
        <w:pStyle w:val="Heading3"/>
      </w:pPr>
      <w:r>
        <w:t xml:space="preserve">Day 24</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"F24.1D3"</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TIR-analysis_files/figure-docx/int-plot-day2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ggplotly</w:t>
      </w:r>
      <w:r>
        <w:rPr>
          <w:rStyle w:val="NormalTok"/>
        </w:rPr>
        <w:t xml:space="preserve">()</w:t>
      </w:r>
    </w:p>
    <w:p>
      <w:pPr>
        <w:pStyle w:val="FirstParagraph"/>
      </w:pPr>
      <w:r>
        <w:t xml:space="preserve">Day 24, large O–H and amide A absorbance bands in stretching mode around 3400 cm</w:t>
      </w:r>
      <m:oMath>
        <m:sSup>
          <m:e>
            <m:r>
              <m:t>​</m:t>
            </m:r>
          </m:e>
          <m:sup>
            <m:r>
              <m:rPr>
                <m:sty m:val="p"/>
              </m:rPr>
              <m:t>−</m:t>
            </m:r>
            <m:r>
              <m:t>1</m:t>
            </m:r>
          </m:sup>
        </m:sSup>
      </m:oMath>
      <w:r>
        <w:t xml:space="preserve">,</w:t>
      </w:r>
      <w:r>
        <w:t xml:space="preserve"> </w:t>
      </w:r>
      <w:r>
        <w:t xml:space="preserve">as well as three minor CH</w:t>
      </w:r>
      <w:r>
        <w:rPr>
          <w:vertAlign w:val="subscript"/>
        </w:rPr>
        <w:t xml:space="preserve">3</w:t>
      </w:r>
      <w:r>
        <w:t xml:space="preserve"> </w:t>
      </w:r>
      <w:r>
        <w:t xml:space="preserve">and CH</w:t>
      </w:r>
      <m:oMath>
        <m:sSub>
          <m:e>
            <m:r>
              <m:t>​</m:t>
            </m:r>
          </m:e>
          <m:sub>
            <m:r>
              <m:t>2</m:t>
            </m:r>
          </m:sub>
        </m:sSub>
      </m:oMath>
      <w:r>
        <w:t xml:space="preserve"> </w:t>
      </w:r>
      <w:r>
        <w:t xml:space="preserve">stretching vibrations at 2960,</w:t>
      </w:r>
      <w:r>
        <w:t xml:space="preserve"> </w:t>
      </w:r>
      <w:r>
        <w:t xml:space="preserve">2920, and 2850 cm</w:t>
      </w:r>
      <m:oMath>
        <m:sSup>
          <m:e>
            <m:r>
              <m:t>​</m:t>
            </m:r>
          </m:e>
          <m:sup>
            <m:r>
              <m:rPr>
                <m:sty m:val="p"/>
              </m:rPr>
              <m:t>−</m:t>
            </m:r>
            <m:r>
              <m:t>1</m:t>
            </m:r>
          </m:sup>
        </m:sSup>
      </m:oMath>
      <w:r>
        <w:t xml:space="preserve">.</w:t>
      </w:r>
      <w:r>
        <w:t xml:space="preserve"> </w:t>
      </w:r>
      <w:r>
        <w:t xml:space="preserve">Main peak of spectra is PO</w:t>
      </w:r>
      <w:r>
        <w:rPr>
          <w:vertAlign w:val="subscript"/>
        </w:rPr>
        <w:t xml:space="preserve">4</w:t>
      </w:r>
      <w:r>
        <w:t xml:space="preserve"> </w:t>
      </w:r>
      <w:r>
        <w:t xml:space="preserve">v</w:t>
      </w:r>
      <w:r>
        <w:rPr>
          <w:vertAlign w:val="subscript"/>
        </w:rPr>
        <w:t xml:space="preserve">3</w:t>
      </w:r>
      <w:r>
        <w:t xml:space="preserve"> </w:t>
      </w:r>
      <w:r>
        <w:t xml:space="preserve">at 1040</w:t>
      </w:r>
      <w:r>
        <w:t xml:space="preserve"> </w:t>
      </w:r>
      <w:r>
        <w:t xml:space="preserve">cm</w:t>
      </w:r>
      <m:oMath>
        <m:sSup>
          <m:e>
            <m:r>
              <m:t>​</m:t>
            </m:r>
          </m:e>
          <m:sup>
            <m:r>
              <m:rPr>
                <m:sty m:val="p"/>
              </m:rPr>
              <m:t>−</m:t>
            </m:r>
            <m:r>
              <m:t>1</m:t>
            </m:r>
          </m:sup>
        </m:sSup>
      </m:oMath>
      <w:r>
        <w:t xml:space="preserve">, well-defined PO</w:t>
      </w:r>
      <w:r>
        <w:rPr>
          <w:vertAlign w:val="subscript"/>
        </w:rPr>
        <w:t xml:space="preserve">4</w:t>
      </w:r>
      <w:r>
        <w:t xml:space="preserve"> </w:t>
      </w:r>
      <w:r>
        <w:t xml:space="preserve">doublet at 600-550 cm</w:t>
      </w:r>
      <m:oMath>
        <m:sSup>
          <m:e>
            <m:r>
              <m:t>​</m:t>
            </m:r>
          </m:e>
          <m:sup>
            <m:r>
              <m:rPr>
                <m:sty m:val="p"/>
              </m:rPr>
              <m:t>−</m:t>
            </m:r>
            <m:r>
              <m:t>1</m:t>
            </m:r>
          </m:sup>
        </m:sSup>
      </m:oMath>
      <w:r>
        <w:t xml:space="preserve">. Amide I band,</w:t>
      </w:r>
      <w:r>
        <w:t xml:space="preserve"> </w:t>
      </w:r>
      <w:r>
        <w:t xml:space="preserve">with small amide II and III bands. Carbonate peaks also present.</w:t>
      </w:r>
      <w:r>
        <w:t xml:space="preserve"> </w:t>
      </w:r>
      <w:r>
        <w:t xml:space="preserve">Very little variation between all of the spectra.</w:t>
      </w:r>
    </w:p>
    <w:bookmarkEnd w:id="47"/>
    <w:bookmarkEnd w:id="48"/>
    <w:bookmarkStart w:id="52" w:name="across-sampling-days"/>
    <w:p>
      <w:pPr>
        <w:pStyle w:val="Heading2"/>
      </w:pPr>
      <w:r>
        <w:t xml:space="preserve">Across sampling days</w:t>
      </w:r>
    </w:p>
    <w:p>
      <w:pPr>
        <w:pStyle w:val="SourceCode"/>
      </w:pPr>
      <w:r>
        <w:rPr>
          <w:rStyle w:val="CommentTok"/>
        </w:rPr>
        <w:t xml:space="preserve"># day 6: F7.1A6</w:t>
      </w:r>
      <w:r>
        <w:br/>
      </w:r>
      <w:r>
        <w:rPr>
          <w:rStyle w:val="CommentTok"/>
        </w:rPr>
        <w:t xml:space="preserve"># day 12: F12.1D1+F12.1D2</w:t>
      </w:r>
      <w:r>
        <w:br/>
      </w:r>
      <w:r>
        <w:rPr>
          <w:rStyle w:val="CommentTok"/>
        </w:rPr>
        <w:t xml:space="preserve"># day 16: F16.2B2</w:t>
      </w:r>
      <w:r>
        <w:br/>
      </w:r>
      <w:r>
        <w:rPr>
          <w:rStyle w:val="CommentTok"/>
        </w:rPr>
        <w:t xml:space="preserve"># day 24: F24.1D3 </w:t>
      </w:r>
      <w:r>
        <w:br/>
      </w: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"F7.1A6"</w:t>
      </w:r>
      <w:r>
        <w:rPr>
          <w:rStyle w:val="NormalTok"/>
        </w:rPr>
        <w:t xml:space="preserve"> </w:t>
      </w:r>
      <w:r>
        <w:rPr>
          <w:rStyle w:val="SpecialChar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"F12.1D1+F12.1D2"</w:t>
      </w:r>
      <w:r>
        <w:rPr>
          <w:rStyle w:val="NormalTok"/>
        </w:rPr>
        <w:t xml:space="preserve"> </w:t>
      </w:r>
      <w:r>
        <w:rPr>
          <w:rStyle w:val="SpecialChar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"F16.2B2"</w:t>
      </w:r>
      <w:r>
        <w:rPr>
          <w:rStyle w:val="NormalTok"/>
        </w:rPr>
        <w:t xml:space="preserve"> </w:t>
      </w:r>
      <w:r>
        <w:rPr>
          <w:rStyle w:val="SpecialChar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"F24.1D3"</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 =</w:t>
      </w:r>
      <w:r>
        <w:rPr>
          <w:rStyle w:val="NormalTok"/>
        </w:rPr>
        <w:t xml:space="preserve"> </w:t>
      </w:r>
      <w:r>
        <w:rPr>
          <w:rStyle w:val="FunctionTok"/>
        </w:rPr>
        <w:t xml:space="preserve">case_when</w:t>
      </w:r>
      <w:r>
        <w:rPr>
          <w:rStyle w:val="NormalTok"/>
        </w:rPr>
        <w:t xml:space="preserve">(sample </w:t>
      </w:r>
      <w:r>
        <w:rPr>
          <w:rStyle w:val="SpecialCharTok"/>
        </w:rPr>
        <w:t xml:space="preserve">==</w:t>
      </w:r>
      <w:r>
        <w:rPr>
          <w:rStyle w:val="NormalTok"/>
        </w:rPr>
        <w:t xml:space="preserve"> </w:t>
      </w:r>
      <w:r>
        <w:rPr>
          <w:rStyle w:val="StringTok"/>
        </w:rPr>
        <w:t xml:space="preserve">"F7.1A6"</w:t>
      </w:r>
      <w:r>
        <w:rPr>
          <w:rStyle w:val="NormalTok"/>
        </w:rPr>
        <w:t xml:space="preserve"> </w:t>
      </w:r>
      <w:r>
        <w:rPr>
          <w:rStyle w:val="SpecialCharTok"/>
        </w:rPr>
        <w:t xml:space="preserve">~</w:t>
      </w:r>
      <w:r>
        <w:rPr>
          <w:rStyle w:val="NormalTok"/>
        </w:rPr>
        <w:t xml:space="preserve"> abs </w:t>
      </w:r>
      <w:r>
        <w:rPr>
          <w:rStyle w:val="SpecialCharTok"/>
        </w:rPr>
        <w:t xml:space="preserve">+</w:t>
      </w:r>
      <w:r>
        <w:rPr>
          <w:rStyle w:val="NormalTok"/>
        </w:rPr>
        <w:t xml:space="preserve"> </w:t>
      </w:r>
      <w:r>
        <w:rPr>
          <w:rStyle w:val="FloatTok"/>
        </w:rPr>
        <w:t xml:space="preserve">1.35</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"F12.1D1+F12.1D2"</w:t>
      </w:r>
      <w:r>
        <w:rPr>
          <w:rStyle w:val="NormalTok"/>
        </w:rPr>
        <w:t xml:space="preserve"> </w:t>
      </w:r>
      <w:r>
        <w:rPr>
          <w:rStyle w:val="SpecialCharTok"/>
        </w:rPr>
        <w:t xml:space="preserve">~</w:t>
      </w:r>
      <w:r>
        <w:rPr>
          <w:rStyle w:val="NormalTok"/>
        </w:rPr>
        <w:t xml:space="preserve"> abs </w:t>
      </w:r>
      <w:r>
        <w:rPr>
          <w:rStyle w:val="SpecialCha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"F16.2B2"</w:t>
      </w:r>
      <w:r>
        <w:rPr>
          <w:rStyle w:val="NormalTok"/>
        </w:rPr>
        <w:t xml:space="preserve"> </w:t>
      </w:r>
      <w:r>
        <w:rPr>
          <w:rStyle w:val="SpecialCharTok"/>
        </w:rPr>
        <w:t xml:space="preserve">~</w:t>
      </w:r>
      <w:r>
        <w:rPr>
          <w:rStyle w:val="NormalTok"/>
        </w:rPr>
        <w:t xml:space="preserve"> abs </w:t>
      </w:r>
      <w:r>
        <w:rPr>
          <w:rStyle w:val="SpecialCha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p>
    <w:p>
      <w:pPr>
        <w:pStyle w:val="CaptionedFigure"/>
      </w:pPr>
      <w:r>
        <w:drawing>
          <wp:inline>
            <wp:extent cx="4620126" cy="3696101"/>
            <wp:effectExtent b="0" l="0" r="0" t="0"/>
            <wp:docPr descr="Select samples from all sampling days." title="" id="50" name="Picture"/>
            <a:graphic>
              <a:graphicData uri="http://schemas.openxmlformats.org/drawingml/2006/picture">
                <pic:pic>
                  <pic:nvPicPr>
                    <pic:cNvPr descr="FTIR-analysis_files/figure-docx/all-day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Select samples from all sampling days.</w:t>
      </w:r>
    </w:p>
    <w:p>
      <w:pPr>
        <w:pStyle w:val="BodyText"/>
      </w:pPr>
      <w:r>
        <w:t xml:space="preserve">The main difference in the samples across the experiment, with</w:t>
      </w:r>
      <w:r>
        <w:t xml:space="preserve"> </w:t>
      </w:r>
      <w:r>
        <w:t xml:space="preserve">increasing age, is an</w:t>
      </w:r>
      <w:r>
        <w:t xml:space="preserve"> </w:t>
      </w:r>
      <w:r>
        <w:t xml:space="preserve">increase in the main peak at around 1040 cm-1, appearance of</w:t>
      </w:r>
      <w:r>
        <w:t xml:space="preserve"> </w:t>
      </w:r>
      <w:r>
        <w:t xml:space="preserve">the phosphate doublet around 600 and 560 cm-1 between day 12</w:t>
      </w:r>
      <w:r>
        <w:t xml:space="preserve"> </w:t>
      </w:r>
      <w:r>
        <w:t xml:space="preserve">and 16, an increase</w:t>
      </w:r>
      <w:r>
        <w:t xml:space="preserve"> </w:t>
      </w:r>
      <w:r>
        <w:t xml:space="preserve">in the ratio of the Amide I/II to peaks at around 1650 and 1540 cm-1,</w:t>
      </w:r>
      <w:r>
        <w:t xml:space="preserve"> </w:t>
      </w:r>
      <w:r>
        <w:t xml:space="preserve">and a reduction of the C–H2 and C–H3 stretching vibrations.</w:t>
      </w:r>
    </w:p>
    <w:p>
      <w:pPr>
        <w:pStyle w:val="BodyText"/>
      </w:pPr>
      <w:r>
        <w:t xml:space="preserve">High lipid and protein content consistent with the presence of extracellular</w:t>
      </w:r>
      <w:r>
        <w:t xml:space="preserve"> </w:t>
      </w:r>
      <w:r>
        <w:t xml:space="preserve">polysaccharides and bacteria within a matrix. Microbial DNA and RNA may be</w:t>
      </w:r>
      <w:r>
        <w:t xml:space="preserve"> </w:t>
      </w:r>
      <w:r>
        <w:t xml:space="preserve">visible from peaks around 1200–800 cm</w:t>
      </w:r>
      <m:oMath>
        <m:sSup>
          <m:e>
            <m:r>
              <m:t>​</m:t>
            </m:r>
          </m:e>
          <m:sup>
            <m:r>
              <m:rPr>
                <m:sty m:val="p"/>
              </m:rPr>
              <m:t>−</m:t>
            </m:r>
            <m:r>
              <m:t>1</m:t>
            </m:r>
          </m:sup>
        </m:sSup>
      </m:oMath>
      <w:r>
        <w:t xml:space="preserve"> </w:t>
      </w:r>
      <w:r>
        <w:t xml:space="preserve">on days 7 and 12, which are</w:t>
      </w:r>
      <w:r>
        <w:t xml:space="preserve"> </w:t>
      </w:r>
      <w:r>
        <w:t xml:space="preserve">later obscured by the increasing phosphate peak at 1040 cm</w:t>
      </w:r>
      <m:oMath>
        <m:sSup>
          <m:e>
            <m:r>
              <m:t>​</m:t>
            </m:r>
          </m:e>
          <m:sup>
            <m:r>
              <m:rPr>
                <m:sty m:val="p"/>
              </m:rPr>
              <m:t>−</m:t>
            </m:r>
            <m:r>
              <m:t>1</m:t>
            </m:r>
          </m:sup>
        </m:sSup>
      </m:oMath>
      <w:r>
        <w:t xml:space="preserve"> </w:t>
      </w:r>
      <w:r>
        <w:t xml:space="preserve">[@jainIsolationCharacterization2013]</w:t>
      </w:r>
      <w:r>
        <w:t xml:space="preserve">. The presence of water indicated by</w:t>
      </w:r>
      <w:r>
        <w:t xml:space="preserve"> </w:t>
      </w:r>
      <w:r>
        <w:t xml:space="preserve">the O–H stretch is also consistent with a biofilm, which is around 90%</w:t>
      </w:r>
      <w:r>
        <w:t xml:space="preserve"> </w:t>
      </w:r>
      <w:r>
        <w:t xml:space="preserve">water</w:t>
      </w:r>
      <w:r>
        <w:t xml:space="preserve"> </w:t>
      </w:r>
      <w:r>
        <w:t xml:space="preserve">[@bergerOralBiofilms2018]</w:t>
      </w:r>
      <w:r>
        <w:t xml:space="preserve">. As the samples mature, the ratio of proteins</w:t>
      </w:r>
      <w:r>
        <w:t xml:space="preserve"> </w:t>
      </w:r>
      <w:r>
        <w:t xml:space="preserve">and lipids to phosphates shift from predominance of organic content to</w:t>
      </w:r>
      <w:r>
        <w:t xml:space="preserve"> </w:t>
      </w:r>
      <w:r>
        <w:t xml:space="preserve">inorganic content.</w:t>
      </w:r>
    </w:p>
    <w:p>
      <w:pPr>
        <w:pStyle w:val="BodyText"/>
      </w:pPr>
      <w:r>
        <w:t xml:space="preserve">Early spectra, days 7 and 12, are also similar to collagen spectra, with the</w:t>
      </w:r>
      <w:r>
        <w:t xml:space="preserve"> </w:t>
      </w:r>
      <w:r>
        <w:t xml:space="preserve">OH absorbance band at around 3400 cm</w:t>
      </w:r>
      <m:oMath>
        <m:sSup>
          <m:e>
            <m:r>
              <m:t>​</m:t>
            </m:r>
          </m:e>
          <m:sup>
            <m:r>
              <m:rPr>
                <m:sty m:val="p"/>
              </m:rPr>
              <m:t>−</m:t>
            </m:r>
            <m:r>
              <m:t>1</m:t>
            </m:r>
          </m:sup>
        </m:sSup>
      </m:oMath>
      <w:r>
        <w:t xml:space="preserve">, amide I, II, and III peaks at</w:t>
      </w:r>
      <w:r>
        <w:t xml:space="preserve"> </w:t>
      </w:r>
      <w:r>
        <w:t xml:space="preserve">1659, 1552, and 1240 cm</w:t>
      </w:r>
      <m:oMath>
        <m:sSup>
          <m:e>
            <m:r>
              <m:t>​</m:t>
            </m:r>
          </m:e>
          <m:sup>
            <m:r>
              <m:rPr>
                <m:sty m:val="p"/>
              </m:rPr>
              <m:t>−</m:t>
            </m:r>
            <m:r>
              <m:t>1</m:t>
            </m:r>
          </m:sup>
        </m:sSup>
      </m:oMath>
      <w:r>
        <w:t xml:space="preserve">, respectively</w:t>
      </w:r>
      <w:r>
        <w:t xml:space="preserve"> </w:t>
      </w:r>
      <w:r>
        <w:t xml:space="preserve">[@rohanizadehUltrastructuralStudy2005; @martinezcortizasLinkingStructural2020]</w:t>
      </w:r>
      <w:r>
        <w:t xml:space="preserve">.</w:t>
      </w:r>
    </w:p>
    <w:bookmarkEnd w:id="52"/>
    <w:bookmarkStart w:id="66" w:name="reference-samples"/>
    <w:p>
      <w:pPr>
        <w:pStyle w:val="Heading2"/>
      </w:pPr>
      <w:r>
        <w:t xml:space="preserve">Reference samples</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"ArchDC_MB11_grind_c"</w:t>
      </w:r>
      <w:r>
        <w:rPr>
          <w:rStyle w:val="NormalTok"/>
        </w:rPr>
        <w:t xml:space="preserve"> </w:t>
      </w:r>
      <w:r>
        <w:rPr>
          <w:rStyle w:val="SpecialCharTok"/>
        </w:rPr>
        <w:t xml:space="preserve">|</w:t>
      </w:r>
      <w:r>
        <w:rPr>
          <w:rStyle w:val="NormalTok"/>
        </w:rPr>
        <w:t xml:space="preserve"> </w:t>
      </w:r>
      <w:r>
        <w:rPr>
          <w:rStyle w:val="FunctionTok"/>
        </w:rPr>
        <w:t xml:space="preserve">str_detect</w:t>
      </w:r>
      <w:r>
        <w:rPr>
          <w:rStyle w:val="NormalTok"/>
        </w:rPr>
        <w:t xml:space="preserve">(sample, </w:t>
      </w:r>
      <w:r>
        <w:rPr>
          <w:rStyle w:val="StringTok"/>
        </w:rPr>
        <w:t xml:space="preserve">"modern_ref1"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CaptionedFigure"/>
      </w:pPr>
      <w:r>
        <w:drawing>
          <wp:inline>
            <wp:extent cx="4620126" cy="3696101"/>
            <wp:effectExtent b="0" l="0" r="0" t="0"/>
            <wp:docPr descr="Two spectra from a single sample of archaeological calculus with different grinding levels (c and d)." title="" id="54" name="Picture"/>
            <a:graphic>
              <a:graphicData uri="http://schemas.openxmlformats.org/drawingml/2006/picture">
                <pic:pic>
                  <pic:nvPicPr>
                    <pic:cNvPr descr="FTIR-analysis_files/figure-docx/arch-calc-spectra-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Two spectra from a single sample of archaeological calculus with different grinding levels (c and d).</w:t>
      </w:r>
    </w:p>
    <w:p>
      <w:pPr>
        <w:pStyle w:val="BodyText"/>
      </w:pPr>
      <w:r>
        <w:t xml:space="preserve">The archaeological and modern reference spectra are largely indistinguishable and</w:t>
      </w:r>
      <w:r>
        <w:t xml:space="preserve"> </w:t>
      </w:r>
      <w:r>
        <w:t xml:space="preserve">consist of an O–H absorbance band (3400 cm</w:t>
      </w:r>
      <m:oMath>
        <m:sSup>
          <m:e>
            <m:r>
              <m:t>​</m:t>
            </m:r>
          </m:e>
          <m:sup>
            <m:r>
              <m:rPr>
                <m:sty m:val="p"/>
              </m:rPr>
              <m:t>−</m:t>
            </m:r>
            <m:r>
              <m:t>1</m:t>
            </m:r>
          </m:sup>
        </m:sSup>
      </m:oMath>
      <w:r>
        <w:t xml:space="preserve">), CH</w:t>
      </w:r>
      <w:r>
        <w:rPr>
          <w:vertAlign w:val="subscript"/>
        </w:rPr>
        <w:t xml:space="preserve">3</w:t>
      </w:r>
      <w:r>
        <w:t xml:space="preserve"> </w:t>
      </w:r>
      <w:r>
        <w:t xml:space="preserve">bands (3000–2900 cm</w:t>
      </w:r>
      <m:oMath>
        <m:sSup>
          <m:e>
            <m:r>
              <m:t>​</m:t>
            </m:r>
          </m:e>
          <m:sup>
            <m:r>
              <m:rPr>
                <m:sty m:val="p"/>
              </m:rPr>
              <m:t>−</m:t>
            </m:r>
            <m:r>
              <m:t>1</m:t>
            </m:r>
          </m:sup>
        </m:sSup>
      </m:oMath>
      <w:r>
        <w:t xml:space="preserve">),</w:t>
      </w:r>
      <w:r>
        <w:t xml:space="preserve"> </w:t>
      </w:r>
      <w:r>
        <w:t xml:space="preserve">carbonate (1420, 1460, 870 cm</w:t>
      </w:r>
      <m:oMath>
        <m:sSup>
          <m:e>
            <m:r>
              <m:t>​</m:t>
            </m:r>
          </m:e>
          <m:sup>
            <m:r>
              <m:rPr>
                <m:sty m:val="p"/>
              </m:rPr>
              <m:t>−</m:t>
            </m:r>
            <m:r>
              <m:t>1</m:t>
            </m:r>
          </m:sup>
        </m:sSup>
      </m:oMath>
      <w:r>
        <w:t xml:space="preserve">), amide I band (1650 cm</w:t>
      </w:r>
      <m:oMath>
        <m:sSup>
          <m:e>
            <m:r>
              <m:t>​</m:t>
            </m:r>
          </m:e>
          <m:sup>
            <m:r>
              <m:rPr>
                <m:sty m:val="p"/>
              </m:rPr>
              <m:t>−</m:t>
            </m:r>
            <m:r>
              <m:t>1</m:t>
            </m:r>
          </m:sup>
        </m:sSup>
      </m:oMath>
      <w:r>
        <w:t xml:space="preserve">), and phosphates</w:t>
      </w:r>
      <w:r>
        <w:t xml:space="preserve"> </w:t>
      </w:r>
      <w:r>
        <w:t xml:space="preserve">(1040, 604, 566 cm</w:t>
      </w:r>
      <m:oMath>
        <m:sSup>
          <m:e>
            <m:r>
              <m:t>​</m:t>
            </m:r>
          </m:e>
          <m:sup>
            <m:r>
              <m:rPr>
                <m:sty m:val="p"/>
              </m:rPr>
              <m:t>−</m:t>
            </m:r>
            <m:r>
              <m:t>1</m:t>
            </m:r>
          </m:sup>
        </m:sSup>
      </m:oMath>
      <w:r>
        <w:t xml:space="preserve">).</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str_detect</w:t>
      </w:r>
      <w:r>
        <w:rPr>
          <w:rStyle w:val="NormalTok"/>
        </w:rPr>
        <w:t xml:space="preserve">(sample, </w:t>
      </w:r>
      <w:r>
        <w:rPr>
          <w:rStyle w:val="StringTok"/>
        </w:rPr>
        <w:t xml:space="preserve">"MB11_grind_c"</w:t>
      </w:r>
      <w:r>
        <w:rPr>
          <w:rStyle w:val="NormalTok"/>
        </w:rPr>
        <w:t xml:space="preserve">) </w:t>
      </w:r>
      <w:r>
        <w:rPr>
          <w:rStyle w:val="SpecialCharTok"/>
        </w:rPr>
        <w:t xml:space="preserve">|</w:t>
      </w:r>
      <w:r>
        <w:rPr>
          <w:rStyle w:val="NormalTok"/>
        </w:rPr>
        <w:t xml:space="preserve"> sample </w:t>
      </w:r>
      <w:r>
        <w:rPr>
          <w:rStyle w:val="SpecialCharTok"/>
        </w:rPr>
        <w:t xml:space="preserve">==</w:t>
      </w:r>
      <w:r>
        <w:rPr>
          <w:rStyle w:val="NormalTok"/>
        </w:rPr>
        <w:t xml:space="preserve"> </w:t>
      </w:r>
      <w:r>
        <w:rPr>
          <w:rStyle w:val="StringTok"/>
        </w:rPr>
        <w:t xml:space="preserve">"F24.1A3"</w:t>
      </w:r>
      <w:r>
        <w:rPr>
          <w:rStyle w:val="NormalTok"/>
        </w:rPr>
        <w:t xml:space="preserve"> </w:t>
      </w:r>
      <w:r>
        <w:rPr>
          <w:rStyle w:val="SpecialCharTok"/>
        </w:rPr>
        <w:t xml:space="preserve">|</w:t>
      </w:r>
      <w:r>
        <w:rPr>
          <w:rStyle w:val="NormalTok"/>
        </w:rPr>
        <w:t xml:space="preserve"> </w:t>
      </w:r>
      <w:r>
        <w:br/>
      </w:r>
      <w:r>
        <w:rPr>
          <w:rStyle w:val="NormalTok"/>
        </w:rPr>
        <w:t xml:space="preserve">      sample </w:t>
      </w:r>
      <w:r>
        <w:rPr>
          <w:rStyle w:val="SpecialCharTok"/>
        </w:rPr>
        <w:t xml:space="preserve">==</w:t>
      </w:r>
      <w:r>
        <w:rPr>
          <w:rStyle w:val="NormalTok"/>
        </w:rPr>
        <w:t xml:space="preserve"> </w:t>
      </w:r>
      <w:r>
        <w:rPr>
          <w:rStyle w:val="StringTok"/>
        </w:rPr>
        <w:t xml:space="preserve">"modern_ref1"</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 =</w:t>
      </w:r>
      <w:r>
        <w:rPr>
          <w:rStyle w:val="NormalTok"/>
        </w:rPr>
        <w:t xml:space="preserve"> </w:t>
      </w:r>
      <w:r>
        <w:rPr>
          <w:rStyle w:val="FunctionTok"/>
        </w:rPr>
        <w:t xml:space="preserve">case_when</w:t>
      </w:r>
      <w:r>
        <w:rPr>
          <w:rStyle w:val="NormalTok"/>
        </w:rPr>
        <w:t xml:space="preserve">(sample </w:t>
      </w:r>
      <w:r>
        <w:rPr>
          <w:rStyle w:val="SpecialCharTok"/>
        </w:rPr>
        <w:t xml:space="preserve">==</w:t>
      </w:r>
      <w:r>
        <w:rPr>
          <w:rStyle w:val="NormalTok"/>
        </w:rPr>
        <w:t xml:space="preserve"> </w:t>
      </w:r>
      <w:r>
        <w:rPr>
          <w:rStyle w:val="StringTok"/>
        </w:rPr>
        <w:t xml:space="preserve">"F24.1A3"</w:t>
      </w:r>
      <w:r>
        <w:rPr>
          <w:rStyle w:val="NormalTok"/>
        </w:rPr>
        <w:t xml:space="preserve"> </w:t>
      </w:r>
      <w:r>
        <w:rPr>
          <w:rStyle w:val="SpecialCharTok"/>
        </w:rPr>
        <w:t xml:space="preserve">~</w:t>
      </w:r>
      <w:r>
        <w:rPr>
          <w:rStyle w:val="NormalTok"/>
        </w:rPr>
        <w:t xml:space="preserve"> abs </w:t>
      </w:r>
      <w:r>
        <w:rPr>
          <w:rStyle w:val="SpecialCha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abs))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scale_x_continuous(</w:t>
      </w:r>
      <w:r>
        <w:br/>
      </w:r>
      <w:r>
        <w:rPr>
          <w:rStyle w:val="NormalTok"/>
        </w:rPr>
        <w:t xml:space="preserve">    </w:t>
      </w:r>
      <w:r>
        <w:rPr>
          <w:rStyle w:val="CommentTok"/>
        </w:rPr>
        <w:t xml:space="preserve">#   n.breaks = length(as.character(seq(500, 4000, by = 500)))</w:t>
      </w:r>
      <w:r>
        <w:br/>
      </w:r>
      <w:r>
        <w:rPr>
          <w:rStyle w:val="NormalTok"/>
        </w:rPr>
        <w:t xml:space="preserve">    </w:t>
      </w:r>
      <w:r>
        <w:rPr>
          <w:rStyle w:val="CommentTok"/>
        </w:rPr>
        <w:t xml:space="preserve"># ) +</w:t>
      </w:r>
      <w:r>
        <w:br/>
      </w:r>
      <w:r>
        <w:rPr>
          <w:rStyle w:val="NormalTok"/>
        </w:rPr>
        <w:t xml:space="preserve">    </w:t>
      </w:r>
      <w:r>
        <w:rPr>
          <w:rStyle w:val="FunctionTok"/>
        </w:rPr>
        <w:t xml:space="preserve">scale_x_reverse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p>
    <w:p>
      <w:pPr>
        <w:pStyle w:val="CaptionedFigure"/>
      </w:pPr>
      <w:r>
        <w:drawing>
          <wp:inline>
            <wp:extent cx="4620126" cy="3696101"/>
            <wp:effectExtent b="0" l="0" r="0" t="0"/>
            <wp:docPr descr="Spectra from archaeological calculus, modern reference calculus, and artificial calculus are compared. Absorbance was shifted to allow comparison of the three spectra, so the absorbance should be interpreted as relative, not absolute." title="" id="57" name="Picture"/>
            <a:graphic>
              <a:graphicData uri="http://schemas.openxmlformats.org/drawingml/2006/picture">
                <pic:pic>
                  <pic:nvPicPr>
                    <pic:cNvPr descr="FTIR-analysis_files/figure-docx/compare-calc-spectra-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Spectra from archaeological calculus, modern reference calculus, and artificial calculus are compared. Absorbance was shifted to allow comparison of the three spectra, so the absorbance should be interpreted as relative, not absolute.</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str_detect</w:t>
      </w:r>
      <w:r>
        <w:rPr>
          <w:rStyle w:val="NormalTok"/>
        </w:rPr>
        <w:t xml:space="preserve">(sample, </w:t>
      </w:r>
      <w:r>
        <w:rPr>
          <w:rStyle w:val="StringTok"/>
        </w:rPr>
        <w:t xml:space="preserve">"MB11_grind_c"</w:t>
      </w:r>
      <w:r>
        <w:rPr>
          <w:rStyle w:val="NormalTok"/>
        </w:rPr>
        <w:t xml:space="preserve">) </w:t>
      </w:r>
      <w:r>
        <w:rPr>
          <w:rStyle w:val="SpecialCharTok"/>
        </w:rPr>
        <w:t xml:space="preserve">|</w:t>
      </w:r>
      <w:r>
        <w:rPr>
          <w:rStyle w:val="NormalTok"/>
        </w:rPr>
        <w:t xml:space="preserve"> sample </w:t>
      </w:r>
      <w:r>
        <w:rPr>
          <w:rStyle w:val="SpecialCharTok"/>
        </w:rPr>
        <w:t xml:space="preserve">==</w:t>
      </w:r>
      <w:r>
        <w:rPr>
          <w:rStyle w:val="NormalTok"/>
        </w:rPr>
        <w:t xml:space="preserve"> </w:t>
      </w:r>
      <w:r>
        <w:rPr>
          <w:rStyle w:val="StringTok"/>
        </w:rPr>
        <w:t xml:space="preserve">"F24.1A3"</w:t>
      </w:r>
      <w:r>
        <w:rPr>
          <w:rStyle w:val="NormalTok"/>
        </w:rPr>
        <w:t xml:space="preserve"> </w:t>
      </w:r>
      <w:r>
        <w:rPr>
          <w:rStyle w:val="SpecialCharTok"/>
        </w:rPr>
        <w:t xml:space="preserve">|</w:t>
      </w:r>
      <w:r>
        <w:rPr>
          <w:rStyle w:val="NormalTok"/>
        </w:rPr>
        <w:t xml:space="preserve"> </w:t>
      </w:r>
      <w:r>
        <w:br/>
      </w:r>
      <w:r>
        <w:rPr>
          <w:rStyle w:val="NormalTok"/>
        </w:rPr>
        <w:t xml:space="preserve">      sample </w:t>
      </w:r>
      <w:r>
        <w:rPr>
          <w:rStyle w:val="SpecialCharTok"/>
        </w:rPr>
        <w:t xml:space="preserve">==</w:t>
      </w:r>
      <w:r>
        <w:rPr>
          <w:rStyle w:val="NormalTok"/>
        </w:rPr>
        <w:t xml:space="preserve"> </w:t>
      </w:r>
      <w:r>
        <w:rPr>
          <w:rStyle w:val="StringTok"/>
        </w:rPr>
        <w:t xml:space="preserve">"modern_ref1"</w:t>
      </w:r>
      <w:r>
        <w:rPr>
          <w:rStyle w:val="NormalTok"/>
        </w:rPr>
        <w:t xml:space="preserve">,</w:t>
      </w:r>
      <w:r>
        <w:br/>
      </w:r>
      <w:r>
        <w:rPr>
          <w:rStyle w:val="NormalTok"/>
        </w:rPr>
        <w:t xml:space="preserve">    wavenumber </w:t>
      </w:r>
      <w:r>
        <w:rPr>
          <w:rStyle w:val="SpecialCharTok"/>
        </w:rPr>
        <w:t xml:space="preserve">&lt;</w:t>
      </w:r>
      <w:r>
        <w:rPr>
          <w:rStyle w:val="NormalTok"/>
        </w:rPr>
        <w:t xml:space="preserve"> </w:t>
      </w:r>
      <w:r>
        <w:rPr>
          <w:rStyle w:val="DecValTok"/>
        </w:rPr>
        <w:t xml:space="preserve">1800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 =</w:t>
      </w:r>
      <w:r>
        <w:rPr>
          <w:rStyle w:val="NormalTok"/>
        </w:rPr>
        <w:t xml:space="preserve"> </w:t>
      </w:r>
      <w:r>
        <w:rPr>
          <w:rStyle w:val="FunctionTok"/>
        </w:rPr>
        <w:t xml:space="preserve">case_when</w:t>
      </w:r>
      <w:r>
        <w:rPr>
          <w:rStyle w:val="NormalTok"/>
        </w:rPr>
        <w:t xml:space="preserve">(sample </w:t>
      </w:r>
      <w:r>
        <w:rPr>
          <w:rStyle w:val="SpecialCharTok"/>
        </w:rPr>
        <w:t xml:space="preserve">==</w:t>
      </w:r>
      <w:r>
        <w:rPr>
          <w:rStyle w:val="NormalTok"/>
        </w:rPr>
        <w:t xml:space="preserve"> </w:t>
      </w:r>
      <w:r>
        <w:rPr>
          <w:rStyle w:val="StringTok"/>
        </w:rPr>
        <w:t xml:space="preserve">"F24.1A3"</w:t>
      </w:r>
      <w:r>
        <w:rPr>
          <w:rStyle w:val="NormalTok"/>
        </w:rPr>
        <w:t xml:space="preserve"> </w:t>
      </w:r>
      <w:r>
        <w:rPr>
          <w:rStyle w:val="SpecialCharTok"/>
        </w:rPr>
        <w:t xml:space="preserve">~</w:t>
      </w:r>
      <w:r>
        <w:rPr>
          <w:rStyle w:val="NormalTok"/>
        </w:rPr>
        <w:t xml:space="preserve"> abs </w:t>
      </w:r>
      <w:r>
        <w:rPr>
          <w:rStyle w:val="SpecialCha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abs))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scale_x_continuous(</w:t>
      </w:r>
      <w:r>
        <w:br/>
      </w:r>
      <w:r>
        <w:rPr>
          <w:rStyle w:val="NormalTok"/>
        </w:rPr>
        <w:t xml:space="preserve">    </w:t>
      </w:r>
      <w:r>
        <w:rPr>
          <w:rStyle w:val="CommentTok"/>
        </w:rPr>
        <w:t xml:space="preserve">#   n.breaks = length(as.character(seq(500, 4000, by = 500)))</w:t>
      </w:r>
      <w:r>
        <w:br/>
      </w:r>
      <w:r>
        <w:rPr>
          <w:rStyle w:val="NormalTok"/>
        </w:rPr>
        <w:t xml:space="preserve">    </w:t>
      </w:r>
      <w:r>
        <w:rPr>
          <w:rStyle w:val="CommentTok"/>
        </w:rPr>
        <w:t xml:space="preserve"># ) +</w:t>
      </w:r>
      <w:r>
        <w:br/>
      </w:r>
      <w:r>
        <w:rPr>
          <w:rStyle w:val="NormalTok"/>
        </w:rPr>
        <w:t xml:space="preserve">    </w:t>
      </w:r>
      <w:r>
        <w:rPr>
          <w:rStyle w:val="FunctionTok"/>
        </w:rPr>
        <w:t xml:space="preserve">scale_x_reverse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p>
    <w:p>
      <w:pPr>
        <w:pStyle w:val="CaptionedFigure"/>
      </w:pPr>
      <w:r>
        <w:drawing>
          <wp:inline>
            <wp:extent cx="4620126" cy="3696101"/>
            <wp:effectExtent b="0" l="0" r="0" t="0"/>
            <wp:docPr descr="Plot of archaeological calculus, modern reference calculus, and artificial calculus, zoomed in on region 1800-400 cm-1." title="" id="60" name="Picture"/>
            <a:graphic>
              <a:graphicData uri="http://schemas.openxmlformats.org/drawingml/2006/picture">
                <pic:pic>
                  <pic:nvPicPr>
                    <pic:cNvPr descr="FTIR-analysis_files/figure-docx/zoom-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archaeological calculus, modern reference calculus, and artificial calculus, zoomed in on region 1800-400 cm-1.</w:t>
      </w:r>
    </w:p>
    <w:p>
      <w:pPr>
        <w:pStyle w:val="BodyText"/>
      </w:pPr>
      <w:r>
        <w:t xml:space="preserve">The biofilm samples from the end of the experiment are similar to both reference</w:t>
      </w:r>
      <w:r>
        <w:t xml:space="preserve"> </w:t>
      </w:r>
      <w:r>
        <w:t xml:space="preserve">samples. The main</w:t>
      </w:r>
      <w:r>
        <w:t xml:space="preserve"> </w:t>
      </w:r>
      <w:r>
        <w:t xml:space="preserve">difference is a lower organic component in reference samples seen as a reduced</w:t>
      </w:r>
      <w:r>
        <w:t xml:space="preserve"> </w:t>
      </w:r>
      <w:r>
        <w:t xml:space="preserve">amide I peak at around 1637 compared to the carbonate peak at around 1420, and</w:t>
      </w:r>
      <w:r>
        <w:t xml:space="preserve"> </w:t>
      </w:r>
      <w:r>
        <w:t xml:space="preserve">an absence of amide II and III. Also a reduction in CH</w:t>
      </w:r>
      <w:r>
        <w:rPr>
          <w:vertAlign w:val="subscript"/>
        </w:rPr>
        <w:t xml:space="preserve">3</w:t>
      </w:r>
      <w:r>
        <w:t xml:space="preserve"> </w:t>
      </w:r>
      <w:r>
        <w:t xml:space="preserve">bands at 3000-2900 cm</w:t>
      </w:r>
      <m:oMath>
        <m:sSup>
          <m:e>
            <m:r>
              <m:t>​</m:t>
            </m:r>
          </m:e>
          <m:sup>
            <m:r>
              <m:rPr>
                <m:sty m:val="p"/>
              </m:rPr>
              <m:t>−</m:t>
            </m:r>
            <m:r>
              <m:t>1</m:t>
            </m:r>
          </m:sup>
        </m:sSup>
      </m:oMath>
      <w:r>
        <w:t xml:space="preserve">.</w:t>
      </w:r>
    </w:p>
    <w:bookmarkStart w:id="65" w:name="grind-curves"/>
    <w:p>
      <w:pPr>
        <w:pStyle w:val="Heading4"/>
      </w:pPr>
      <w:r>
        <w:t xml:space="preserve">Grind curves</w:t>
      </w:r>
    </w:p>
    <w:p>
      <w:pPr>
        <w:pStyle w:val="FirstParagraph"/>
      </w:pPr>
      <w:r>
        <w:t xml:space="preserve">Splitting factors were calculated from the grinding measurements, and a</w:t>
      </w:r>
      <w:r>
        <w:t xml:space="preserve"> </w:t>
      </w:r>
      <w:r>
        <w:t xml:space="preserve">grinding curve was created to explore crystallinity (crystal size) order and</w:t>
      </w:r>
      <w:r>
        <w:t xml:space="preserve"> </w:t>
      </w:r>
      <w:r>
        <w:t xml:space="preserve">disorder. Disorder is a steep slope and large FWHM.</w:t>
      </w:r>
    </w:p>
    <w:p>
      <w:pPr>
        <w:pStyle w:val="BodyText"/>
      </w:pPr>
      <w:r>
        <w:t xml:space="preserve">Samples are similar to fresh bone and dentin. No appreciable differences between</w:t>
      </w:r>
      <w:r>
        <w:t xml:space="preserve"> </w:t>
      </w:r>
      <w:r>
        <w:t xml:space="preserve">days 16, 20, and 24.</w:t>
      </w:r>
    </w:p>
    <w:p>
      <w:pPr>
        <w:pStyle w:val="SourceCode"/>
      </w:pPr>
      <w:r>
        <w:rPr>
          <w:rStyle w:val="NormalTok"/>
        </w:rPr>
        <w:t xml:space="preserve">grind_all_plot </w:t>
      </w:r>
      <w:r>
        <w:rPr>
          <w:rStyle w:val="OtherTok"/>
        </w:rPr>
        <w:t xml:space="preserve">&lt;-</w:t>
      </w:r>
      <w:r>
        <w:rPr>
          <w:rStyle w:val="NormalTok"/>
        </w:rPr>
        <w:t xml:space="preserve"> grind_data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Sample_day =</w:t>
      </w:r>
      <w:r>
        <w:rPr>
          <w:rStyle w:val="NormalTok"/>
        </w:rPr>
        <w:t xml:space="preserve"> </w:t>
      </w:r>
      <w:r>
        <w:rPr>
          <w:rStyle w:val="FunctionTok"/>
        </w:rPr>
        <w:t xml:space="preserve">factor</w:t>
      </w:r>
      <w:r>
        <w:rPr>
          <w:rStyle w:val="NormalTok"/>
        </w:rPr>
        <w:t xml:space="preserve">(Sample_day, </w:t>
      </w:r>
      <w:r>
        <w:rPr>
          <w:rStyle w:val="AttributeTok"/>
        </w:rPr>
        <w:t xml:space="preserve">levels =</w:t>
      </w:r>
      <w:r>
        <w:rPr>
          <w:rStyle w:val="NormalTok"/>
        </w:rPr>
        <w:t xml:space="preserve"> grind_sample_order)) </w:t>
      </w:r>
      <w:r>
        <w:rPr>
          <w:rStyle w:val="SpecialCharTok"/>
        </w:rPr>
        <w:t xml:space="preserve">%&gt;%</w:t>
      </w:r>
      <w:r>
        <w:br/>
      </w:r>
      <w:r>
        <w:rPr>
          <w:rStyle w:val="NormalTok"/>
        </w:rPr>
        <w:t xml:space="preserve">  </w:t>
      </w:r>
      <w:r>
        <w:rPr>
          <w:rStyle w:val="FunctionTok"/>
        </w:rPr>
        <w:t xml:space="preserve">group_by</w:t>
      </w:r>
      <w:r>
        <w:rPr>
          <w:rStyle w:val="NormalTok"/>
        </w:rPr>
        <w:t xml:space="preserve">(day, 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FWHM, </w:t>
      </w:r>
      <w:r>
        <w:rPr>
          <w:rStyle w:val="AttributeTok"/>
        </w:rPr>
        <w:t xml:space="preserve">y =</w:t>
      </w:r>
      <w:r>
        <w:rPr>
          <w:rStyle w:val="NormalTok"/>
        </w:rPr>
        <w:t xml:space="preserve"> IRSF, </w:t>
      </w:r>
      <w:r>
        <w:rPr>
          <w:rStyle w:val="AttributeTok"/>
        </w:rPr>
        <w:t xml:space="preserve">col =</w:t>
      </w:r>
      <w:r>
        <w:rPr>
          <w:rStyle w:val="NormalTok"/>
        </w:rPr>
        <w:t xml:space="preserve"> Sample_day, </w:t>
      </w:r>
      <w:r>
        <w:rPr>
          <w:rStyle w:val="AttributeTok"/>
        </w:rPr>
        <w:t xml:space="preserve">shape =</w:t>
      </w:r>
      <w:r>
        <w:rPr>
          <w:rStyle w:val="NormalTok"/>
        </w:rPr>
        <w:t xml:space="preserve"> Sample_day))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"Sample"</w:t>
      </w:r>
      <w:r>
        <w:rPr>
          <w:rStyle w:val="NormalTok"/>
        </w:rPr>
        <w:t xml:space="preserve">, </w:t>
      </w:r>
      <w:r>
        <w:rPr>
          <w:rStyle w:val="AttributeTok"/>
        </w:rPr>
        <w:t xml:space="preserve">shape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"FWHM of the 1035 peak"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"Splitting factor"</w:t>
      </w:r>
      <w:r>
        <w:rPr>
          <w:rStyle w:val="NormalTok"/>
        </w:rPr>
        <w:t xml:space="preserve">)</w:t>
      </w:r>
      <w:r>
        <w:br/>
      </w:r>
      <w:r>
        <w:br/>
      </w:r>
      <w:r>
        <w:rPr>
          <w:rStyle w:val="CommentTok"/>
        </w:rPr>
        <w:t xml:space="preserve"># isolate calculus samples to see diffs between days and the 'real deal'</w:t>
      </w:r>
      <w:r>
        <w:br/>
      </w:r>
      <w:r>
        <w:rPr>
          <w:rStyle w:val="NormalTok"/>
        </w:rPr>
        <w:t xml:space="preserve">grind_calc_plot </w:t>
      </w:r>
      <w:r>
        <w:rPr>
          <w:rStyle w:val="OtherTok"/>
        </w:rPr>
        <w:t xml:space="preserve">&lt;-</w:t>
      </w:r>
      <w:r>
        <w:rPr>
          <w:rStyle w:val="NormalTok"/>
        </w:rPr>
        <w:t xml:space="preserve"> grind_data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w:t>
      </w:r>
      <w:r>
        <w:rPr>
          <w:rStyle w:val="NormalTok"/>
        </w:rPr>
        <w:t xml:space="preserve"> </w:t>
      </w:r>
      <w:r>
        <w:rPr>
          <w:rStyle w:val="StringTok"/>
        </w:rPr>
        <w:t xml:space="preserve">"Artificial calculus"</w:t>
      </w:r>
      <w:r>
        <w:rPr>
          <w:rStyle w:val="NormalTok"/>
        </w:rPr>
        <w:t xml:space="preserve"> </w:t>
      </w:r>
      <w:r>
        <w:rPr>
          <w:rStyle w:val="SpecialCharTok"/>
        </w:rPr>
        <w:t xml:space="preserve">|</w:t>
      </w:r>
      <w:r>
        <w:rPr>
          <w:rStyle w:val="NormalTok"/>
        </w:rPr>
        <w:t xml:space="preserve"> Sample </w:t>
      </w:r>
      <w:r>
        <w:rPr>
          <w:rStyle w:val="SpecialCharTok"/>
        </w:rPr>
        <w:t xml:space="preserve">==</w:t>
      </w:r>
      <w:r>
        <w:rPr>
          <w:rStyle w:val="NormalTok"/>
        </w:rPr>
        <w:t xml:space="preserve"> </w:t>
      </w:r>
      <w:r>
        <w:rPr>
          <w:rStyle w:val="StringTok"/>
        </w:rPr>
        <w:t xml:space="preserve">"Archaeological calculus"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FWHM, </w:t>
      </w:r>
      <w:r>
        <w:rPr>
          <w:rStyle w:val="AttributeTok"/>
        </w:rPr>
        <w:t xml:space="preserve">y =</w:t>
      </w:r>
      <w:r>
        <w:rPr>
          <w:rStyle w:val="NormalTok"/>
        </w:rPr>
        <w:t xml:space="preserve"> IRSF, </w:t>
      </w:r>
      <w:r>
        <w:rPr>
          <w:rStyle w:val="AttributeTok"/>
        </w:rPr>
        <w:t xml:space="preserve">col =</w:t>
      </w:r>
      <w:r>
        <w:rPr>
          <w:rStyle w:val="NormalTok"/>
        </w:rPr>
        <w:t xml:space="preserve"> Sample_day, </w:t>
      </w:r>
      <w:r>
        <w:rPr>
          <w:rStyle w:val="AttributeTok"/>
        </w:rPr>
        <w:t xml:space="preserve">shape =</w:t>
      </w:r>
      <w:r>
        <w:rPr>
          <w:rStyle w:val="NormalTok"/>
        </w:rPr>
        <w:t xml:space="preserve"> Sample_day))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"Sample"</w:t>
      </w:r>
      <w:r>
        <w:rPr>
          <w:rStyle w:val="NormalTok"/>
        </w:rPr>
        <w:t xml:space="preserve">, </w:t>
      </w:r>
      <w:r>
        <w:rPr>
          <w:rStyle w:val="AttributeTok"/>
        </w:rPr>
        <w:t xml:space="preserve">shape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"FWHM of the 1035 peak"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"Splitting factor"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r>
        <w:rPr>
          <w:rStyle w:val="AttributeTok"/>
        </w:rPr>
        <w:t xml:space="preserve">end =</w:t>
      </w:r>
      <w:r>
        <w:rPr>
          <w:rStyle w:val="NormalTok"/>
        </w:rPr>
        <w:t xml:space="preserve"> </w:t>
      </w:r>
      <w:r>
        <w:rPr>
          <w:rStyle w:val="FloatTok"/>
        </w:rPr>
        <w:t xml:space="preserve">0.4</w:t>
      </w:r>
      <w:r>
        <w:rPr>
          <w:rStyle w:val="NormalTok"/>
        </w:rPr>
        <w:t xml:space="preserve">)</w:t>
      </w:r>
    </w:p>
    <w:p>
      <w:pPr>
        <w:pStyle w:val="SourceCode"/>
      </w:pPr>
      <w:r>
        <w:rPr>
          <w:rStyle w:val="NormalTok"/>
        </w:rPr>
        <w:t xml:space="preserve">grind_all_plot </w:t>
      </w:r>
      <w:r>
        <w:rPr>
          <w:rStyle w:val="SpecialCharTok"/>
        </w:rPr>
        <w:t xml:space="preserve">+</w:t>
      </w:r>
      <w:r>
        <w:rPr>
          <w:rStyle w:val="NormalTok"/>
        </w:rPr>
        <w:t xml:space="preserve"> </w:t>
      </w:r>
      <w:r>
        <w:rPr>
          <w:rStyle w:val="FunctionTok"/>
        </w:rPr>
        <w:t xml:space="preserve">inset_element</w:t>
      </w:r>
      <w:r>
        <w:rPr>
          <w:rStyle w:val="NormalTok"/>
        </w:rPr>
        <w:t xml:space="preserve">(grind_calc_plot, </w:t>
      </w:r>
      <w:r>
        <w:rPr>
          <w:rStyle w:val="AttributeTok"/>
        </w:rPr>
        <w:t xml:space="preserve">left =</w:t>
      </w:r>
      <w:r>
        <w:rPr>
          <w:rStyle w:val="NormalTok"/>
        </w:rPr>
        <w:t xml:space="preserve"> </w:t>
      </w:r>
      <w:r>
        <w:rPr>
          <w:rStyle w:val="FloatTok"/>
        </w:rPr>
        <w:t xml:space="preserve">0.5</w:t>
      </w:r>
      <w:r>
        <w:rPr>
          <w:rStyle w:val="NormalTok"/>
        </w:rPr>
        <w:t xml:space="preserve">, </w:t>
      </w:r>
      <w:r>
        <w:rPr>
          <w:rStyle w:val="AttributeTok"/>
        </w:rPr>
        <w:t xml:space="preserve">bottom =</w:t>
      </w:r>
      <w:r>
        <w:rPr>
          <w:rStyle w:val="NormalTok"/>
        </w:rPr>
        <w:t xml:space="preserve"> </w:t>
      </w:r>
      <w:r>
        <w:rPr>
          <w:rStyle w:val="FloatTok"/>
        </w:rPr>
        <w:t xml:space="preserve">0.5</w:t>
      </w:r>
      <w:r>
        <w:rPr>
          <w:rStyle w:val="NormalTok"/>
        </w:rPr>
        <w:t xml:space="preserve">, </w:t>
      </w:r>
      <w:r>
        <w:rPr>
          <w:rStyle w:val="AttributeTok"/>
        </w:rPr>
        <w:t xml:space="preserve">right =</w:t>
      </w:r>
      <w:r>
        <w:rPr>
          <w:rStyle w:val="NormalTok"/>
        </w:rPr>
        <w:t xml:space="preserve"> </w:t>
      </w:r>
      <w:r>
        <w:rPr>
          <w:rStyle w:val="DecValTok"/>
        </w:rPr>
        <w:t xml:space="preserve">1</w:t>
      </w:r>
      <w:r>
        <w:rPr>
          <w:rStyle w:val="NormalTok"/>
        </w:rPr>
        <w:t xml:space="preserve">, </w:t>
      </w:r>
      <w:r>
        <w:rPr>
          <w:rStyle w:val="AttributeTok"/>
        </w:rPr>
        <w:t xml:space="preserve">top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w:t>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w:t>
      </w:r>
    </w:p>
    <w:p>
      <w:pPr>
        <w:pStyle w:val="CaptionedFigure"/>
      </w:pPr>
      <w:r>
        <w:drawing>
          <wp:inline>
            <wp:extent cx="4620126" cy="3696101"/>
            <wp:effectExtent b="0" l="0" r="0" t="0"/>
            <wp:docPr descr="(A) Grinding curves of multiple materials; and (B) calculus-only materials, including biofilm samples from three days, and an archaeological calclulus sample." title="" id="63" name="Picture"/>
            <a:graphic>
              <a:graphicData uri="http://schemas.openxmlformats.org/drawingml/2006/picture">
                <pic:pic>
                  <pic:nvPicPr>
                    <pic:cNvPr descr="FTIR-analysis_files/figure-docx/fig-grind-curve-inset-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Grinding curves of multiple materials; and (B) calculus-only materials, including biofilm samples from three days, and an archaeological calclulus sample.</w:t>
      </w:r>
    </w:p>
    <w:bookmarkEnd w:id="65"/>
    <w:bookmarkEnd w:id="66"/>
    <w:bookmarkStart w:id="67" w:name="discussion"/>
    <w:p>
      <w:pPr>
        <w:pStyle w:val="Heading2"/>
      </w:pPr>
      <w:r>
        <w:t xml:space="preserve">Discussion</w:t>
      </w:r>
    </w:p>
    <w:p>
      <w:pPr>
        <w:pStyle w:val="FirstParagraph"/>
      </w:pPr>
      <w:r>
        <w:t xml:space="preserve">Experimental samples are indicative of biofilm growth and maturation, including</w:t>
      </w:r>
      <w:r>
        <w:t xml:space="preserve"> </w:t>
      </w:r>
      <w:r>
        <w:t xml:space="preserve">mineralisation, represented by a reduction in proteins and lipids and the increasing</w:t>
      </w:r>
      <w:r>
        <w:t xml:space="preserve"> </w:t>
      </w:r>
      <w:r>
        <w:t xml:space="preserve">intensity of peaks related to hydroxyapatite (1040 and 600-550 cm</w:t>
      </w:r>
      <m:oMath>
        <m:sSup>
          <m:e>
            <m:r>
              <m:t>​</m:t>
            </m:r>
          </m:e>
          <m:sup>
            <m:r>
              <m:rPr>
                <m:sty m:val="p"/>
              </m:rPr>
              <m:t>−</m:t>
            </m:r>
            <m:r>
              <m:t>1</m:t>
            </m:r>
          </m:sup>
        </m:sSup>
      </m:oMath>
      <w:r>
        <w:t xml:space="preserve">) and</w:t>
      </w:r>
      <w:r>
        <w:t xml:space="preserve"> </w:t>
      </w:r>
      <w:r>
        <w:t xml:space="preserve">carbonate (1420, 1460, 870 cm</w:t>
      </w:r>
      <m:oMath>
        <m:sSup>
          <m:e>
            <m:r>
              <m:t>​</m:t>
            </m:r>
          </m:e>
          <m:sup>
            <m:r>
              <m:rPr>
                <m:sty m:val="p"/>
              </m:rPr>
              <m:t>−</m:t>
            </m:r>
            <m:r>
              <m:t>1</m:t>
            </m:r>
          </m:sup>
        </m:sSup>
      </m:oMath>
      <w:r>
        <w:t xml:space="preserve">) over the course of the experiment.</w:t>
      </w:r>
    </w:p>
    <w:p>
      <w:pPr>
        <w:pStyle w:val="BodyText"/>
      </w:pPr>
      <w:r>
        <w:t xml:space="preserve">The presence of collagen in dental calculus (and saliva) is still not clear. It</w:t>
      </w:r>
      <w:r>
        <w:t xml:space="preserve"> </w:t>
      </w:r>
      <w:r>
        <w:t xml:space="preserve">may be a result of external contamination</w:t>
      </w:r>
      <w:r>
        <w:t xml:space="preserve"> </w:t>
      </w:r>
      <w:r>
        <w:t xml:space="preserve">[@mackiePreservationMetaproteome2017]</w:t>
      </w:r>
      <w:r>
        <w:t xml:space="preserve"> </w:t>
      </w:r>
      <w:r>
        <w:t xml:space="preserve">or end-products</w:t>
      </w:r>
      <w:r>
        <w:t xml:space="preserve"> </w:t>
      </w:r>
      <w:r>
        <w:t xml:space="preserve">of collagen degradation (e.g. carboxyterminal telopeptide of type I collagen, ICTP)</w:t>
      </w:r>
      <w:r>
        <w:t xml:space="preserve"> </w:t>
      </w:r>
      <w:r>
        <w:t xml:space="preserve">which may or may not be related to periodontitis</w:t>
      </w:r>
      <w:r>
        <w:t xml:space="preserve"> </w:t>
      </w:r>
      <w:r>
        <w:t xml:space="preserve">[@gursoySalivaryCollagen2013]</w:t>
      </w:r>
      <w:r>
        <w:t xml:space="preserve">. It is more likely that the proline-rich proteins</w:t>
      </w:r>
      <w:r>
        <w:t xml:space="preserve"> </w:t>
      </w:r>
      <w:r>
        <w:t xml:space="preserve">(secondary amine) present in the samples are attributed to the biofilm</w:t>
      </w:r>
      <w:r>
        <w:t xml:space="preserve"> </w:t>
      </w:r>
      <w:r>
        <w:t xml:space="preserve">matrix.</w:t>
      </w:r>
    </w:p>
    <w:p>
      <w:pPr>
        <w:pStyle w:val="BodyText"/>
      </w:pPr>
      <w:r>
        <w:t xml:space="preserve">The artificial samples from day 24 resemble both the modern reference samples and</w:t>
      </w:r>
      <w:r>
        <w:t xml:space="preserve"> </w:t>
      </w:r>
      <w:r>
        <w:t xml:space="preserve">the archaeological sample in mineral composition and crystallinity.</w:t>
      </w:r>
      <w:r>
        <w:t xml:space="preserve"> </w:t>
      </w:r>
      <w:r>
        <w:t xml:space="preserve">Overall, the spectra of the artificial calculus show an increase in the</w:t>
      </w:r>
      <w:r>
        <w:t xml:space="preserve"> </w:t>
      </w:r>
      <w:r>
        <w:t xml:space="preserve">inorganic component and a decrease in the organic component over time.</w:t>
      </w:r>
      <w:r>
        <w:t xml:space="preserve"> </w:t>
      </w:r>
      <w:r>
        <w:t xml:space="preserve">The grinding curves for days 16, 20, and 24 were very similar, suggesting</w:t>
      </w:r>
      <w:r>
        <w:t xml:space="preserve"> </w:t>
      </w:r>
      <w:r>
        <w:t xml:space="preserve">that the CPMU solution (introduced on day 16) may not have much of an effect.</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FTIR analysis</dc:title>
  <dc:creator/>
  <cp:keywords/>
  <dcterms:created xsi:type="dcterms:W3CDTF">2022-06-13T08:35:58Z</dcterms:created>
  <dcterms:modified xsi:type="dcterms:W3CDTF">2022-06-13T08:35:58Z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