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25.png" ContentType="image/png"/>
  <Override PartName="/word/media/rId28.png" ContentType="image/png"/>
  <Override PartName="/word/media/rId2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FTIR</w:t>
      </w:r>
      <w:r>
        <w:t xml:space="preserve"> </w:t>
      </w:r>
      <w:r>
        <w:t xml:space="preserve">analysis</w:t>
      </w:r>
    </w:p>
    <w:bookmarkStart w:id="42" w:name="introduction"/>
    <w:p>
      <w:pPr>
        <w:pStyle w:val="Heading2"/>
      </w:pPr>
      <w:r>
        <w:t xml:space="preserve">Introduction</w:t>
      </w:r>
    </w:p>
    <w:p>
      <w:pPr>
        <w:pStyle w:val="SourceCode"/>
      </w:pPr>
      <w:r>
        <w:rPr>
          <w:rStyle w:val="CommentTok"/>
        </w:rPr>
        <w:t xml:space="preserve"># Loading libraries and data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(here)</w:t>
      </w:r>
      <w:r>
        <w:br/>
      </w:r>
      <w:r>
        <w:rPr>
          <w:rStyle w:val="NormalTok"/>
        </w:rPr>
        <w:t xml:space="preserve">ftir_data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"05-results/ftir-data_long.csv"</w:t>
      </w:r>
      <w:r>
        <w:rPr>
          <w:rStyle w:val="NormalTok"/>
        </w:rPr>
        <w:t xml:space="preserve">))</w:t>
      </w:r>
      <w:r>
        <w:br/>
      </w:r>
      <w:r>
        <w:rPr>
          <w:rStyle w:val="NormalTok"/>
        </w:rPr>
        <w:t xml:space="preserve">grind_data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"05-results/grind-data_cleaned.csv"</w:t>
      </w:r>
      <w:r>
        <w:rPr>
          <w:rStyle w:val="NormalTok"/>
        </w:rPr>
        <w:t xml:space="preserve">))</w:t>
      </w:r>
      <w:r>
        <w:br/>
      </w:r>
      <w:r>
        <w:rPr>
          <w:rStyle w:val="NormalTok"/>
        </w:rPr>
        <w:t xml:space="preserve">ftir_metadata </w:t>
      </w:r>
      <w:r>
        <w:rPr>
          <w:rStyle w:val="OtherTok"/>
        </w:rPr>
        <w:t xml:space="preserve">&lt;-</w:t>
      </w:r>
      <w:r>
        <w:rPr>
          <w:rStyle w:val="NormalTok"/>
        </w:rPr>
        <w:t xml:space="preserve"> </w:t>
      </w:r>
      <w:r>
        <w:rPr>
          <w:rStyle w:val="FunctionTok"/>
        </w:rPr>
        <w:t xml:space="preserve">read_tsv</w:t>
      </w:r>
      <w:r>
        <w:rPr>
          <w:rStyle w:val="NormalTok"/>
        </w:rPr>
        <w:t xml:space="preserve">(</w:t>
      </w:r>
      <w:r>
        <w:rPr>
          <w:rStyle w:val="FunctionTok"/>
        </w:rPr>
        <w:t xml:space="preserve">here</w:t>
      </w:r>
      <w:r>
        <w:rPr>
          <w:rStyle w:val="NormalTok"/>
        </w:rPr>
        <w:t xml:space="preserve">(</w:t>
      </w:r>
      <w:r>
        <w:rPr>
          <w:rStyle w:val="StringTok"/>
        </w:rPr>
        <w:t xml:space="preserve">"01-documentation/ftir-metadata.tsv"</w:t>
      </w:r>
      <w:r>
        <w:rPr>
          <w:rStyle w:val="NormalTok"/>
        </w:rPr>
        <w:t xml:space="preserve">))</w:t>
      </w:r>
    </w:p>
    <w:p>
      <w:pPr>
        <w:pStyle w:val="FirstParagraph"/>
      </w:pPr>
      <w:r>
        <w:t xml:space="preserve">To determine the mineral composition and crystallisation of the artificial dental</w:t>
      </w:r>
      <w:r>
        <w:t xml:space="preserve"> </w:t>
      </w:r>
      <w:r>
        <w:t xml:space="preserve">calculus samples, we used Fourier Transform Infrared (FTIR) spectroscopy. We</w:t>
      </w:r>
      <w:r>
        <w:t xml:space="preserve"> </w:t>
      </w:r>
      <w:r>
        <w:t xml:space="preserve">compared the spectra of artificial dental calculus with spectra of archaeological</w:t>
      </w:r>
      <w:r>
        <w:t xml:space="preserve"> </w:t>
      </w:r>
      <w:r>
        <w:t xml:space="preserve">dental calculus, as well as splitting factors.</w:t>
      </w:r>
    </w:p>
    <w:bookmarkStart w:id="20" w:name="materials"/>
    <w:p>
      <w:pPr>
        <w:pStyle w:val="Heading3"/>
      </w:pPr>
      <w:r>
        <w:t xml:space="preserve">Materials</w:t>
      </w:r>
    </w:p>
    <w:p>
      <w:pPr>
        <w:pStyle w:val="SourceCode"/>
      </w:pPr>
      <w:r>
        <w:rPr>
          <w:rStyle w:val="NormalTok"/>
        </w:rPr>
        <w:t xml:space="preserve">comb_samples </w:t>
      </w:r>
      <w:r>
        <w:rPr>
          <w:rStyle w:val="OtherTok"/>
        </w:rPr>
        <w:t xml:space="preserve">&lt;-</w:t>
      </w:r>
      <w:r>
        <w:rPr>
          <w:rStyle w:val="NormalTok"/>
        </w:rPr>
        <w:t xml:space="preserve"> ftir_metadata </w:t>
      </w:r>
      <w:r>
        <w:rPr>
          <w:rStyle w:val="SpecialCharTok"/>
        </w:rPr>
        <w:t xml:space="preserve">%&gt;%</w:t>
      </w:r>
      <w:r>
        <w:br/>
      </w:r>
      <w:r>
        <w:rPr>
          <w:rStyle w:val="NormalTok"/>
        </w:rPr>
        <w:t xml:space="preserve">  </w:t>
      </w:r>
      <w:r>
        <w:rPr>
          <w:rStyle w:val="CommentTok"/>
        </w:rPr>
        <w:t xml:space="preserve">#filter(str_detect(sample, "\\+")) %&gt;%</w:t>
      </w:r>
      <w:r>
        <w:br/>
      </w:r>
      <w:r>
        <w:rPr>
          <w:rStyle w:val="NormalTok"/>
        </w:rPr>
        <w:t xml:space="preserve">  </w:t>
      </w:r>
      <w:r>
        <w:rPr>
          <w:rStyle w:val="FunctionTok"/>
        </w:rPr>
        <w:t xml:space="preserve">separate_rows</w:t>
      </w:r>
      <w:r>
        <w:rPr>
          <w:rStyle w:val="NormalTok"/>
        </w:rPr>
        <w:t xml:space="preserve">(sample, </w:t>
      </w:r>
      <w:r>
        <w:rPr>
          <w:rStyle w:val="AttributeTok"/>
        </w:rPr>
        <w:t xml:space="preserve">sep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sample_name =</w:t>
      </w:r>
      <w:r>
        <w:rPr>
          <w:rStyle w:val="NormalTok"/>
        </w:rPr>
        <w:t xml:space="preserve"> </w:t>
      </w:r>
      <w:r>
        <w:rPr>
          <w:rStyle w:val="FunctionTok"/>
        </w:rPr>
        <w:t xml:space="preserve">str_extract</w:t>
      </w:r>
      <w:r>
        <w:rPr>
          <w:rStyle w:val="NormalTok"/>
        </w:rPr>
        <w:t xml:space="preserve">(sample, </w:t>
      </w:r>
      <w:r>
        <w:rPr>
          <w:rStyle w:val="StringTok"/>
        </w:rPr>
        <w:t xml:space="preserve">"F[0-9]+.[0-9A-D0-6]+"</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(sample_name)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"F"</w:t>
      </w:r>
      <w:r>
        <w:rPr>
          <w:rStyle w:val="NormalTok"/>
        </w:rPr>
        <w:t xml:space="preserve">, day, </w:t>
      </w:r>
      <w:r>
        <w:rPr>
          <w:rStyle w:val="StringTok"/>
        </w:rPr>
        <w:t xml:space="preserve">"."</w:t>
      </w:r>
      <w:r>
        <w:rPr>
          <w:rStyle w:val="NormalTok"/>
        </w:rPr>
        <w:t xml:space="preserve">, sample),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sample</w:t>
      </w:r>
      <w:r>
        <w:br/>
      </w:r>
      <w:r>
        <w:rPr>
          <w:rStyle w:val="NormalTok"/>
        </w:rPr>
        <w:t xml:space="preserve">      ),</w:t>
      </w:r>
      <w:r>
        <w:br/>
      </w:r>
      <w:r>
        <w:rPr>
          <w:rStyle w:val="NormalTok"/>
        </w:rPr>
        <w:t xml:space="preserve">    </w:t>
      </w:r>
      <w:r>
        <w:rPr>
          <w:rStyle w:val="AttributeTok"/>
        </w:rPr>
        <w:t xml:space="preserve">sample_name =</w:t>
      </w:r>
      <w:r>
        <w:rPr>
          <w:rStyle w:val="NormalTok"/>
        </w:rPr>
        <w:t xml:space="preserve"> </w:t>
      </w:r>
      <w:r>
        <w:rPr>
          <w:rStyle w:val="FunctionTok"/>
        </w:rPr>
        <w:t xml:space="preserve">str_extract</w:t>
      </w:r>
      <w:r>
        <w:rPr>
          <w:rStyle w:val="NormalTok"/>
        </w:rPr>
        <w:t xml:space="preserve">(sample, </w:t>
      </w:r>
      <w:r>
        <w:rPr>
          <w:rStyle w:val="StringTok"/>
        </w:rPr>
        <w:t xml:space="preserve">"F[0-9]+.[0-9A-D0-6]+"</w:t>
      </w:r>
      <w:r>
        <w:rPr>
          <w:rStyle w:val="NormalTok"/>
        </w:rPr>
        <w:t xml:space="preserve">)</w:t>
      </w:r>
      <w:r>
        <w:br/>
      </w:r>
      <w:r>
        <w:rPr>
          <w:rStyle w:val="NormalTok"/>
        </w:rPr>
        <w:t xml:space="preserve">  )</w:t>
      </w:r>
      <w:r>
        <w:br/>
      </w:r>
      <w:r>
        <w:br/>
      </w:r>
      <w:r>
        <w:rPr>
          <w:rStyle w:val="NormalTok"/>
        </w:rPr>
        <w:t xml:space="preserve">comb_samples </w:t>
      </w:r>
      <w:r>
        <w:rPr>
          <w:rStyle w:val="SpecialCharTok"/>
        </w:rPr>
        <w:t xml:space="preserve">%&gt;%</w:t>
      </w:r>
      <w:r>
        <w:br/>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"Artificial"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day</w:t>
            </w:r>
          </w:p>
        </w:tc>
        <w:tc>
          <w:tcPr/>
          <w:p>
            <w:pPr>
              <w:pStyle w:val="Compact"/>
              <w:jc w:val="right"/>
            </w:pPr>
            <w:r>
              <w:t xml:space="preserve">n</w:t>
            </w:r>
          </w:p>
        </w:tc>
      </w:tr>
      <w:tr>
        <w:tc>
          <w:tcPr/>
          <w:p>
            <w:pPr>
              <w:pStyle w:val="Compact"/>
              <w:jc w:val="right"/>
            </w:pPr>
            <w:r>
              <w:t xml:space="preserve">7</w:t>
            </w:r>
          </w:p>
        </w:tc>
        <w:tc>
          <w:tcPr/>
          <w:p>
            <w:pPr>
              <w:pStyle w:val="Compact"/>
              <w:jc w:val="right"/>
            </w:pPr>
            <w:r>
              <w:t xml:space="preserve">4</w:t>
            </w:r>
          </w:p>
        </w:tc>
      </w:tr>
      <w:tr>
        <w:tc>
          <w:tcPr/>
          <w:p>
            <w:pPr>
              <w:pStyle w:val="Compact"/>
              <w:jc w:val="right"/>
            </w:pPr>
            <w:r>
              <w:t xml:space="preserve">12</w:t>
            </w:r>
          </w:p>
        </w:tc>
        <w:tc>
          <w:tcPr/>
          <w:p>
            <w:pPr>
              <w:pStyle w:val="Compact"/>
              <w:jc w:val="right"/>
            </w:pPr>
            <w:r>
              <w:t xml:space="preserve">6</w:t>
            </w:r>
          </w:p>
        </w:tc>
      </w:tr>
      <w:tr>
        <w:tc>
          <w:tcPr/>
          <w:p>
            <w:pPr>
              <w:pStyle w:val="Compact"/>
              <w:jc w:val="right"/>
            </w:pPr>
            <w:r>
              <w:t xml:space="preserve">16</w:t>
            </w:r>
          </w:p>
        </w:tc>
        <w:tc>
          <w:tcPr/>
          <w:p>
            <w:pPr>
              <w:pStyle w:val="Compact"/>
              <w:jc w:val="right"/>
            </w:pPr>
            <w:r>
              <w:t xml:space="preserve">28</w:t>
            </w:r>
          </w:p>
        </w:tc>
      </w:tr>
      <w:tr>
        <w:tc>
          <w:tcPr/>
          <w:p>
            <w:pPr>
              <w:pStyle w:val="Compact"/>
              <w:jc w:val="right"/>
            </w:pPr>
            <w:r>
              <w:t xml:space="preserve">20</w:t>
            </w:r>
          </w:p>
        </w:tc>
        <w:tc>
          <w:tcPr/>
          <w:p>
            <w:pPr>
              <w:pStyle w:val="Compact"/>
              <w:jc w:val="right"/>
            </w:pPr>
            <w:r>
              <w:t xml:space="preserve">27</w:t>
            </w:r>
          </w:p>
        </w:tc>
      </w:tr>
      <w:tr>
        <w:tc>
          <w:tcPr/>
          <w:p>
            <w:pPr>
              <w:pStyle w:val="Compact"/>
              <w:jc w:val="right"/>
            </w:pPr>
            <w:r>
              <w:t xml:space="preserve">24</w:t>
            </w:r>
          </w:p>
        </w:tc>
        <w:tc>
          <w:tcPr/>
          <w:p>
            <w:pPr>
              <w:pStyle w:val="Compact"/>
              <w:jc w:val="right"/>
            </w:pPr>
            <w:r>
              <w:t xml:space="preserve">33</w:t>
            </w:r>
          </w:p>
        </w:tc>
      </w:tr>
    </w:tbl>
    <w:p>
      <w:pPr>
        <w:pStyle w:val="BodyText"/>
      </w:pPr>
      <w:r>
        <w:t xml:space="preserve">23 model biofilm samples from days 7, 16, 20, and 24, were analysed. Reference</w:t>
      </w:r>
      <w:r>
        <w:t xml:space="preserve"> </w:t>
      </w:r>
      <w:r>
        <w:t xml:space="preserve">samples for comparison included two modern calculus samples and an archaeological</w:t>
      </w:r>
      <w:r>
        <w:t xml:space="preserve"> </w:t>
      </w:r>
      <w:r>
        <w:t xml:space="preserve">calculus sample. The</w:t>
      </w:r>
      <w:r>
        <w:t xml:space="preserve"> </w:t>
      </w:r>
      <w:r>
        <w:t xml:space="preserve">archaeological sample was an isolated tooth from Middenbeemster, a rural Dutch</w:t>
      </w:r>
      <w:r>
        <w:t xml:space="preserve"> </w:t>
      </w:r>
      <w:r>
        <w:t xml:space="preserve">site from the 19th century. Samples</w:t>
      </w:r>
      <w:r>
        <w:t xml:space="preserve"> </w:t>
      </w:r>
      <w:r>
        <w:t xml:space="preserve">,</w:t>
      </w:r>
      <w:r>
        <w:t xml:space="preserve"> </w:t>
      </w:r>
      <w:r>
        <w:t xml:space="preserve">had to be combined to</w:t>
      </w:r>
      <w:r>
        <w:t xml:space="preserve"> </w:t>
      </w:r>
      <w:r>
        <w:t xml:space="preserve">provide enough material for analysis. Only samples collected on the same day</w:t>
      </w:r>
      <w:r>
        <w:t xml:space="preserve"> </w:t>
      </w:r>
      <w:r>
        <w:t xml:space="preserve">were combined with each other. Samples from days 7 and 12 did</w:t>
      </w:r>
      <w:r>
        <w:t xml:space="preserve"> </w:t>
      </w:r>
      <w:r>
        <w:t xml:space="preserve">not produce enough material for a grind curve. They were largely composed of</w:t>
      </w:r>
      <w:r>
        <w:t xml:space="preserve"> </w:t>
      </w:r>
      <w:r>
        <w:t xml:space="preserve">organics and proteins, I would not be able to produce a splitting factor, anyway.</w:t>
      </w:r>
    </w:p>
    <w:p>
      <w:pPr>
        <w:pStyle w:val="SourceCode"/>
      </w:pPr>
      <w:r>
        <w:rPr>
          <w:rStyle w:val="NormalTok"/>
        </w:rPr>
        <w:t xml:space="preserve">grind_data </w:t>
      </w:r>
      <w:r>
        <w:rPr>
          <w:rStyle w:val="SpecialCharTok"/>
        </w:rPr>
        <w:t xml:space="preserve">%&gt;%</w:t>
      </w:r>
      <w:r>
        <w:br/>
      </w:r>
      <w:r>
        <w:rPr>
          <w:rStyle w:val="NormalTok"/>
        </w:rPr>
        <w:t xml:space="preserve">  </w:t>
      </w:r>
      <w:r>
        <w:rPr>
          <w:rStyle w:val="FunctionTok"/>
        </w:rPr>
        <w:t xml:space="preserve">filter</w:t>
      </w:r>
      <w:r>
        <w:rPr>
          <w:rStyle w:val="NormalTok"/>
        </w:rPr>
        <w:t xml:space="preserve">(Sample </w:t>
      </w:r>
      <w:r>
        <w:rPr>
          <w:rStyle w:val="SpecialCharTok"/>
        </w:rPr>
        <w:t xml:space="preserve">==</w:t>
      </w:r>
      <w:r>
        <w:rPr>
          <w:rStyle w:val="NormalTok"/>
        </w:rPr>
        <w:t xml:space="preserve"> </w:t>
      </w:r>
      <w:r>
        <w:rPr>
          <w:rStyle w:val="StringTok"/>
        </w:rPr>
        <w:t xml:space="preserve">"Artificial calculus"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p>
      <w:pPr>
        <w:pStyle w:val="TableCaption"/>
      </w:pPr>
      <w:r>
        <w:t xml:space="preserve">Summary of samples used in grinding curves.</w:t>
      </w:r>
    </w:p>
    <w:tbl>
      <w:tblPr>
        <w:tblStyle w:val="Table"/>
        <w:tblW w:type="auto" w:w="0"/>
        <w:tblLook w:firstRow="1" w:lastRow="0" w:firstColumn="0" w:lastColumn="0" w:noHBand="0" w:noVBand="0" w:val="0020"/>
        <w:tblCaption w:val="Summary of samples used in grinding curves."/>
      </w:tblPr>
      <w:tblGrid>
        <w:gridCol w:w="3960"/>
        <w:gridCol w:w="3960"/>
      </w:tblGrid>
      <w:tr>
        <w:trPr>
          <w:tblHeader w:val="true"/>
        </w:trPr>
        <w:tc>
          <w:tcPr/>
          <w:p>
            <w:pPr>
              <w:pStyle w:val="Compact"/>
              <w:jc w:val="right"/>
            </w:pPr>
            <w:r>
              <w:t xml:space="preserve">day</w:t>
            </w:r>
          </w:p>
        </w:tc>
        <w:tc>
          <w:tcPr/>
          <w:p>
            <w:pPr>
              <w:pStyle w:val="Compact"/>
              <w:jc w:val="right"/>
            </w:pPr>
            <w:r>
              <w:t xml:space="preserve">n</w:t>
            </w:r>
          </w:p>
        </w:tc>
      </w:tr>
      <w:tr>
        <w:tc>
          <w:tcPr/>
          <w:p>
            <w:pPr>
              <w:pStyle w:val="Compact"/>
              <w:jc w:val="right"/>
            </w:pPr>
            <w:r>
              <w:t xml:space="preserve">16</w:t>
            </w:r>
          </w:p>
        </w:tc>
        <w:tc>
          <w:tcPr/>
          <w:p>
            <w:pPr>
              <w:pStyle w:val="Compact"/>
              <w:jc w:val="right"/>
            </w:pPr>
            <w:r>
              <w:t xml:space="preserve">16</w:t>
            </w:r>
          </w:p>
        </w:tc>
      </w:tr>
      <w:tr>
        <w:tc>
          <w:tcPr/>
          <w:p>
            <w:pPr>
              <w:pStyle w:val="Compact"/>
              <w:jc w:val="right"/>
            </w:pPr>
            <w:r>
              <w:t xml:space="preserve">20</w:t>
            </w:r>
          </w:p>
        </w:tc>
        <w:tc>
          <w:tcPr/>
          <w:p>
            <w:pPr>
              <w:pStyle w:val="Compact"/>
              <w:jc w:val="right"/>
            </w:pPr>
            <w:r>
              <w:t xml:space="preserve">15</w:t>
            </w:r>
          </w:p>
        </w:tc>
      </w:tr>
      <w:tr>
        <w:tc>
          <w:tcPr/>
          <w:p>
            <w:pPr>
              <w:pStyle w:val="Compact"/>
              <w:jc w:val="right"/>
            </w:pPr>
            <w:r>
              <w:t xml:space="preserve">24</w:t>
            </w:r>
          </w:p>
        </w:tc>
        <w:tc>
          <w:tcPr/>
          <w:p>
            <w:pPr>
              <w:pStyle w:val="Compact"/>
              <w:jc w:val="right"/>
            </w:pPr>
            <w:r>
              <w:t xml:space="preserve">16</w:t>
            </w:r>
          </w:p>
        </w:tc>
      </w:tr>
    </w:tbl>
    <w:bookmarkEnd w:id="20"/>
    <w:bookmarkStart w:id="21" w:name="methods"/>
    <w:p>
      <w:pPr>
        <w:pStyle w:val="Heading3"/>
      </w:pPr>
      <w:r>
        <w:t xml:space="preserve">Methods</w:t>
      </w:r>
    </w:p>
    <w:p>
      <w:pPr>
        <w:pStyle w:val="FirstParagraph"/>
      </w:pPr>
      <w:r>
        <w:t xml:space="preserve">Samples were ground with KBr and pressed under up to two tons of pressure.</w:t>
      </w:r>
      <w:r>
        <w:t xml:space="preserve"> </w:t>
      </w:r>
      <w:r>
        <w:t xml:space="preserve">Repeated measurements were taken and after different grinding durations, and</w:t>
      </w:r>
      <w:r>
        <w:t xml:space="preserve"> </w:t>
      </w:r>
      <w:r>
        <w:t xml:space="preserve">a grind curve was produced following Asscher et al.</w:t>
      </w:r>
      <w:r>
        <w:t xml:space="preserve"> </w:t>
      </w:r>
      <w:r>
        <w:t xml:space="preserve">[-@asscherAtomicDisorder2011]</w:t>
      </w:r>
      <w:r>
        <w:t xml:space="preserve">.</w:t>
      </w:r>
      <w:r>
        <w:t xml:space="preserve"> </w:t>
      </w:r>
      <w:r>
        <w:t xml:space="preserve">Samples were ground and analysed up to six times (a-f) for the grind curve.</w:t>
      </w:r>
      <w:r>
        <w:t xml:space="preserve"> </w:t>
      </w:r>
      <w:r>
        <w:t xml:space="preserve">The analysis was conducted at Haifa University with a Thermo Nicolet is5</w:t>
      </w:r>
      <w:r>
        <w:t xml:space="preserve"> </w:t>
      </w:r>
      <w:r>
        <w:t xml:space="preserve">spectrometer in transmission,</w:t>
      </w:r>
      <w:r>
        <w:t xml:space="preserve"> </w:t>
      </w:r>
      <w:r>
        <w:t xml:space="preserve">at 4 cm</w:t>
      </w:r>
      <m:oMath>
        <m:sSup>
          <m:e>
            <m:r>
              <m:t>​</m:t>
            </m:r>
          </m:e>
          <m:sup>
            <m:r>
              <m:rPr>
                <m:sty m:val="p"/>
              </m:rPr>
              <m:t>−</m:t>
            </m:r>
            <m:r>
              <m:t>1</m:t>
            </m:r>
          </m:sup>
        </m:sSup>
      </m:oMath>
      <w:r>
        <w:t xml:space="preserve"> </w:t>
      </w:r>
      <w:r>
        <w:t xml:space="preserve">resolution, with an average of 32 scans between wavenumbers 4000</w:t>
      </w:r>
      <w:r>
        <w:t xml:space="preserve"> </w:t>
      </w:r>
      <w:r>
        <w:t xml:space="preserve">and 400 cm</w:t>
      </w:r>
      <m:oMath>
        <m:sSup>
          <m:e>
            <m:r>
              <m:t>​</m:t>
            </m:r>
          </m:e>
          <m:sup>
            <m:r>
              <m:rPr>
                <m:sty m:val="p"/>
              </m:rPr>
              <m:t>−</m:t>
            </m:r>
            <m:r>
              <m:t>1</m:t>
            </m:r>
          </m:sup>
        </m:sSup>
      </m:oMath>
      <w:r>
        <w:t xml:space="preserve">.</w:t>
      </w:r>
      <w:r>
        <w:t xml:space="preserve"> </w:t>
      </w:r>
      <w:r>
        <w:t xml:space="preserve">The splitting factor was calculated following Asscher et al.</w:t>
      </w:r>
      <w:r>
        <w:t xml:space="preserve"> </w:t>
      </w:r>
      <w:r>
        <w:t xml:space="preserve">[-@asscherAtomicDisorder2011]</w:t>
      </w:r>
      <w:r>
        <w:t xml:space="preserve">,</w:t>
      </w:r>
      <w:r>
        <w:t xml:space="preserve"> </w:t>
      </w:r>
      <w:r>
        <w:t xml:space="preserve">using the full width at half maximum (FWHM) of the main peak at 1035. Grinds a-f</w:t>
      </w:r>
      <w:r>
        <w:t xml:space="preserve"> </w:t>
      </w:r>
      <w:r>
        <w:t xml:space="preserve">represent different levels of grinding. Samples denoted with an</w:t>
      </w:r>
      <w:r>
        <w:t xml:space="preserve"> </w:t>
      </w:r>
      <w:r>
        <w:t xml:space="preserve">‘</w:t>
      </w:r>
      <w:r>
        <w:t xml:space="preserve">a</w:t>
      </w:r>
      <w:r>
        <w:t xml:space="preserve">’</w:t>
      </w:r>
      <w:r>
        <w:t xml:space="preserve"> </w:t>
      </w:r>
      <w:r>
        <w:t xml:space="preserve">were ground</w:t>
      </w:r>
      <w:r>
        <w:t xml:space="preserve"> </w:t>
      </w:r>
      <w:r>
        <w:t xml:space="preserve">for the least amount of time and</w:t>
      </w:r>
      <w:r>
        <w:t xml:space="preserve"> </w:t>
      </w:r>
      <w:r>
        <w:t xml:space="preserve">‘</w:t>
      </w:r>
      <w:r>
        <w:t xml:space="preserve">f</w:t>
      </w:r>
      <w:r>
        <w:t xml:space="preserve">’</w:t>
      </w:r>
      <w:r>
        <w:t xml:space="preserve"> </w:t>
      </w:r>
      <w:r>
        <w:t xml:space="preserve">the most.</w:t>
      </w:r>
    </w:p>
    <w:bookmarkEnd w:id="21"/>
    <w:bookmarkStart w:id="41" w:name="results"/>
    <w:p>
      <w:pPr>
        <w:pStyle w:val="Heading3"/>
      </w:pPr>
      <w:r>
        <w:t xml:space="preserve">Results</w:t>
      </w:r>
    </w:p>
    <w:p>
      <w:pPr>
        <w:pStyle w:val="SourceCode"/>
      </w:pPr>
      <w:r>
        <w:rPr>
          <w:rStyle w:val="CommentTok"/>
        </w:rPr>
        <w:t xml:space="preserve"># calculate wavenumber of highest peak</w:t>
      </w:r>
      <w:r>
        <w:br/>
      </w:r>
      <w:r>
        <w:rPr>
          <w:rStyle w:val="CommentTok"/>
        </w:rPr>
        <w:t xml:space="preserve"># ftir_data &lt;- ftir_data %&gt;%</w:t>
      </w:r>
      <w:r>
        <w:br/>
      </w:r>
      <w:r>
        <w:rPr>
          <w:rStyle w:val="CommentTok"/>
        </w:rPr>
        <w:t xml:space="preserve">#   group_by(sample) %&gt;% </w:t>
      </w:r>
      <w:r>
        <w:br/>
      </w:r>
      <w:r>
        <w:rPr>
          <w:rStyle w:val="CommentTok"/>
        </w:rPr>
        <w:t xml:space="preserve">#   mutate(max_peak = wavenumber[which(abs == max(abs))])</w:t>
      </w:r>
      <w:r>
        <w:br/>
      </w:r>
      <w:r>
        <w:rPr>
          <w:rStyle w:val="NormalTok"/>
        </w:rPr>
        <w:t xml:space="preserve">grind_sample_order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"Archaeological calculus"</w:t>
      </w:r>
      <w:r>
        <w:rPr>
          <w:rStyle w:val="NormalTok"/>
        </w:rPr>
        <w:t xml:space="preserve">,</w:t>
      </w:r>
      <w:r>
        <w:br/>
      </w:r>
      <w:r>
        <w:rPr>
          <w:rStyle w:val="NormalTok"/>
        </w:rPr>
        <w:t xml:space="preserve">  </w:t>
      </w:r>
      <w:r>
        <w:rPr>
          <w:rStyle w:val="StringTok"/>
        </w:rPr>
        <w:t xml:space="preserve">"Artificial calculus day 16"</w:t>
      </w:r>
      <w:r>
        <w:rPr>
          <w:rStyle w:val="NormalTok"/>
        </w:rPr>
        <w:t xml:space="preserve">,</w:t>
      </w:r>
      <w:r>
        <w:br/>
      </w:r>
      <w:r>
        <w:rPr>
          <w:rStyle w:val="NormalTok"/>
        </w:rPr>
        <w:t xml:space="preserve">  </w:t>
      </w:r>
      <w:r>
        <w:rPr>
          <w:rStyle w:val="StringTok"/>
        </w:rPr>
        <w:t xml:space="preserve">"Artificial calculus day 20"</w:t>
      </w:r>
      <w:r>
        <w:rPr>
          <w:rStyle w:val="NormalTok"/>
        </w:rPr>
        <w:t xml:space="preserve">,</w:t>
      </w:r>
      <w:r>
        <w:br/>
      </w:r>
      <w:r>
        <w:rPr>
          <w:rStyle w:val="NormalTok"/>
        </w:rPr>
        <w:t xml:space="preserve">  </w:t>
      </w:r>
      <w:r>
        <w:rPr>
          <w:rStyle w:val="StringTok"/>
        </w:rPr>
        <w:t xml:space="preserve">"Artificial calculus day 24"</w:t>
      </w:r>
      <w:r>
        <w:rPr>
          <w:rStyle w:val="NormalTok"/>
        </w:rPr>
        <w:t xml:space="preserve">,</w:t>
      </w:r>
      <w:r>
        <w:br/>
      </w:r>
      <w:r>
        <w:rPr>
          <w:rStyle w:val="NormalTok"/>
        </w:rPr>
        <w:t xml:space="preserve">  </w:t>
      </w:r>
      <w:r>
        <w:rPr>
          <w:rStyle w:val="StringTok"/>
        </w:rPr>
        <w:t xml:space="preserve">"Archaeological bone"</w:t>
      </w:r>
      <w:r>
        <w:rPr>
          <w:rStyle w:val="NormalTok"/>
        </w:rPr>
        <w:t xml:space="preserve">,</w:t>
      </w:r>
      <w:r>
        <w:br/>
      </w:r>
      <w:r>
        <w:rPr>
          <w:rStyle w:val="NormalTok"/>
        </w:rPr>
        <w:t xml:space="preserve">  </w:t>
      </w:r>
      <w:r>
        <w:rPr>
          <w:rStyle w:val="StringTok"/>
        </w:rPr>
        <w:t xml:space="preserve">"Bone-Dentine"</w:t>
      </w:r>
      <w:r>
        <w:rPr>
          <w:rStyle w:val="NormalTok"/>
        </w:rPr>
        <w:t xml:space="preserve">,</w:t>
      </w:r>
      <w:r>
        <w:br/>
      </w:r>
      <w:r>
        <w:rPr>
          <w:rStyle w:val="NormalTok"/>
        </w:rPr>
        <w:t xml:space="preserve">  </w:t>
      </w:r>
      <w:r>
        <w:rPr>
          <w:rStyle w:val="StringTok"/>
        </w:rPr>
        <w:t xml:space="preserve">"Bone-Dentine_2"</w:t>
      </w:r>
      <w:r>
        <w:rPr>
          <w:rStyle w:val="NormalTok"/>
        </w:rPr>
        <w:t xml:space="preserve">,</w:t>
      </w:r>
      <w:r>
        <w:br/>
      </w:r>
      <w:r>
        <w:rPr>
          <w:rStyle w:val="NormalTok"/>
        </w:rPr>
        <w:t xml:space="preserve">  </w:t>
      </w:r>
      <w:r>
        <w:rPr>
          <w:rStyle w:val="StringTok"/>
        </w:rPr>
        <w:t xml:space="preserve">"Enamel"</w:t>
      </w:r>
      <w:r>
        <w:rPr>
          <w:rStyle w:val="NormalTok"/>
        </w:rPr>
        <w:t xml:space="preserve">,</w:t>
      </w:r>
      <w:r>
        <w:br/>
      </w:r>
      <w:r>
        <w:rPr>
          <w:rStyle w:val="NormalTok"/>
        </w:rPr>
        <w:t xml:space="preserve">  </w:t>
      </w:r>
      <w:r>
        <w:rPr>
          <w:rStyle w:val="StringTok"/>
        </w:rPr>
        <w:t xml:space="preserve">"Enamel_2"</w:t>
      </w:r>
      <w:r>
        <w:rPr>
          <w:rStyle w:val="NormalTok"/>
        </w:rPr>
        <w:t xml:space="preserve">,</w:t>
      </w:r>
      <w:r>
        <w:br/>
      </w:r>
      <w:r>
        <w:rPr>
          <w:rStyle w:val="NormalTok"/>
        </w:rPr>
        <w:t xml:space="preserve">  </w:t>
      </w:r>
      <w:r>
        <w:rPr>
          <w:rStyle w:val="StringTok"/>
        </w:rPr>
        <w:t xml:space="preserve">"Enamel_3"</w:t>
      </w:r>
      <w:r>
        <w:rPr>
          <w:rStyle w:val="NormalTok"/>
        </w:rPr>
        <w:t xml:space="preserve">)</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day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"F7"</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"F7.1A6_b"</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n.breaks =</w:t>
      </w:r>
      <w:r>
        <w:rPr>
          <w:rStyle w:val="NormalTok"/>
        </w:rPr>
        <w:t xml:space="preserve"> </w:t>
      </w:r>
      <w:r>
        <w:rPr>
          <w:rStyle w:val="FunctionTok"/>
        </w:rPr>
        <w:t xml:space="preserve">length</w:t>
      </w:r>
      <w:r>
        <w:rPr>
          <w:rStyle w:val="NormalTok"/>
        </w:rPr>
        <w:t xml:space="preserve">(</w:t>
      </w:r>
      <w:r>
        <w:rPr>
          <w:rStyle w:val="FunctionTok"/>
        </w:rPr>
        <w:t xml:space="preserve">as.character</w:t>
      </w:r>
      <w:r>
        <w:rPr>
          <w:rStyle w:val="NormalTok"/>
        </w:rPr>
        <w:t xml:space="preserve">(</w:t>
      </w:r>
      <w:r>
        <w:rPr>
          <w:rStyle w:val="FunctionTok"/>
        </w:rPr>
        <w:t xml:space="preserve">seq</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AttributeTok"/>
        </w:rPr>
        <w:t xml:space="preserve">by =</w:t>
      </w:r>
      <w:r>
        <w:rPr>
          <w:rStyle w:val="NormalTok"/>
        </w:rPr>
        <w:t xml:space="preserve"> </w:t>
      </w:r>
      <w:r>
        <w:rPr>
          <w:rStyle w:val="DecValTok"/>
        </w:rPr>
        <w:t xml:space="preserve">500</w:t>
      </w:r>
      <w:r>
        <w:rPr>
          <w:rStyle w:val="NormalTok"/>
        </w:rPr>
        <w:t xml:space="preserve">)))</w:t>
      </w:r>
      <w:r>
        <w:br/>
      </w:r>
      <w:r>
        <w:rPr>
          <w:rStyle w:val="NormalTok"/>
        </w:rPr>
        <w:t xml:space="preserve">    )</w:t>
      </w:r>
    </w:p>
    <w:p>
      <w:pPr>
        <w:pStyle w:val="CaptionedFigure"/>
      </w:pPr>
      <w:r>
        <w:drawing>
          <wp:inline>
            <wp:extent cx="4620126" cy="3696101"/>
            <wp:effectExtent b="0" l="0" r="0" t="0"/>
            <wp:docPr descr="Two spectra from biofilm sampled on day 7 of the experiment." title="" id="23" name="Picture"/>
            <a:graphic>
              <a:graphicData uri="http://schemas.openxmlformats.org/drawingml/2006/picture">
                <pic:pic>
                  <pic:nvPicPr>
                    <pic:cNvPr descr="FTIR-analysis_files/figure-docx/day-7-spectra-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Two spectra from biofilm sampled on day 7 of the experiment.</w:t>
      </w:r>
    </w:p>
    <w:p>
      <w:pPr>
        <w:pStyle w:val="BodyText"/>
      </w:pPr>
      <w:r>
        <w:t xml:space="preserve">Day 7 spectra show large organic component, especially proteins (and collagen?).</w:t>
      </w:r>
      <w:r>
        <w:t xml:space="preserve"> </w:t>
      </w:r>
      <w:r>
        <w:t xml:space="preserve">The hydroxyapatite peak is present at around 1040, but the doublet around 600 is</w:t>
      </w:r>
      <w:r>
        <w:t xml:space="preserve"> </w:t>
      </w:r>
      <w:r>
        <w:t xml:space="preserve">poorly defined or absent.</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day </w:t>
      </w:r>
      <w:r>
        <w:rPr>
          <w:rStyle w:val="SpecialCha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FunctionTok"/>
        </w:rPr>
        <w:t xml:space="preserve">is.na</w:t>
      </w:r>
      <w:r>
        <w:rPr>
          <w:rStyle w:val="NormalTok"/>
        </w:rPr>
        <w:t xml:space="preserve">(grind),</w:t>
      </w:r>
      <w:r>
        <w:br/>
      </w:r>
      <w:r>
        <w:rPr>
          <w:rStyle w:val="NormalTok"/>
        </w:rPr>
        <w:t xml:space="preserve">    sample </w:t>
      </w:r>
      <w:r>
        <w:rPr>
          <w:rStyle w:val="SpecialCharTok"/>
        </w:rPr>
        <w:t xml:space="preserve">!=</w:t>
      </w:r>
      <w:r>
        <w:rPr>
          <w:rStyle w:val="NormalTok"/>
        </w:rPr>
        <w:t xml:space="preserve"> </w:t>
      </w:r>
      <w:r>
        <w:rPr>
          <w:rStyle w:val="StringTok"/>
        </w:rPr>
        <w:t xml:space="preserve">"F16.2D2"</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"F16.1D6"</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"F16.1B2"</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n.breaks =</w:t>
      </w:r>
      <w:r>
        <w:rPr>
          <w:rStyle w:val="NormalTok"/>
        </w:rPr>
        <w:t xml:space="preserve"> </w:t>
      </w:r>
      <w:r>
        <w:rPr>
          <w:rStyle w:val="FunctionTok"/>
        </w:rPr>
        <w:t xml:space="preserve">length</w:t>
      </w:r>
      <w:r>
        <w:rPr>
          <w:rStyle w:val="NormalTok"/>
        </w:rPr>
        <w:t xml:space="preserve">(</w:t>
      </w:r>
      <w:r>
        <w:rPr>
          <w:rStyle w:val="FunctionTok"/>
        </w:rPr>
        <w:t xml:space="preserve">as.character</w:t>
      </w:r>
      <w:r>
        <w:rPr>
          <w:rStyle w:val="NormalTok"/>
        </w:rPr>
        <w:t xml:space="preserve">(</w:t>
      </w:r>
      <w:r>
        <w:rPr>
          <w:rStyle w:val="FunctionTok"/>
        </w:rPr>
        <w:t xml:space="preserve">seq</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AttributeTok"/>
        </w:rPr>
        <w:t xml:space="preserve">by =</w:t>
      </w:r>
      <w:r>
        <w:rPr>
          <w:rStyle w:val="NormalTok"/>
        </w:rPr>
        <w:t xml:space="preserve"> </w:t>
      </w:r>
      <w:r>
        <w:rPr>
          <w:rStyle w:val="DecValTok"/>
        </w:rPr>
        <w:t xml:space="preserve">500</w:t>
      </w:r>
      <w:r>
        <w:rPr>
          <w:rStyle w:val="NormalTok"/>
        </w:rPr>
        <w:t xml:space="preserve">)))</w:t>
      </w:r>
      <w:r>
        <w:br/>
      </w:r>
      <w:r>
        <w:rPr>
          <w:rStyle w:val="NormalTok"/>
        </w:rPr>
        <w:t xml:space="preserve">    )</w:t>
      </w:r>
    </w:p>
    <w:p>
      <w:pPr>
        <w:pStyle w:val="CaptionedFigure"/>
      </w:pPr>
      <w:r>
        <w:drawing>
          <wp:inline>
            <wp:extent cx="4620126" cy="3696101"/>
            <wp:effectExtent b="0" l="0" r="0" t="0"/>
            <wp:docPr descr="Spectra from biofilm sampled on day 16 of the experiment." title="" id="26" name="Picture"/>
            <a:graphic>
              <a:graphicData uri="http://schemas.openxmlformats.org/drawingml/2006/picture">
                <pic:pic>
                  <pic:nvPicPr>
                    <pic:cNvPr descr="FTIR-analysis_files/figure-docx/day-16-spectra-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Spectra from biofilm sampled on day 16 of the experiment.</w:t>
      </w:r>
    </w:p>
    <w:p>
      <w:pPr>
        <w:pStyle w:val="BodyText"/>
      </w:pPr>
      <w:r>
        <w:t xml:space="preserve">Day 16, the mineral phase has become more prominent than the organic. The</w:t>
      </w:r>
      <w:r>
        <w:t xml:space="preserve"> </w:t>
      </w:r>
      <w:r>
        <w:t xml:space="preserve">hydroxyapatite peak is now the main peak, and the doublet is well-defined.</w:t>
      </w:r>
      <w:r>
        <w:t xml:space="preserve"> </w:t>
      </w:r>
      <w:r>
        <w:t xml:space="preserve">There is still some variability in relative heights of the peaks between samples.</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day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FunctionTok"/>
        </w:rPr>
        <w:t xml:space="preserve">is.na</w:t>
      </w:r>
      <w:r>
        <w:rPr>
          <w:rStyle w:val="NormalTok"/>
        </w:rPr>
        <w:t xml:space="preserve">(grind),</w:t>
      </w:r>
      <w:r>
        <w:br/>
      </w:r>
      <w:r>
        <w:rPr>
          <w:rStyle w:val="NormalTok"/>
        </w:rPr>
        <w:t xml:space="preserve">    </w:t>
      </w:r>
      <w:r>
        <w:rPr>
          <w:rStyle w:val="FunctionTok"/>
        </w:rPr>
        <w:t xml:space="preserve">str_detect</w:t>
      </w:r>
      <w:r>
        <w:rPr>
          <w:rStyle w:val="NormalTok"/>
        </w:rPr>
        <w:t xml:space="preserve">(sample, </w:t>
      </w:r>
      <w:r>
        <w:rPr>
          <w:rStyle w:val="StringTok"/>
        </w:rPr>
        <w:t xml:space="preserve">"[_]"</w:t>
      </w:r>
      <w:r>
        <w:rPr>
          <w:rStyle w:val="NormalTok"/>
        </w:rPr>
        <w:t xml:space="preserve">, </w:t>
      </w:r>
      <w:r>
        <w:rPr>
          <w:rStyle w:val="AttributeTok"/>
        </w:rPr>
        <w:t xml:space="preserve">negate =</w:t>
      </w:r>
      <w:r>
        <w:rPr>
          <w:rStyle w:val="NormalTok"/>
        </w:rPr>
        <w:t xml:space="preserve"> T),</w:t>
      </w:r>
      <w:r>
        <w:br/>
      </w:r>
      <w:r>
        <w:rPr>
          <w:rStyle w:val="NormalTok"/>
        </w:rPr>
        <w:t xml:space="preserve">    sample </w:t>
      </w:r>
      <w:r>
        <w:rPr>
          <w:rStyle w:val="SpecialCharTok"/>
        </w:rPr>
        <w:t xml:space="preserve">!=</w:t>
      </w:r>
      <w:r>
        <w:rPr>
          <w:rStyle w:val="NormalTok"/>
        </w:rPr>
        <w:t xml:space="preserve"> </w:t>
      </w:r>
      <w:r>
        <w:rPr>
          <w:rStyle w:val="StringTok"/>
        </w:rPr>
        <w:t xml:space="preserve">"F24.1B3"</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"F24.2C3"</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"F24.2D3"</w:t>
      </w:r>
      <w:r>
        <w:rPr>
          <w:rStyle w:val="NormalTok"/>
        </w:rPr>
        <w:t xml:space="preserve">,</w:t>
      </w:r>
      <w:r>
        <w:br/>
      </w:r>
      <w:r>
        <w:rPr>
          <w:rStyle w:val="NormalTok"/>
        </w:rPr>
        <w:t xml:space="preserve">    sample </w:t>
      </w:r>
      <w:r>
        <w:rPr>
          <w:rStyle w:val="SpecialCharTok"/>
        </w:rPr>
        <w:t xml:space="preserve">!=</w:t>
      </w:r>
      <w:r>
        <w:rPr>
          <w:rStyle w:val="NormalTok"/>
        </w:rPr>
        <w:t xml:space="preserve"> </w:t>
      </w:r>
      <w:r>
        <w:rPr>
          <w:rStyle w:val="StringTok"/>
        </w:rPr>
        <w:t xml:space="preserve">"F24.2A4"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n.breaks =</w:t>
      </w:r>
      <w:r>
        <w:rPr>
          <w:rStyle w:val="NormalTok"/>
        </w:rPr>
        <w:t xml:space="preserve"> </w:t>
      </w:r>
      <w:r>
        <w:rPr>
          <w:rStyle w:val="FunctionTok"/>
        </w:rPr>
        <w:t xml:space="preserve">length</w:t>
      </w:r>
      <w:r>
        <w:rPr>
          <w:rStyle w:val="NormalTok"/>
        </w:rPr>
        <w:t xml:space="preserve">(</w:t>
      </w:r>
      <w:r>
        <w:rPr>
          <w:rStyle w:val="FunctionTok"/>
        </w:rPr>
        <w:t xml:space="preserve">as.character</w:t>
      </w:r>
      <w:r>
        <w:rPr>
          <w:rStyle w:val="NormalTok"/>
        </w:rPr>
        <w:t xml:space="preserve">(</w:t>
      </w:r>
      <w:r>
        <w:rPr>
          <w:rStyle w:val="FunctionTok"/>
        </w:rPr>
        <w:t xml:space="preserve">seq</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AttributeTok"/>
        </w:rPr>
        <w:t xml:space="preserve">by =</w:t>
      </w:r>
      <w:r>
        <w:rPr>
          <w:rStyle w:val="NormalTok"/>
        </w:rPr>
        <w:t xml:space="preserve"> </w:t>
      </w:r>
      <w:r>
        <w:rPr>
          <w:rStyle w:val="DecValTok"/>
        </w:rPr>
        <w:t xml:space="preserve">500</w:t>
      </w:r>
      <w:r>
        <w:rPr>
          <w:rStyle w:val="NormalTok"/>
        </w:rPr>
        <w:t xml:space="preserve">)))</w:t>
      </w:r>
      <w:r>
        <w:br/>
      </w:r>
      <w:r>
        <w:rPr>
          <w:rStyle w:val="NormalTok"/>
        </w:rPr>
        <w:t xml:space="preserve">    )</w:t>
      </w:r>
    </w:p>
    <w:p>
      <w:pPr>
        <w:pStyle w:val="CaptionedFigure"/>
      </w:pPr>
      <w:r>
        <w:drawing>
          <wp:inline>
            <wp:extent cx="4620126" cy="3696101"/>
            <wp:effectExtent b="0" l="0" r="0" t="0"/>
            <wp:docPr descr="Two spectra from the final biofilm product sampled on day 24 of the experiment." title="" id="29" name="Picture"/>
            <a:graphic>
              <a:graphicData uri="http://schemas.openxmlformats.org/drawingml/2006/picture">
                <pic:pic>
                  <pic:nvPicPr>
                    <pic:cNvPr descr="FTIR-analysis_files/figure-docx/day-24-spectra-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Two spectra from the final biofilm product sampled on day 24 of the experiment.</w:t>
      </w:r>
    </w:p>
    <w:p>
      <w:pPr>
        <w:pStyle w:val="BodyText"/>
      </w:pPr>
      <w:r>
        <w:t xml:space="preserve">Day 24, the mineral phase continues to dominate. The main peak</w:t>
      </w:r>
      <w:r>
        <w:t xml:space="preserve"> </w:t>
      </w:r>
      <w:r>
        <w:t xml:space="preserve">is the hydroxyapatite peak at around 1039 with a well-defined doublet at 604 and</w:t>
      </w:r>
      <w:r>
        <w:t xml:space="preserve"> </w:t>
      </w:r>
      <w:r>
        <w:t xml:space="preserve">565.</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str_detect</w:t>
      </w:r>
      <w:r>
        <w:rPr>
          <w:rStyle w:val="NormalTok"/>
        </w:rPr>
        <w:t xml:space="preserve">(sample, </w:t>
      </w:r>
      <w:r>
        <w:rPr>
          <w:rStyle w:val="StringTok"/>
        </w:rPr>
        <w:t xml:space="preserve">"MB11_grind_[cd]"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n.breaks =</w:t>
      </w:r>
      <w:r>
        <w:rPr>
          <w:rStyle w:val="NormalTok"/>
        </w:rPr>
        <w:t xml:space="preserve"> </w:t>
      </w:r>
      <w:r>
        <w:rPr>
          <w:rStyle w:val="FunctionTok"/>
        </w:rPr>
        <w:t xml:space="preserve">length</w:t>
      </w:r>
      <w:r>
        <w:rPr>
          <w:rStyle w:val="NormalTok"/>
        </w:rPr>
        <w:t xml:space="preserve">(</w:t>
      </w:r>
      <w:r>
        <w:rPr>
          <w:rStyle w:val="FunctionTok"/>
        </w:rPr>
        <w:t xml:space="preserve">as.character</w:t>
      </w:r>
      <w:r>
        <w:rPr>
          <w:rStyle w:val="NormalTok"/>
        </w:rPr>
        <w:t xml:space="preserve">(</w:t>
      </w:r>
      <w:r>
        <w:rPr>
          <w:rStyle w:val="FunctionTok"/>
        </w:rPr>
        <w:t xml:space="preserve">seq</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AttributeTok"/>
        </w:rPr>
        <w:t xml:space="preserve">by =</w:t>
      </w:r>
      <w:r>
        <w:rPr>
          <w:rStyle w:val="NormalTok"/>
        </w:rPr>
        <w:t xml:space="preserve"> </w:t>
      </w:r>
      <w:r>
        <w:rPr>
          <w:rStyle w:val="DecValTok"/>
        </w:rPr>
        <w:t xml:space="preserve">500</w:t>
      </w:r>
      <w:r>
        <w:rPr>
          <w:rStyle w:val="NormalTok"/>
        </w:rPr>
        <w:t xml:space="preserve">)))</w:t>
      </w:r>
      <w:r>
        <w:br/>
      </w:r>
      <w:r>
        <w:rPr>
          <w:rStyle w:val="NormalTok"/>
        </w:rPr>
        <w:t xml:space="preserve">    )</w:t>
      </w:r>
    </w:p>
    <w:p>
      <w:pPr>
        <w:pStyle w:val="CaptionedFigure"/>
      </w:pPr>
      <w:r>
        <w:drawing>
          <wp:inline>
            <wp:extent cx="4620126" cy="3696101"/>
            <wp:effectExtent b="0" l="0" r="0" t="0"/>
            <wp:docPr descr="Two spectra from a single sample of archaeological calculus with different grinding levels (c and d)." title="" id="32" name="Picture"/>
            <a:graphic>
              <a:graphicData uri="http://schemas.openxmlformats.org/drawingml/2006/picture">
                <pic:pic>
                  <pic:nvPicPr>
                    <pic:cNvPr descr="FTIR-analysis_files/figure-docx/arch-calc-spectra-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Two spectra from a single sample of archaeological calculus with different grinding levels (c and d).</w:t>
      </w:r>
    </w:p>
    <w:p>
      <w:pPr>
        <w:pStyle w:val="BodyText"/>
      </w:pPr>
      <w:r>
        <w:t xml:space="preserve">The reference calculus is similar to the later biofilm samples. The main</w:t>
      </w:r>
      <w:r>
        <w:t xml:space="preserve"> </w:t>
      </w:r>
      <w:r>
        <w:t xml:space="preserve">difference is the a lower protein component seen as a lower Amide I peak at</w:t>
      </w:r>
      <w:r>
        <w:t xml:space="preserve"> </w:t>
      </w:r>
      <w:r>
        <w:t xml:space="preserve">around 1637.</w:t>
      </w:r>
    </w:p>
    <w:p>
      <w:pPr>
        <w:pStyle w:val="SourceCode"/>
      </w:pPr>
      <w:r>
        <w:rPr>
          <w:rStyle w:val="NormalTok"/>
        </w:rPr>
        <w:t xml:space="preserve">ftir_data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str_detect</w:t>
      </w:r>
      <w:r>
        <w:rPr>
          <w:rStyle w:val="NormalTok"/>
        </w:rPr>
        <w:t xml:space="preserve">(sample, </w:t>
      </w:r>
      <w:r>
        <w:rPr>
          <w:rStyle w:val="StringTok"/>
        </w:rPr>
        <w:t xml:space="preserve">"MB11_grind_c"</w:t>
      </w:r>
      <w:r>
        <w:rPr>
          <w:rStyle w:val="NormalTok"/>
        </w:rPr>
        <w:t xml:space="preserve">) </w:t>
      </w:r>
      <w:r>
        <w:rPr>
          <w:rStyle w:val="SpecialCharTok"/>
        </w:rPr>
        <w:t xml:space="preserve">|</w:t>
      </w:r>
      <w:r>
        <w:rPr>
          <w:rStyle w:val="NormalTok"/>
        </w:rPr>
        <w:t xml:space="preserve"> sample </w:t>
      </w:r>
      <w:r>
        <w:rPr>
          <w:rStyle w:val="SpecialCharTok"/>
        </w:rPr>
        <w:t xml:space="preserve">==</w:t>
      </w:r>
      <w:r>
        <w:rPr>
          <w:rStyle w:val="NormalTok"/>
        </w:rPr>
        <w:t xml:space="preserve"> </w:t>
      </w:r>
      <w:r>
        <w:rPr>
          <w:rStyle w:val="StringTok"/>
        </w:rPr>
        <w:t xml:space="preserve">"F24.1A3"</w:t>
      </w:r>
      <w:r>
        <w:rPr>
          <w:rStyle w:val="NormalTok"/>
        </w:rPr>
        <w:t xml:space="preserve"> </w:t>
      </w:r>
      <w:r>
        <w:rPr>
          <w:rStyle w:val="SpecialCharTok"/>
        </w:rPr>
        <w:t xml:space="preserve">|</w:t>
      </w:r>
      <w:r>
        <w:rPr>
          <w:rStyle w:val="NormalTok"/>
        </w:rPr>
        <w:t xml:space="preserve"> </w:t>
      </w:r>
      <w:r>
        <w:br/>
      </w:r>
      <w:r>
        <w:rPr>
          <w:rStyle w:val="NormalTok"/>
        </w:rPr>
        <w:t xml:space="preserve">      sample </w:t>
      </w:r>
      <w:r>
        <w:rPr>
          <w:rStyle w:val="SpecialCharTok"/>
        </w:rPr>
        <w:t xml:space="preserve">==</w:t>
      </w:r>
      <w:r>
        <w:rPr>
          <w:rStyle w:val="NormalTok"/>
        </w:rPr>
        <w:t xml:space="preserve"> </w:t>
      </w:r>
      <w:r>
        <w:rPr>
          <w:rStyle w:val="StringTok"/>
        </w:rPr>
        <w:t xml:space="preserve">"modern_ref1"</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 =</w:t>
      </w:r>
      <w:r>
        <w:rPr>
          <w:rStyle w:val="NormalTok"/>
        </w:rPr>
        <w:t xml:space="preserve"> </w:t>
      </w:r>
      <w:r>
        <w:rPr>
          <w:rStyle w:val="FunctionTok"/>
        </w:rPr>
        <w:t xml:space="preserve">case_when</w:t>
      </w:r>
      <w:r>
        <w:rPr>
          <w:rStyle w:val="NormalTok"/>
        </w:rPr>
        <w:t xml:space="preserve">(sample </w:t>
      </w:r>
      <w:r>
        <w:rPr>
          <w:rStyle w:val="SpecialCharTok"/>
        </w:rPr>
        <w:t xml:space="preserve">==</w:t>
      </w:r>
      <w:r>
        <w:rPr>
          <w:rStyle w:val="NormalTok"/>
        </w:rPr>
        <w:t xml:space="preserve"> </w:t>
      </w:r>
      <w:r>
        <w:rPr>
          <w:rStyle w:val="StringTok"/>
        </w:rPr>
        <w:t xml:space="preserve">"F24.1A3"</w:t>
      </w:r>
      <w:r>
        <w:rPr>
          <w:rStyle w:val="NormalTok"/>
        </w:rPr>
        <w:t xml:space="preserve"> </w:t>
      </w:r>
      <w:r>
        <w:rPr>
          <w:rStyle w:val="SpecialCharTok"/>
        </w:rPr>
        <w:t xml:space="preserve">~</w:t>
      </w:r>
      <w:r>
        <w:rPr>
          <w:rStyle w:val="NormalTok"/>
        </w:rPr>
        <w:t xml:space="preserve"> abs </w:t>
      </w:r>
      <w:r>
        <w:rPr>
          <w:rStyle w:val="SpecialCharTok"/>
        </w:rPr>
        <w:t xml:space="preserve">+</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abs))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wavenumber, </w:t>
      </w:r>
      <w:r>
        <w:rPr>
          <w:rStyle w:val="AttributeTok"/>
        </w:rPr>
        <w:t xml:space="preserve">y =</w:t>
      </w:r>
      <w:r>
        <w:rPr>
          <w:rStyle w:val="NormalTok"/>
        </w:rPr>
        <w:t xml:space="preserve"> abs, </w:t>
      </w:r>
      <w:r>
        <w:rPr>
          <w:rStyle w:val="AttributeTok"/>
        </w:rPr>
        <w:t xml:space="preserve">col =</w:t>
      </w:r>
      <w:r>
        <w:rPr>
          <w:rStyle w:val="NormalTok"/>
        </w:rPr>
        <w:t xml:space="preserve"> sample))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n.breaks =</w:t>
      </w:r>
      <w:r>
        <w:rPr>
          <w:rStyle w:val="NormalTok"/>
        </w:rPr>
        <w:t xml:space="preserve"> </w:t>
      </w:r>
      <w:r>
        <w:rPr>
          <w:rStyle w:val="FunctionTok"/>
        </w:rPr>
        <w:t xml:space="preserve">length</w:t>
      </w:r>
      <w:r>
        <w:rPr>
          <w:rStyle w:val="NormalTok"/>
        </w:rPr>
        <w:t xml:space="preserve">(</w:t>
      </w:r>
      <w:r>
        <w:rPr>
          <w:rStyle w:val="FunctionTok"/>
        </w:rPr>
        <w:t xml:space="preserve">as.character</w:t>
      </w:r>
      <w:r>
        <w:rPr>
          <w:rStyle w:val="NormalTok"/>
        </w:rPr>
        <w:t xml:space="preserve">(</w:t>
      </w:r>
      <w:r>
        <w:rPr>
          <w:rStyle w:val="FunctionTok"/>
        </w:rPr>
        <w:t xml:space="preserve">seq</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AttributeTok"/>
        </w:rPr>
        <w:t xml:space="preserve">by =</w:t>
      </w:r>
      <w:r>
        <w:rPr>
          <w:rStyle w:val="NormalTok"/>
        </w:rPr>
        <w:t xml:space="preserve"> </w:t>
      </w:r>
      <w:r>
        <w:rPr>
          <w:rStyle w:val="DecValTok"/>
        </w:rPr>
        <w:t xml:space="preserve">500</w:t>
      </w:r>
      <w:r>
        <w:rPr>
          <w:rStyle w:val="NormalTok"/>
        </w:rPr>
        <w:t xml:space="preserve">)))</w:t>
      </w:r>
      <w:r>
        <w:br/>
      </w:r>
      <w:r>
        <w:rPr>
          <w:rStyle w:val="NormalTok"/>
        </w:rPr>
        <w:t xml:space="preserve">    )</w:t>
      </w:r>
    </w:p>
    <w:p>
      <w:pPr>
        <w:pStyle w:val="CaptionedFigure"/>
      </w:pPr>
      <w:r>
        <w:drawing>
          <wp:inline>
            <wp:extent cx="4620126" cy="3696101"/>
            <wp:effectExtent b="0" l="0" r="0" t="0"/>
            <wp:docPr descr="Spectra from archaeological calculus, modern reference calculus, and artificial calculus are compared. Absorbance was shifted to allow comparison of the three spectra, so the absorbance should be interpreted as relative, not absolute." title="" id="35" name="Picture"/>
            <a:graphic>
              <a:graphicData uri="http://schemas.openxmlformats.org/drawingml/2006/picture">
                <pic:pic>
                  <pic:nvPicPr>
                    <pic:cNvPr descr="FTIR-analysis_files/figure-docx/compare-calc-spectra-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Spectra from archaeological calculus, modern reference calculus, and artificial calculus are compared. Absorbance was shifted to allow comparison of the three spectra, so the absorbance should be interpreted as relative, not absolute.</w:t>
      </w:r>
    </w:p>
    <w:p>
      <w:pPr>
        <w:pStyle w:val="BodyText"/>
      </w:pPr>
      <w:r>
        <w:t xml:space="preserve">The carbonate peak</w:t>
      </w:r>
      <w:r>
        <w:t xml:space="preserve"> </w:t>
      </w:r>
      <w:r>
        <w:t xml:space="preserve">at 1421 is not as well-developed as the reference spectrum. Protein at 1654.</w:t>
      </w:r>
    </w:p>
    <w:p>
      <w:pPr>
        <w:pStyle w:val="BodyText"/>
      </w:pPr>
      <w:r>
        <w:t xml:space="preserve">The reference spectrum consists of carbonate (peaks 1418, 1458, 876), hydroxyapatite</w:t>
      </w:r>
      <w:r>
        <w:t xml:space="preserve"> </w:t>
      </w:r>
      <w:r>
        <w:t xml:space="preserve">(peaks 1036, 604, 566), and protein (1637, Amide I).</w:t>
      </w:r>
    </w:p>
    <w:bookmarkStart w:id="40" w:name="grind-curves"/>
    <w:p>
      <w:pPr>
        <w:pStyle w:val="Heading4"/>
      </w:pPr>
      <w:r>
        <w:t xml:space="preserve">Grind curves</w:t>
      </w:r>
    </w:p>
    <w:p>
      <w:pPr>
        <w:pStyle w:val="FirstParagraph"/>
      </w:pPr>
      <w:r>
        <w:t xml:space="preserve">Splitting factors were calculated from the grinding measurements, and a</w:t>
      </w:r>
      <w:r>
        <w:t xml:space="preserve"> </w:t>
      </w:r>
      <w:r>
        <w:t xml:space="preserve">grinding curve was created to explore crystallinity (crystal size) order, and</w:t>
      </w:r>
      <w:r>
        <w:t xml:space="preserve"> </w:t>
      </w:r>
      <w:r>
        <w:t xml:space="preserve">disorder. Disorder is a steep slope and large FWHM.</w:t>
      </w:r>
    </w:p>
    <w:p>
      <w:pPr>
        <w:pStyle w:val="BodyText"/>
      </w:pPr>
      <w:r>
        <w:t xml:space="preserve">Samples are similar to fresh bone and dentin. No appreciable differences between days 16, 20,</w:t>
      </w:r>
      <w:r>
        <w:t xml:space="preserve"> </w:t>
      </w:r>
      <w:r>
        <w:t xml:space="preserve">and 24.</w:t>
      </w:r>
    </w:p>
    <w:p>
      <w:pPr>
        <w:pStyle w:val="SourceCode"/>
      </w:pPr>
      <w:r>
        <w:rPr>
          <w:rStyle w:val="NormalTok"/>
        </w:rPr>
        <w:t xml:space="preserve">grind_all_plot </w:t>
      </w:r>
      <w:r>
        <w:rPr>
          <w:rStyle w:val="OtherTok"/>
        </w:rPr>
        <w:t xml:space="preserve">&lt;-</w:t>
      </w:r>
      <w:r>
        <w:rPr>
          <w:rStyle w:val="NormalTok"/>
        </w:rPr>
        <w:t xml:space="preserve"> grind_data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Sample_day =</w:t>
      </w:r>
      <w:r>
        <w:rPr>
          <w:rStyle w:val="NormalTok"/>
        </w:rPr>
        <w:t xml:space="preserve"> </w:t>
      </w:r>
      <w:r>
        <w:rPr>
          <w:rStyle w:val="FunctionTok"/>
        </w:rPr>
        <w:t xml:space="preserve">factor</w:t>
      </w:r>
      <w:r>
        <w:rPr>
          <w:rStyle w:val="NormalTok"/>
        </w:rPr>
        <w:t xml:space="preserve">(Sample_day, </w:t>
      </w:r>
      <w:r>
        <w:rPr>
          <w:rStyle w:val="AttributeTok"/>
        </w:rPr>
        <w:t xml:space="preserve">levels =</w:t>
      </w:r>
      <w:r>
        <w:rPr>
          <w:rStyle w:val="NormalTok"/>
        </w:rPr>
        <w:t xml:space="preserve"> grind_sample_order)) </w:t>
      </w:r>
      <w:r>
        <w:rPr>
          <w:rStyle w:val="SpecialCharTok"/>
        </w:rPr>
        <w:t xml:space="preserve">%&gt;%</w:t>
      </w:r>
      <w:r>
        <w:br/>
      </w:r>
      <w:r>
        <w:rPr>
          <w:rStyle w:val="NormalTok"/>
        </w:rPr>
        <w:t xml:space="preserve">  </w:t>
      </w:r>
      <w:r>
        <w:rPr>
          <w:rStyle w:val="FunctionTok"/>
        </w:rPr>
        <w:t xml:space="preserve">group_by</w:t>
      </w:r>
      <w:r>
        <w:rPr>
          <w:rStyle w:val="NormalTok"/>
        </w:rPr>
        <w:t xml:space="preserve">(day, 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FWHM, </w:t>
      </w:r>
      <w:r>
        <w:rPr>
          <w:rStyle w:val="AttributeTok"/>
        </w:rPr>
        <w:t xml:space="preserve">y =</w:t>
      </w:r>
      <w:r>
        <w:rPr>
          <w:rStyle w:val="NormalTok"/>
        </w:rPr>
        <w:t xml:space="preserve"> IRSF, </w:t>
      </w:r>
      <w:r>
        <w:rPr>
          <w:rStyle w:val="AttributeTok"/>
        </w:rPr>
        <w:t xml:space="preserve">col =</w:t>
      </w:r>
      <w:r>
        <w:rPr>
          <w:rStyle w:val="NormalTok"/>
        </w:rPr>
        <w:t xml:space="preserve"> Sample_day, </w:t>
      </w:r>
      <w:r>
        <w:rPr>
          <w:rStyle w:val="AttributeTok"/>
        </w:rPr>
        <w:t xml:space="preserve">shape =</w:t>
      </w:r>
      <w:r>
        <w:rPr>
          <w:rStyle w:val="NormalTok"/>
        </w:rPr>
        <w:t xml:space="preserve"> Sample_day))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"Sample"</w:t>
      </w:r>
      <w:r>
        <w:rPr>
          <w:rStyle w:val="NormalTok"/>
        </w:rPr>
        <w:t xml:space="preserve">, </w:t>
      </w:r>
      <w:r>
        <w:rPr>
          <w:rStyle w:val="AttributeTok"/>
        </w:rPr>
        <w:t xml:space="preserve">shape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"FWHM of the 1035 peak"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"Splitting factor"</w:t>
      </w:r>
      <w:r>
        <w:rPr>
          <w:rStyle w:val="NormalTok"/>
        </w:rPr>
        <w:t xml:space="preserve">)</w:t>
      </w:r>
      <w:r>
        <w:br/>
      </w:r>
      <w:r>
        <w:br/>
      </w:r>
      <w:r>
        <w:rPr>
          <w:rStyle w:val="CommentTok"/>
        </w:rPr>
        <w:t xml:space="preserve"># isolate calculus samples to see diffs between days and the 'real deal'</w:t>
      </w:r>
      <w:r>
        <w:br/>
      </w:r>
      <w:r>
        <w:rPr>
          <w:rStyle w:val="NormalTok"/>
        </w:rPr>
        <w:t xml:space="preserve">grind_calc_plot </w:t>
      </w:r>
      <w:r>
        <w:rPr>
          <w:rStyle w:val="OtherTok"/>
        </w:rPr>
        <w:t xml:space="preserve">&lt;-</w:t>
      </w:r>
      <w:r>
        <w:rPr>
          <w:rStyle w:val="NormalTok"/>
        </w:rPr>
        <w:t xml:space="preserve"> grind_data </w:t>
      </w:r>
      <w:r>
        <w:rPr>
          <w:rStyle w:val="SpecialCharTok"/>
        </w:rPr>
        <w:t xml:space="preserve">%&gt;%</w:t>
      </w:r>
      <w:r>
        <w:br/>
      </w:r>
      <w:r>
        <w:rPr>
          <w:rStyle w:val="NormalTok"/>
        </w:rPr>
        <w:t xml:space="preserve">  </w:t>
      </w:r>
      <w:r>
        <w:rPr>
          <w:rStyle w:val="FunctionTok"/>
        </w:rPr>
        <w:t xml:space="preserve">filter</w:t>
      </w:r>
      <w:r>
        <w:rPr>
          <w:rStyle w:val="NormalTok"/>
        </w:rPr>
        <w:t xml:space="preserve">(Sample </w:t>
      </w:r>
      <w:r>
        <w:rPr>
          <w:rStyle w:val="SpecialCharTok"/>
        </w:rPr>
        <w:t xml:space="preserve">==</w:t>
      </w:r>
      <w:r>
        <w:rPr>
          <w:rStyle w:val="NormalTok"/>
        </w:rPr>
        <w:t xml:space="preserve"> </w:t>
      </w:r>
      <w:r>
        <w:rPr>
          <w:rStyle w:val="StringTok"/>
        </w:rPr>
        <w:t xml:space="preserve">"Artificial calculus"</w:t>
      </w:r>
      <w:r>
        <w:rPr>
          <w:rStyle w:val="NormalTok"/>
        </w:rPr>
        <w:t xml:space="preserve"> </w:t>
      </w:r>
      <w:r>
        <w:rPr>
          <w:rStyle w:val="SpecialCharTok"/>
        </w:rPr>
        <w:t xml:space="preserve">|</w:t>
      </w:r>
      <w:r>
        <w:rPr>
          <w:rStyle w:val="NormalTok"/>
        </w:rPr>
        <w:t xml:space="preserve"> Sample </w:t>
      </w:r>
      <w:r>
        <w:rPr>
          <w:rStyle w:val="SpecialCharTok"/>
        </w:rPr>
        <w:t xml:space="preserve">==</w:t>
      </w:r>
      <w:r>
        <w:rPr>
          <w:rStyle w:val="NormalTok"/>
        </w:rPr>
        <w:t xml:space="preserve"> </w:t>
      </w:r>
      <w:r>
        <w:rPr>
          <w:rStyle w:val="StringTok"/>
        </w:rPr>
        <w:t xml:space="preserve">"Archaeological calculus"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FWHM, </w:t>
      </w:r>
      <w:r>
        <w:rPr>
          <w:rStyle w:val="AttributeTok"/>
        </w:rPr>
        <w:t xml:space="preserve">y =</w:t>
      </w:r>
      <w:r>
        <w:rPr>
          <w:rStyle w:val="NormalTok"/>
        </w:rPr>
        <w:t xml:space="preserve"> IRSF, </w:t>
      </w:r>
      <w:r>
        <w:rPr>
          <w:rStyle w:val="AttributeTok"/>
        </w:rPr>
        <w:t xml:space="preserve">col =</w:t>
      </w:r>
      <w:r>
        <w:rPr>
          <w:rStyle w:val="NormalTok"/>
        </w:rPr>
        <w:t xml:space="preserve"> Sample_day, </w:t>
      </w:r>
      <w:r>
        <w:rPr>
          <w:rStyle w:val="AttributeTok"/>
        </w:rPr>
        <w:t xml:space="preserve">shape =</w:t>
      </w:r>
      <w:r>
        <w:rPr>
          <w:rStyle w:val="NormalTok"/>
        </w:rPr>
        <w:t xml:space="preserve"> Sample_day))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"Sample"</w:t>
      </w:r>
      <w:r>
        <w:rPr>
          <w:rStyle w:val="NormalTok"/>
        </w:rPr>
        <w:t xml:space="preserve">, </w:t>
      </w:r>
      <w:r>
        <w:rPr>
          <w:rStyle w:val="AttributeTok"/>
        </w:rPr>
        <w:t xml:space="preserve">shape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"FWHM of the 1035 peak"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"Splitting factor"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"transparent"</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scale_colour_viridis_d</w:t>
      </w:r>
      <w:r>
        <w:rPr>
          <w:rStyle w:val="NormalTok"/>
        </w:rPr>
        <w:t xml:space="preserve">(</w:t>
      </w:r>
      <w:r>
        <w:rPr>
          <w:rStyle w:val="AttributeTok"/>
        </w:rPr>
        <w:t xml:space="preserve">end =</w:t>
      </w:r>
      <w:r>
        <w:rPr>
          <w:rStyle w:val="NormalTok"/>
        </w:rPr>
        <w:t xml:space="preserve"> </w:t>
      </w:r>
      <w:r>
        <w:rPr>
          <w:rStyle w:val="FloatTok"/>
        </w:rPr>
        <w:t xml:space="preserve">0.4</w:t>
      </w:r>
      <w:r>
        <w:rPr>
          <w:rStyle w:val="NormalTok"/>
        </w:rPr>
        <w:t xml:space="preserve">)</w:t>
      </w:r>
    </w:p>
    <w:p>
      <w:pPr>
        <w:pStyle w:val="SourceCode"/>
      </w:pPr>
      <w:r>
        <w:rPr>
          <w:rStyle w:val="NormalTok"/>
        </w:rPr>
        <w:t xml:space="preserve">grind_all_plot </w:t>
      </w:r>
      <w:r>
        <w:rPr>
          <w:rStyle w:val="SpecialCharTok"/>
        </w:rPr>
        <w:t xml:space="preserve">+</w:t>
      </w:r>
      <w:r>
        <w:rPr>
          <w:rStyle w:val="NormalTok"/>
        </w:rPr>
        <w:t xml:space="preserve"> </w:t>
      </w:r>
      <w:r>
        <w:rPr>
          <w:rStyle w:val="FunctionTok"/>
        </w:rPr>
        <w:t xml:space="preserve">inset_element</w:t>
      </w:r>
      <w:r>
        <w:rPr>
          <w:rStyle w:val="NormalTok"/>
        </w:rPr>
        <w:t xml:space="preserve">(grind_calc_plot, </w:t>
      </w:r>
      <w:r>
        <w:rPr>
          <w:rStyle w:val="AttributeTok"/>
        </w:rPr>
        <w:t xml:space="preserve">left =</w:t>
      </w:r>
      <w:r>
        <w:rPr>
          <w:rStyle w:val="NormalTok"/>
        </w:rPr>
        <w:t xml:space="preserve"> </w:t>
      </w:r>
      <w:r>
        <w:rPr>
          <w:rStyle w:val="FloatTok"/>
        </w:rPr>
        <w:t xml:space="preserve">0.5</w:t>
      </w:r>
      <w:r>
        <w:rPr>
          <w:rStyle w:val="NormalTok"/>
        </w:rPr>
        <w:t xml:space="preserve">, </w:t>
      </w:r>
      <w:r>
        <w:rPr>
          <w:rStyle w:val="AttributeTok"/>
        </w:rPr>
        <w:t xml:space="preserve">bottom =</w:t>
      </w:r>
      <w:r>
        <w:rPr>
          <w:rStyle w:val="NormalTok"/>
        </w:rPr>
        <w:t xml:space="preserve"> </w:t>
      </w:r>
      <w:r>
        <w:rPr>
          <w:rStyle w:val="FloatTok"/>
        </w:rPr>
        <w:t xml:space="preserve">0.5</w:t>
      </w:r>
      <w:r>
        <w:rPr>
          <w:rStyle w:val="NormalTok"/>
        </w:rPr>
        <w:t xml:space="preserve">, </w:t>
      </w:r>
      <w:r>
        <w:rPr>
          <w:rStyle w:val="AttributeTok"/>
        </w:rPr>
        <w:t xml:space="preserve">right =</w:t>
      </w:r>
      <w:r>
        <w:rPr>
          <w:rStyle w:val="NormalTok"/>
        </w:rPr>
        <w:t xml:space="preserve"> </w:t>
      </w:r>
      <w:r>
        <w:rPr>
          <w:rStyle w:val="DecValTok"/>
        </w:rPr>
        <w:t xml:space="preserve">1</w:t>
      </w:r>
      <w:r>
        <w:rPr>
          <w:rStyle w:val="NormalTok"/>
        </w:rPr>
        <w:t xml:space="preserve">, </w:t>
      </w:r>
      <w:r>
        <w:rPr>
          <w:rStyle w:val="AttributeTok"/>
        </w:rPr>
        <w:t xml:space="preserve">top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w:t>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w:t>
      </w:r>
    </w:p>
    <w:p>
      <w:pPr>
        <w:pStyle w:val="CaptionedFigure"/>
      </w:pPr>
      <w:r>
        <w:drawing>
          <wp:inline>
            <wp:extent cx="4620126" cy="3696101"/>
            <wp:effectExtent b="0" l="0" r="0" t="0"/>
            <wp:docPr descr="(A) Grinding curves of multiple materials; and (B) calculus-only materials, including biofilm samples from three days, and an archaeological calclulus sample." title="" id="38" name="Picture"/>
            <a:graphic>
              <a:graphicData uri="http://schemas.openxmlformats.org/drawingml/2006/picture">
                <pic:pic>
                  <pic:nvPicPr>
                    <pic:cNvPr descr="FTIR-analysis_files/figure-docx/fig-grind-curve-inse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Grinding curves of multiple materials; and (B) calculus-only materials, including biofilm samples from three days, and an archaeological calclulus sample.</w:t>
      </w:r>
    </w:p>
    <w:bookmarkEnd w:id="40"/>
    <w:bookmarkEnd w:id="41"/>
    <w:bookmarkEnd w:id="42"/>
    <w:bookmarkStart w:id="43" w:name="conclusion"/>
    <w:p>
      <w:pPr>
        <w:pStyle w:val="Heading2"/>
      </w:pPr>
      <w:r>
        <w:t xml:space="preserve">Conclusion</w:t>
      </w:r>
    </w:p>
    <w:p>
      <w:pPr>
        <w:pStyle w:val="FirstParagraph"/>
      </w:pPr>
      <w:r>
        <w:t xml:space="preserve">The artificial samples from day 24 resemble both the modern reference samples and the</w:t>
      </w:r>
      <w:r>
        <w:t xml:space="preserve"> </w:t>
      </w:r>
      <w:r>
        <w:t xml:space="preserve">archaeological sample in mineral composition and crystallinity.</w:t>
      </w:r>
      <w:r>
        <w:t xml:space="preserve"> </w:t>
      </w:r>
      <w:r>
        <w:t xml:space="preserve">Overall, the spectra of the artificial calculus show an increase in the</w:t>
      </w:r>
      <w:r>
        <w:t xml:space="preserve"> </w:t>
      </w:r>
      <w:r>
        <w:t xml:space="preserve">inorganic component and a decrease in the organic protein component over time.</w:t>
      </w:r>
      <w:r>
        <w:t xml:space="preserve"> </w:t>
      </w:r>
      <w:r>
        <w:t xml:space="preserve">The grinding curves for days 16, 20, and 24 were very similar, suggesting</w:t>
      </w:r>
      <w:r>
        <w:t xml:space="preserve"> </w:t>
      </w:r>
      <w:r>
        <w:t xml:space="preserve">that the CPMU solution (introduced on day 16) may not have much of an effect.</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FTIR analysis</dc:title>
  <dc:creator/>
  <cp:keywords/>
  <dcterms:created xsi:type="dcterms:W3CDTF">2022-05-19T13:35:26Z</dcterms:created>
  <dcterms:modified xsi:type="dcterms:W3CDTF">2022-05-19T13:35:26Z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