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82"/>
      </w:tblGrid>
      <w:tr>
        <w:tc>
          <w:tcPr>
            <w:tcW w:type="dxa" w:w="10224"/>
            <w:shd w:fill="17324D"/>
            <w:tcMar>
              <w:top w:w="400" w:type="dxa"/>
              <w:start w:w="330" w:type="dxa"/>
              <w:bottom w:w="360" w:type="dxa"/>
              <w:end w:w="330" w:type="dxa"/>
            </w:tcMar>
          </w:tcPr>
          <w:p>
            <w:pPr>
              <w:jc w:val="left"/>
            </w:pPr>
            <w:r>
              <w:rPr>
                <w:b/>
                <w:color w:val="FFFFFF"/>
                <w:sz w:val="52"/>
              </w:rPr>
              <w:t>Boiler &amp; Heating-Water RCx Workpaper</w:t>
            </w:r>
          </w:p>
          <w:p>
            <w:r>
              <w:rPr>
                <w:color w:val="D8E6F3"/>
                <w:sz w:val="24"/>
              </w:rPr>
              <w:t>Boiler enable, staging, heating-water reset, pump operation, valve demand, and delta-T analysis</w:t>
            </w:r>
          </w:p>
        </w:tc>
      </w:tr>
    </w:tbl>
    <w:p/>
    <w:tbl>
      <w:tblPr>
        <w:tblW w:type="auto" w:w="0"/>
        <w:jc w:val="center"/>
        <w:tblLayout w:type="fixed"/>
        <w:tblLook w:firstColumn="1" w:firstRow="1" w:lastColumn="0" w:lastRow="0" w:noHBand="0" w:noVBand="1" w:val="04A0"/>
      </w:tblPr>
      <w:tblGrid>
        <w:gridCol w:w="2570"/>
        <w:gridCol w:w="2570"/>
        <w:gridCol w:w="2570"/>
        <w:gridCol w:w="2570"/>
      </w:tblGrid>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Client</w:t>
            </w:r>
          </w:p>
        </w:tc>
        <w:tc>
          <w:tcPr>
            <w:tcW w:type="dxa" w:w="3240"/>
            <w:tcMar>
              <w:top w:w="70" w:type="dxa"/>
              <w:start w:w="85" w:type="dxa"/>
              <w:bottom w:w="70" w:type="dxa"/>
              <w:end w:w="85" w:type="dxa"/>
            </w:tcMar>
            <w:tcBorders>
              <w:bottom w:val="single" w:sz="4" w:color="D4DCE3"/>
            </w:tcBorders>
          </w:tcPr>
          <w:p>
            <w:pPr>
              <w:spacing w:after="0"/>
            </w:pPr>
            <w:r>
              <w:rPr>
                <w:sz w:val="17"/>
              </w:rPr>
              <w:t>[CLIENT NAME]</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Facility</w:t>
            </w:r>
          </w:p>
        </w:tc>
        <w:tc>
          <w:tcPr>
            <w:tcW w:type="dxa" w:w="3240"/>
            <w:tcMar>
              <w:top w:w="70" w:type="dxa"/>
              <w:start w:w="85" w:type="dxa"/>
              <w:bottom w:w="70" w:type="dxa"/>
              <w:end w:w="85" w:type="dxa"/>
            </w:tcMar>
            <w:tcBorders>
              <w:bottom w:val="single" w:sz="4" w:color="D4DCE3"/>
            </w:tcBorders>
          </w:tcPr>
          <w:p>
            <w:pPr>
              <w:spacing w:after="0"/>
            </w:pPr>
            <w:r>
              <w:rPr>
                <w:sz w:val="17"/>
              </w:rPr>
              <w:t>[FACILITY / SITE]</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Report period</w:t>
            </w:r>
          </w:p>
        </w:tc>
        <w:tc>
          <w:tcPr>
            <w:tcW w:type="dxa" w:w="3240"/>
            <w:tcMar>
              <w:top w:w="70" w:type="dxa"/>
              <w:start w:w="85" w:type="dxa"/>
              <w:bottom w:w="70" w:type="dxa"/>
              <w:end w:w="85" w:type="dxa"/>
            </w:tcMar>
            <w:tcBorders>
              <w:bottom w:val="single" w:sz="4" w:color="D4DCE3"/>
            </w:tcBorders>
          </w:tcPr>
          <w:p>
            <w:pPr>
              <w:spacing w:after="0"/>
            </w:pPr>
            <w:r>
              <w:rPr>
                <w:sz w:val="17"/>
              </w:rPr>
              <w:t>[START] to [END]</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Boiler / HW plant</w:t>
            </w:r>
          </w:p>
        </w:tc>
        <w:tc>
          <w:tcPr>
            <w:tcW w:type="dxa" w:w="3240"/>
            <w:tcMar>
              <w:top w:w="70" w:type="dxa"/>
              <w:start w:w="85" w:type="dxa"/>
              <w:bottom w:w="70" w:type="dxa"/>
              <w:end w:w="85" w:type="dxa"/>
            </w:tcMar>
            <w:tcBorders>
              <w:bottom w:val="single" w:sz="4" w:color="D4DCE3"/>
            </w:tcBorders>
          </w:tcPr>
          <w:p>
            <w:pPr>
              <w:spacing w:after="0"/>
            </w:pPr>
            <w:r>
              <w:rPr>
                <w:sz w:val="17"/>
              </w:rPr>
              <w:t>[SYSTEM / EQUIPMENT]</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Prepared by</w:t>
            </w:r>
          </w:p>
        </w:tc>
        <w:tc>
          <w:tcPr>
            <w:tcW w:type="dxa" w:w="3240"/>
            <w:tcMar>
              <w:top w:w="70" w:type="dxa"/>
              <w:start w:w="85" w:type="dxa"/>
              <w:bottom w:w="70" w:type="dxa"/>
              <w:end w:w="85" w:type="dxa"/>
            </w:tcMar>
            <w:tcBorders>
              <w:bottom w:val="single" w:sz="4" w:color="D4DCE3"/>
            </w:tcBorders>
          </w:tcPr>
          <w:p>
            <w:pPr>
              <w:spacing w:after="0"/>
            </w:pPr>
            <w:r>
              <w:rPr>
                <w:sz w:val="17"/>
              </w:rPr>
              <w:t>[ENGINEER]</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Reviewed by</w:t>
            </w:r>
          </w:p>
        </w:tc>
        <w:tc>
          <w:tcPr>
            <w:tcW w:type="dxa" w:w="3240"/>
            <w:tcMar>
              <w:top w:w="70" w:type="dxa"/>
              <w:start w:w="85" w:type="dxa"/>
              <w:bottom w:w="70" w:type="dxa"/>
              <w:end w:w="85" w:type="dxa"/>
            </w:tcMar>
            <w:tcBorders>
              <w:bottom w:val="single" w:sz="4" w:color="D4DCE3"/>
            </w:tcBorders>
          </w:tcPr>
          <w:p>
            <w:pPr>
              <w:spacing w:after="0"/>
            </w:pPr>
            <w:r>
              <w:rPr>
                <w:sz w:val="17"/>
              </w:rPr>
              <w:t>[REVIEWER]</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Data source</w:t>
            </w:r>
          </w:p>
        </w:tc>
        <w:tc>
          <w:tcPr>
            <w:tcW w:type="dxa" w:w="3240"/>
            <w:tcMar>
              <w:top w:w="70" w:type="dxa"/>
              <w:start w:w="85" w:type="dxa"/>
              <w:bottom w:w="70" w:type="dxa"/>
              <w:end w:w="85" w:type="dxa"/>
            </w:tcMar>
            <w:tcBorders>
              <w:bottom w:val="single" w:sz="4" w:color="D4DCE3"/>
            </w:tcBorders>
          </w:tcPr>
          <w:p>
            <w:pPr>
              <w:spacing w:after="0"/>
            </w:pPr>
            <w:r>
              <w:rPr>
                <w:sz w:val="17"/>
              </w:rPr>
              <w:t>[CSV / SQL / BAS EXPORT]</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Revision</w:t>
            </w:r>
          </w:p>
        </w:tc>
        <w:tc>
          <w:tcPr>
            <w:tcW w:type="dxa" w:w="3240"/>
            <w:tcMar>
              <w:top w:w="70" w:type="dxa"/>
              <w:start w:w="85" w:type="dxa"/>
              <w:bottom w:w="70" w:type="dxa"/>
              <w:end w:w="85" w:type="dxa"/>
            </w:tcMar>
            <w:tcBorders>
              <w:bottom w:val="single" w:sz="4" w:color="D4DCE3"/>
            </w:tcBorders>
          </w:tcPr>
          <w:p>
            <w:pPr>
              <w:spacing w:after="0"/>
            </w:pPr>
            <w:r>
              <w:rPr>
                <w:sz w:val="17"/>
              </w:rPr>
              <w:t>[REV / DATE]</w:t>
            </w:r>
          </w:p>
        </w:tc>
      </w:tr>
    </w:tbl>
    <w:p/>
    <w:tbl>
      <w:tblPr>
        <w:tblW w:type="auto" w:w="0"/>
        <w:jc w:val="center"/>
        <w:tblLook w:firstColumn="1" w:firstRow="1" w:lastColumn="0" w:lastRow="0" w:noHBand="0" w:noVBand="1" w:val="04A0"/>
      </w:tblPr>
      <w:tblGrid>
        <w:gridCol w:w="10282"/>
      </w:tblGrid>
      <w:tr>
        <w:tc>
          <w:tcPr>
            <w:tcW w:type="dxa" w:w="10282"/>
            <w:shd w:fill="EAF2F8"/>
            <w:tcMar>
              <w:top w:w="140" w:type="dxa"/>
              <w:start w:w="170" w:type="dxa"/>
              <w:bottom w:w="140" w:type="dxa"/>
              <w:end w:w="170" w:type="dxa"/>
            </w:tcMar>
            <w:tcBorders>
              <w:left w:val="single" w:sz="18" w:color="1F8A8A"/>
            </w:tcBorders>
          </w:tcPr>
          <w:p>
            <w:r>
              <w:rPr>
                <w:b/>
                <w:color w:val="17324D"/>
              </w:rPr>
              <w:t>How to use this template</w:t>
            </w:r>
          </w:p>
          <w:p>
            <w:pPr>
              <w:spacing w:after="0"/>
            </w:pPr>
            <w:r>
              <w:rPr>
                <w:sz w:val="18"/>
              </w:rPr>
              <w:t>Run the relevant Streamlit analysis, apply the intended operating filters and rule thresholds, download or capture the Plotly figures, paste each figure into the matching placeholder, and replace bracketed text with the engineer’s interpretation. Keep the rule equation and operating gate with each finding so the client can understand why the result was produced.</w:t>
            </w:r>
          </w:p>
        </w:tc>
      </w:tr>
    </w:tbl>
    <w:p>
      <w:pPr>
        <w:pStyle w:val="Heading1"/>
      </w:pPr>
      <w:r>
        <w:t>Executive snapshot</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shd w:fill="17324D"/>
            <w:tcMar>
              <w:top w:w="70" w:type="dxa"/>
              <w:start w:w="65" w:type="dxa"/>
              <w:bottom w:w="70" w:type="dxa"/>
              <w:end w:w="65" w:type="dxa"/>
            </w:tcMar>
          </w:tcPr>
          <w:p>
            <w:pPr>
              <w:jc w:val="center"/>
            </w:pPr>
            <w:r>
              <w:rPr>
                <w:b/>
                <w:color w:val="FFFFFF"/>
                <w:sz w:val="15"/>
              </w:rPr>
              <w:t>Plant runtime</w:t>
            </w:r>
          </w:p>
        </w:tc>
        <w:tc>
          <w:tcPr>
            <w:tcW w:type="dxa" w:w="2570"/>
            <w:shd w:fill="17324D"/>
            <w:tcMar>
              <w:top w:w="70" w:type="dxa"/>
              <w:start w:w="65" w:type="dxa"/>
              <w:bottom w:w="70" w:type="dxa"/>
              <w:end w:w="65" w:type="dxa"/>
            </w:tcMar>
          </w:tcPr>
          <w:p>
            <w:pPr>
              <w:jc w:val="center"/>
            </w:pPr>
            <w:r>
              <w:rPr>
                <w:b/>
                <w:color w:val="FFFFFF"/>
                <w:sz w:val="15"/>
              </w:rPr>
              <w:t>Low ΔT hours</w:t>
            </w:r>
          </w:p>
        </w:tc>
        <w:tc>
          <w:tcPr>
            <w:tcW w:type="dxa" w:w="2570"/>
            <w:shd w:fill="17324D"/>
            <w:tcMar>
              <w:top w:w="70" w:type="dxa"/>
              <w:start w:w="65" w:type="dxa"/>
              <w:bottom w:w="70" w:type="dxa"/>
              <w:end w:w="65" w:type="dxa"/>
            </w:tcMar>
          </w:tcPr>
          <w:p>
            <w:pPr>
              <w:jc w:val="center"/>
            </w:pPr>
            <w:r>
              <w:rPr>
                <w:b/>
                <w:color w:val="FFFFFF"/>
                <w:sz w:val="15"/>
              </w:rPr>
              <w:t>Unnecessary runtime</w:t>
            </w:r>
          </w:p>
        </w:tc>
        <w:tc>
          <w:tcPr>
            <w:tcW w:type="dxa" w:w="2570"/>
            <w:shd w:fill="17324D"/>
            <w:tcMar>
              <w:top w:w="70" w:type="dxa"/>
              <w:start w:w="65" w:type="dxa"/>
              <w:bottom w:w="70" w:type="dxa"/>
              <w:end w:w="65" w:type="dxa"/>
            </w:tcMar>
          </w:tcPr>
          <w:p>
            <w:pPr>
              <w:jc w:val="center"/>
            </w:pPr>
            <w:r>
              <w:rPr>
                <w:b/>
                <w:color w:val="FFFFFF"/>
                <w:sz w:val="15"/>
              </w:rPr>
              <w:t>Estimated opportunity</w:t>
            </w:r>
          </w:p>
        </w:tc>
      </w:tr>
      <w:tr>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 / yr]</w:t>
            </w:r>
          </w:p>
        </w:tc>
      </w:tr>
    </w:tbl>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r>
        <w:br w:type="page"/>
      </w:r>
    </w:p>
    <w:p>
      <w:pPr>
        <w:pStyle w:val="Heading1"/>
      </w:pPr>
      <w:r>
        <w:t>Data scope and readiness</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DATA MODEL / POINT-MAPPING SCREENSHOT</w:t>
            </w:r>
          </w:p>
          <w:p>
            <w:pPr>
              <w:jc w:val="center"/>
            </w:pPr>
            <w:r>
              <w:rPr>
                <w:i/>
                <w:color w:val="5B6573"/>
                <w:sz w:val="17"/>
              </w:rPr>
              <w:t>Paste the Streamlit role-mapping or equipment summary view. Include equipment count, mapped roles, missing roles, sample interval, and date coverage.</w:t>
            </w:r>
          </w:p>
          <w:p>
            <w:r>
              <w:t xml:space="preserve"> </w:t>
            </w:r>
          </w:p>
          <w:p>
            <w:r>
              <w:t xml:space="preserve"> </w:t>
            </w:r>
          </w:p>
          <w:p>
            <w:r>
              <w:t xml:space="preserve"> </w:t>
            </w:r>
          </w:p>
          <w:p>
            <w:r>
              <w:t xml:space="preserve"> </w:t>
            </w:r>
          </w:p>
          <w:p>
            <w:r>
              <w:t xml:space="preserve"> </w:t>
            </w:r>
          </w:p>
        </w:tc>
      </w:tr>
    </w:tbl>
    <w:p/>
    <w:tbl>
      <w:tblPr>
        <w:tblStyle w:val="TableGrid"/>
        <w:tblW w:type="auto" w:w="0"/>
        <w:jc w:val="center"/>
        <w:tblLook w:firstColumn="1" w:firstRow="1" w:lastColumn="0" w:lastRow="0" w:noHBand="0" w:noVBand="1" w:val="04A0"/>
      </w:tblPr>
      <w:tblGrid>
        <w:gridCol w:w="2056"/>
        <w:gridCol w:w="2056"/>
        <w:gridCol w:w="2056"/>
        <w:gridCol w:w="2056"/>
        <w:gridCol w:w="2056"/>
      </w:tblGrid>
      <w:tr>
        <w:tc>
          <w:tcPr>
            <w:tcW w:type="dxa" w:w="2056"/>
            <w:shd w:fill="17324D"/>
          </w:tcPr>
          <w:p>
            <w:r>
              <w:rPr>
                <w:b/>
                <w:color w:val="FFFFFF"/>
                <w:sz w:val="15"/>
              </w:rPr>
              <w:t>Check</w:t>
            </w:r>
          </w:p>
        </w:tc>
        <w:tc>
          <w:tcPr>
            <w:tcW w:type="dxa" w:w="2056"/>
            <w:shd w:fill="17324D"/>
          </w:tcPr>
          <w:p>
            <w:r>
              <w:rPr>
                <w:b/>
                <w:color w:val="FFFFFF"/>
                <w:sz w:val="15"/>
              </w:rPr>
              <w:t>Status</w:t>
            </w:r>
          </w:p>
        </w:tc>
        <w:tc>
          <w:tcPr>
            <w:tcW w:type="dxa" w:w="2056"/>
            <w:shd w:fill="17324D"/>
          </w:tcPr>
          <w:p>
            <w:r>
              <w:rPr>
                <w:b/>
                <w:color w:val="FFFFFF"/>
                <w:sz w:val="15"/>
              </w:rPr>
              <w:t>Evidence</w:t>
            </w:r>
          </w:p>
        </w:tc>
        <w:tc>
          <w:tcPr>
            <w:tcW w:type="dxa" w:w="2056"/>
            <w:shd w:fill="17324D"/>
          </w:tcPr>
          <w:p>
            <w:r>
              <w:rPr>
                <w:b/>
                <w:color w:val="FFFFFF"/>
                <w:sz w:val="15"/>
              </w:rPr>
              <w:t>Impact</w:t>
            </w:r>
          </w:p>
        </w:tc>
        <w:tc>
          <w:tcPr>
            <w:tcW w:type="dxa" w:w="2056"/>
            <w:shd w:fill="17324D"/>
          </w:tcPr>
          <w:p>
            <w:r>
              <w:rPr>
                <w:b/>
                <w:color w:val="FFFFFF"/>
                <w:sz w:val="15"/>
              </w:rPr>
              <w:t>Resolution</w:t>
            </w:r>
          </w:p>
        </w:tc>
      </w:tr>
      <w:tr>
        <w:tc>
          <w:tcPr>
            <w:tcW w:type="dxa" w:w="2056"/>
          </w:tcPr>
          <w:p>
            <w:r>
              <w:rPr>
                <w:sz w:val="14"/>
              </w:rPr>
              <w:t>Timestamp continuity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Engineering units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Sensor plausibility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Role mapping completeness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Operating schedule</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Weather alignment</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bl>
    <w:p/>
    <w:p>
      <w:pPr>
        <w:pStyle w:val="Heading1"/>
      </w:pPr>
      <w:r>
        <w:t>Diagnostic rule register</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Rule</w:t>
            </w:r>
          </w:p>
        </w:tc>
        <w:tc>
          <w:tcPr>
            <w:tcW w:type="dxa" w:w="1714"/>
            <w:shd w:fill="17324D"/>
          </w:tcPr>
          <w:p>
            <w:r>
              <w:rPr>
                <w:b/>
                <w:color w:val="FFFFFF"/>
                <w:sz w:val="14"/>
              </w:rPr>
              <w:t>Diagnostic intent</w:t>
            </w:r>
          </w:p>
        </w:tc>
        <w:tc>
          <w:tcPr>
            <w:tcW w:type="dxa" w:w="1714"/>
            <w:shd w:fill="17324D"/>
          </w:tcPr>
          <w:p>
            <w:r>
              <w:rPr>
                <w:b/>
                <w:color w:val="FFFFFF"/>
                <w:sz w:val="14"/>
              </w:rPr>
              <w:t>Equation / test</w:t>
            </w:r>
          </w:p>
        </w:tc>
        <w:tc>
          <w:tcPr>
            <w:tcW w:type="dxa" w:w="1714"/>
            <w:shd w:fill="17324D"/>
          </w:tcPr>
          <w:p>
            <w:r>
              <w:rPr>
                <w:b/>
                <w:color w:val="FFFFFF"/>
                <w:sz w:val="14"/>
              </w:rPr>
              <w:t>Run gate</w:t>
            </w:r>
          </w:p>
        </w:tc>
        <w:tc>
          <w:tcPr>
            <w:tcW w:type="dxa" w:w="1714"/>
            <w:shd w:fill="17324D"/>
          </w:tcPr>
          <w:p>
            <w:r>
              <w:rPr>
                <w:b/>
                <w:color w:val="FFFFFF"/>
                <w:sz w:val="14"/>
              </w:rPr>
              <w:t>Result</w:t>
            </w:r>
          </w:p>
        </w:tc>
        <w:tc>
          <w:tcPr>
            <w:tcW w:type="dxa" w:w="1714"/>
            <w:shd w:fill="17324D"/>
          </w:tcPr>
          <w:p>
            <w:r>
              <w:rPr>
                <w:b/>
                <w:color w:val="FFFFFF"/>
                <w:sz w:val="14"/>
              </w:rPr>
              <w:t>Engineer note</w:t>
            </w:r>
          </w:p>
        </w:tc>
      </w:tr>
      <w:tr>
        <w:tc>
          <w:tcPr>
            <w:tcW w:type="dxa" w:w="1714"/>
            <w:tcMar>
              <w:top w:w="55" w:type="dxa"/>
              <w:start w:w="55" w:type="dxa"/>
              <w:bottom w:w="55" w:type="dxa"/>
              <w:end w:w="55" w:type="dxa"/>
            </w:tcMar>
          </w:tcPr>
          <w:p>
            <w:r>
              <w:rPr>
                <w:b/>
                <w:color w:val="2E75B6"/>
                <w:sz w:val="14"/>
              </w:rPr>
              <w:t>SV-RANGE</w:t>
            </w:r>
          </w:p>
        </w:tc>
        <w:tc>
          <w:tcPr>
            <w:tcW w:type="dxa" w:w="1714"/>
            <w:tcMar>
              <w:top w:w="55" w:type="dxa"/>
              <w:start w:w="55" w:type="dxa"/>
              <w:bottom w:w="55" w:type="dxa"/>
              <w:end w:w="55" w:type="dxa"/>
            </w:tcMar>
          </w:tcPr>
          <w:p>
            <w:r>
              <w:rPr>
                <w:sz w:val="13"/>
              </w:rPr>
              <w:t>Detect values outside plausible engineering bounds.</w:t>
            </w:r>
          </w:p>
        </w:tc>
        <w:tc>
          <w:tcPr>
            <w:tcW w:type="dxa" w:w="1714"/>
            <w:tcMar>
              <w:top w:w="55" w:type="dxa"/>
              <w:start w:w="55" w:type="dxa"/>
              <w:bottom w:w="55" w:type="dxa"/>
              <w:end w:w="55" w:type="dxa"/>
            </w:tcMar>
          </w:tcPr>
          <w:p>
            <w:r>
              <w:rPr>
                <w:sz w:val="13"/>
              </w:rPr>
              <w:t>x &lt; lower_bound OR x &gt; upper_bound</w:t>
            </w:r>
          </w:p>
        </w:tc>
        <w:tc>
          <w:tcPr>
            <w:tcW w:type="dxa" w:w="1714"/>
            <w:tcMar>
              <w:top w:w="55" w:type="dxa"/>
              <w:start w:w="55" w:type="dxa"/>
              <w:bottom w:w="55" w:type="dxa"/>
              <w:end w:w="55" w:type="dxa"/>
            </w:tcMar>
          </w:tcPr>
          <w:p>
            <w:r>
              <w:rPr>
                <w:sz w:val="13"/>
              </w:rPr>
              <w:t>Valid timestamp; role mapped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SV-FLATLINE</w:t>
            </w:r>
          </w:p>
        </w:tc>
        <w:tc>
          <w:tcPr>
            <w:tcW w:type="dxa" w:w="1714"/>
            <w:tcMar>
              <w:top w:w="55" w:type="dxa"/>
              <w:start w:w="55" w:type="dxa"/>
              <w:bottom w:w="55" w:type="dxa"/>
              <w:end w:w="55" w:type="dxa"/>
            </w:tcMar>
          </w:tcPr>
          <w:p>
            <w:r>
              <w:rPr>
                <w:sz w:val="13"/>
              </w:rPr>
              <w:t>Detect a sensor that does not materially change.</w:t>
            </w:r>
          </w:p>
        </w:tc>
        <w:tc>
          <w:tcPr>
            <w:tcW w:type="dxa" w:w="1714"/>
            <w:tcMar>
              <w:top w:w="55" w:type="dxa"/>
              <w:start w:w="55" w:type="dxa"/>
              <w:bottom w:w="55" w:type="dxa"/>
              <w:end w:w="55" w:type="dxa"/>
            </w:tcMar>
          </w:tcPr>
          <w:p>
            <w:r>
              <w:rPr>
                <w:sz w:val="13"/>
              </w:rPr>
              <w:t>range(x over window) &lt;= epsilon</w:t>
            </w:r>
          </w:p>
        </w:tc>
        <w:tc>
          <w:tcPr>
            <w:tcW w:type="dxa" w:w="1714"/>
            <w:tcMar>
              <w:top w:w="55" w:type="dxa"/>
              <w:start w:w="55" w:type="dxa"/>
              <w:bottom w:w="55" w:type="dxa"/>
              <w:end w:w="55" w:type="dxa"/>
            </w:tcMar>
          </w:tcPr>
          <w:p>
            <w:r>
              <w:rPr>
                <w:sz w:val="13"/>
              </w:rPr>
              <w:t>Minimum sample count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SV-SPIKE</w:t>
            </w:r>
          </w:p>
        </w:tc>
        <w:tc>
          <w:tcPr>
            <w:tcW w:type="dxa" w:w="1714"/>
            <w:tcMar>
              <w:top w:w="55" w:type="dxa"/>
              <w:start w:w="55" w:type="dxa"/>
              <w:bottom w:w="55" w:type="dxa"/>
              <w:end w:w="55" w:type="dxa"/>
            </w:tcMar>
          </w:tcPr>
          <w:p>
            <w:r>
              <w:rPr>
                <w:sz w:val="13"/>
              </w:rPr>
              <w:t>Detect abrupt, isolated changes.</w:t>
            </w:r>
          </w:p>
        </w:tc>
        <w:tc>
          <w:tcPr>
            <w:tcW w:type="dxa" w:w="1714"/>
            <w:tcMar>
              <w:top w:w="55" w:type="dxa"/>
              <w:start w:w="55" w:type="dxa"/>
              <w:bottom w:w="55" w:type="dxa"/>
              <w:end w:w="55" w:type="dxa"/>
            </w:tcMar>
          </w:tcPr>
          <w:p>
            <w:r>
              <w:rPr>
                <w:sz w:val="13"/>
              </w:rPr>
              <w:t>|x_t - x_(t-1)| &gt; max_step</w:t>
            </w:r>
          </w:p>
        </w:tc>
        <w:tc>
          <w:tcPr>
            <w:tcW w:type="dxa" w:w="1714"/>
            <w:tcMar>
              <w:top w:w="55" w:type="dxa"/>
              <w:start w:w="55" w:type="dxa"/>
              <w:bottom w:w="55" w:type="dxa"/>
              <w:end w:w="55" w:type="dxa"/>
            </w:tcMar>
          </w:tcPr>
          <w:p>
            <w:r>
              <w:rPr>
                <w:sz w:val="13"/>
              </w:rPr>
              <w:t>Consecutive valid samples</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SV-STALE</w:t>
            </w:r>
          </w:p>
        </w:tc>
        <w:tc>
          <w:tcPr>
            <w:tcW w:type="dxa" w:w="1714"/>
            <w:tcMar>
              <w:top w:w="55" w:type="dxa"/>
              <w:start w:w="55" w:type="dxa"/>
              <w:bottom w:w="55" w:type="dxa"/>
              <w:end w:w="55" w:type="dxa"/>
            </w:tcMar>
          </w:tcPr>
          <w:p>
            <w:r>
              <w:rPr>
                <w:sz w:val="13"/>
              </w:rPr>
              <w:t>Detect repeated or outdated values.</w:t>
            </w:r>
          </w:p>
        </w:tc>
        <w:tc>
          <w:tcPr>
            <w:tcW w:type="dxa" w:w="1714"/>
            <w:tcMar>
              <w:top w:w="55" w:type="dxa"/>
              <w:start w:w="55" w:type="dxa"/>
              <w:bottom w:w="55" w:type="dxa"/>
              <w:end w:w="55" w:type="dxa"/>
            </w:tcMar>
          </w:tcPr>
          <w:p>
            <w:r>
              <w:rPr>
                <w:sz w:val="13"/>
              </w:rPr>
              <w:t>age &gt; stale_limit OR repeated_count &gt; limit</w:t>
            </w:r>
          </w:p>
        </w:tc>
        <w:tc>
          <w:tcPr>
            <w:tcW w:type="dxa" w:w="1714"/>
            <w:tcMar>
              <w:top w:w="55" w:type="dxa"/>
              <w:start w:w="55" w:type="dxa"/>
              <w:bottom w:w="55" w:type="dxa"/>
              <w:end w:w="55" w:type="dxa"/>
            </w:tcMar>
          </w:tcPr>
          <w:p>
            <w:r>
              <w:rPr>
                <w:sz w:val="13"/>
              </w:rPr>
              <w:t>Expected reporting interval</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HW-RESET</w:t>
            </w:r>
          </w:p>
        </w:tc>
        <w:tc>
          <w:tcPr>
            <w:tcW w:type="dxa" w:w="1714"/>
            <w:tcMar>
              <w:top w:w="55" w:type="dxa"/>
              <w:start w:w="55" w:type="dxa"/>
              <w:bottom w:w="55" w:type="dxa"/>
              <w:end w:w="55" w:type="dxa"/>
            </w:tcMar>
          </w:tcPr>
          <w:p>
            <w:r>
              <w:rPr>
                <w:sz w:val="13"/>
              </w:rPr>
              <w:t>Detect poor heating-water reset tracking.</w:t>
            </w:r>
          </w:p>
        </w:tc>
        <w:tc>
          <w:tcPr>
            <w:tcW w:type="dxa" w:w="1714"/>
            <w:tcMar>
              <w:top w:w="55" w:type="dxa"/>
              <w:start w:w="55" w:type="dxa"/>
              <w:bottom w:w="55" w:type="dxa"/>
              <w:end w:w="55" w:type="dxa"/>
            </w:tcMar>
          </w:tcPr>
          <w:p>
            <w:r>
              <w:rPr>
                <w:sz w:val="13"/>
              </w:rPr>
              <w:t>|HWST - HWST_SP| &gt; deadband or setpoint not reset with OAT</w:t>
            </w:r>
          </w:p>
        </w:tc>
        <w:tc>
          <w:tcPr>
            <w:tcW w:type="dxa" w:w="1714"/>
            <w:tcMar>
              <w:top w:w="55" w:type="dxa"/>
              <w:start w:w="55" w:type="dxa"/>
              <w:bottom w:w="55" w:type="dxa"/>
              <w:end w:w="55" w:type="dxa"/>
            </w:tcMar>
          </w:tcPr>
          <w:p>
            <w:r>
              <w:rPr>
                <w:sz w:val="13"/>
              </w:rPr>
              <w:t>Plant enabled; heating season</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BOILER-STAGE</w:t>
            </w:r>
          </w:p>
        </w:tc>
        <w:tc>
          <w:tcPr>
            <w:tcW w:type="dxa" w:w="1714"/>
            <w:tcMar>
              <w:top w:w="55" w:type="dxa"/>
              <w:start w:w="55" w:type="dxa"/>
              <w:bottom w:w="55" w:type="dxa"/>
              <w:end w:w="55" w:type="dxa"/>
            </w:tcMar>
          </w:tcPr>
          <w:p>
            <w:r>
              <w:rPr>
                <w:sz w:val="13"/>
              </w:rPr>
              <w:t>Detect excessive staging, short cycling, or failed stage response.</w:t>
            </w:r>
          </w:p>
        </w:tc>
        <w:tc>
          <w:tcPr>
            <w:tcW w:type="dxa" w:w="1714"/>
            <w:tcMar>
              <w:top w:w="55" w:type="dxa"/>
              <w:start w:w="55" w:type="dxa"/>
              <w:bottom w:w="55" w:type="dxa"/>
              <w:end w:w="55" w:type="dxa"/>
            </w:tcMar>
          </w:tcPr>
          <w:p>
            <w:r>
              <w:rPr>
                <w:sz w:val="13"/>
              </w:rPr>
              <w:t>starts/hour &gt; limit OR enabled stage with inadequate temperature response</w:t>
            </w:r>
          </w:p>
        </w:tc>
        <w:tc>
          <w:tcPr>
            <w:tcW w:type="dxa" w:w="1714"/>
            <w:tcMar>
              <w:top w:w="55" w:type="dxa"/>
              <w:start w:w="55" w:type="dxa"/>
              <w:bottom w:w="55" w:type="dxa"/>
              <w:end w:w="55" w:type="dxa"/>
            </w:tcMar>
          </w:tcPr>
          <w:p>
            <w:r>
              <w:rPr>
                <w:sz w:val="13"/>
              </w:rPr>
              <w:t>Heat demand present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HW-LOW-DT</w:t>
            </w:r>
          </w:p>
        </w:tc>
        <w:tc>
          <w:tcPr>
            <w:tcW w:type="dxa" w:w="1714"/>
            <w:tcMar>
              <w:top w:w="55" w:type="dxa"/>
              <w:start w:w="55" w:type="dxa"/>
              <w:bottom w:w="55" w:type="dxa"/>
              <w:end w:w="55" w:type="dxa"/>
            </w:tcMar>
          </w:tcPr>
          <w:p>
            <w:r>
              <w:rPr>
                <w:sz w:val="13"/>
              </w:rPr>
              <w:t>Detect low heating-water delta-T.</w:t>
            </w:r>
          </w:p>
        </w:tc>
        <w:tc>
          <w:tcPr>
            <w:tcW w:type="dxa" w:w="1714"/>
            <w:tcMar>
              <w:top w:w="55" w:type="dxa"/>
              <w:start w:w="55" w:type="dxa"/>
              <w:bottom w:w="55" w:type="dxa"/>
              <w:end w:w="55" w:type="dxa"/>
            </w:tcMar>
          </w:tcPr>
          <w:p>
            <w:r>
              <w:rPr>
                <w:sz w:val="13"/>
              </w:rPr>
              <w:t>HWST - HWRT &lt; minimum_delta_t</w:t>
            </w:r>
          </w:p>
        </w:tc>
        <w:tc>
          <w:tcPr>
            <w:tcW w:type="dxa" w:w="1714"/>
            <w:tcMar>
              <w:top w:w="55" w:type="dxa"/>
              <w:start w:w="55" w:type="dxa"/>
              <w:bottom w:w="55" w:type="dxa"/>
              <w:end w:w="55" w:type="dxa"/>
            </w:tcMar>
          </w:tcPr>
          <w:p>
            <w:r>
              <w:rPr>
                <w:sz w:val="13"/>
              </w:rPr>
              <w:t>Pump proven; meaningful load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PUMP-OVERFLOW</w:t>
            </w:r>
          </w:p>
        </w:tc>
        <w:tc>
          <w:tcPr>
            <w:tcW w:type="dxa" w:w="1714"/>
            <w:tcMar>
              <w:top w:w="55" w:type="dxa"/>
              <w:start w:w="55" w:type="dxa"/>
              <w:bottom w:w="55" w:type="dxa"/>
              <w:end w:w="55" w:type="dxa"/>
            </w:tcMar>
          </w:tcPr>
          <w:p>
            <w:r>
              <w:rPr>
                <w:sz w:val="13"/>
              </w:rPr>
              <w:t>Detect excessive pumping or DP.</w:t>
            </w:r>
          </w:p>
        </w:tc>
        <w:tc>
          <w:tcPr>
            <w:tcW w:type="dxa" w:w="1714"/>
            <w:tcMar>
              <w:top w:w="55" w:type="dxa"/>
              <w:start w:w="55" w:type="dxa"/>
              <w:bottom w:w="55" w:type="dxa"/>
              <w:end w:w="55" w:type="dxa"/>
            </w:tcMar>
          </w:tcPr>
          <w:p>
            <w:r>
              <w:rPr>
                <w:sz w:val="13"/>
              </w:rPr>
              <w:t>DP &gt; DP_SP + deadband OR VFD high while valves mostly closed</w:t>
            </w:r>
          </w:p>
        </w:tc>
        <w:tc>
          <w:tcPr>
            <w:tcW w:type="dxa" w:w="1714"/>
            <w:tcMar>
              <w:top w:w="55" w:type="dxa"/>
              <w:start w:w="55" w:type="dxa"/>
              <w:bottom w:w="55" w:type="dxa"/>
              <w:end w:w="55" w:type="dxa"/>
            </w:tcMar>
          </w:tcPr>
          <w:p>
            <w:r>
              <w:rPr>
                <w:sz w:val="13"/>
              </w:rPr>
              <w:t>Pump on</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OFF-HOURS-HEAT</w:t>
            </w:r>
          </w:p>
        </w:tc>
        <w:tc>
          <w:tcPr>
            <w:tcW w:type="dxa" w:w="1714"/>
            <w:tcMar>
              <w:top w:w="55" w:type="dxa"/>
              <w:start w:w="55" w:type="dxa"/>
              <w:bottom w:w="55" w:type="dxa"/>
              <w:end w:w="55" w:type="dxa"/>
            </w:tcMar>
          </w:tcPr>
          <w:p>
            <w:r>
              <w:rPr>
                <w:sz w:val="13"/>
              </w:rPr>
              <w:t>Detect plant operation outside schedule without freeze/override need.</w:t>
            </w:r>
          </w:p>
        </w:tc>
        <w:tc>
          <w:tcPr>
            <w:tcW w:type="dxa" w:w="1714"/>
            <w:tcMar>
              <w:top w:w="55" w:type="dxa"/>
              <w:start w:w="55" w:type="dxa"/>
              <w:bottom w:w="55" w:type="dxa"/>
              <w:end w:w="55" w:type="dxa"/>
            </w:tcMar>
          </w:tcPr>
          <w:p>
            <w:r>
              <w:rPr>
                <w:sz w:val="13"/>
              </w:rPr>
              <w:t>plant_on AND unoccupied AND no valid exception</w:t>
            </w:r>
          </w:p>
        </w:tc>
        <w:tc>
          <w:tcPr>
            <w:tcW w:type="dxa" w:w="1714"/>
            <w:tcMar>
              <w:top w:w="55" w:type="dxa"/>
              <w:start w:w="55" w:type="dxa"/>
              <w:bottom w:w="55" w:type="dxa"/>
              <w:end w:w="55" w:type="dxa"/>
            </w:tcMar>
          </w:tcPr>
          <w:p>
            <w:r>
              <w:rPr>
                <w:sz w:val="13"/>
              </w:rPr>
              <w:t>Schedule available</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bl>
    <w:p/>
    <w:p>
      <w:r>
        <w:br w:type="page"/>
      </w:r>
    </w:p>
    <w:p>
      <w:pPr>
        <w:pStyle w:val="Heading1"/>
      </w:pPr>
      <w:r>
        <w:t>Plots and engineering interpretation</w:t>
      </w:r>
    </w:p>
    <w:p>
      <w:pPr>
        <w:pStyle w:val="Heading2"/>
      </w:pPr>
      <w:r>
        <w:t>1. Heating-water temperature reset</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HW supply, HW setpoint, HW return, OAT, plant enable.</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2. Boiler staging</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lead/lag commands, firing rate, enable status, HW temperature error.</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2"/>
      </w:pPr>
      <w:r>
        <w:t>3. Pump and differential-pressure control</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pump status, VFD speed, DP, DP setpoint, valve position percentile.</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4. Plant delta-T profile</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HW ΔT vs load proxy or OAT, with low-ΔT threshold.</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1"/>
      </w:pPr>
      <w:r>
        <w:t>Measures and implementation plan</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pPr>
        <w:pStyle w:val="Heading2"/>
      </w:pPr>
      <w:r>
        <w:t>Measurement &amp; verification plan</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POST-IMPLEMENTATION VERIFICATION PLOT</w:t>
            </w:r>
          </w:p>
          <w:p>
            <w:pPr>
              <w:jc w:val="center"/>
            </w:pPr>
            <w:r>
              <w:rPr>
                <w:i/>
                <w:color w:val="5B6573"/>
                <w:sz w:val="17"/>
              </w:rPr>
              <w:t>Paste the same Plotly view after implementation. Use matching axes and filters to demonstrate improvement.</w:t>
            </w:r>
          </w:p>
          <w:p>
            <w:r>
              <w:t xml:space="preserve"> </w:t>
            </w:r>
          </w:p>
          <w:p>
            <w:r>
              <w:t xml:space="preserve"> </w:t>
            </w:r>
          </w:p>
          <w:p>
            <w:r>
              <w:t xml:space="preserve"> </w:t>
            </w:r>
          </w:p>
          <w:p>
            <w:r>
              <w:t xml:space="preserve"> </w:t>
            </w:r>
          </w:p>
          <w:p>
            <w:r>
              <w:t xml:space="preserve"> </w:t>
            </w:r>
          </w:p>
        </w:tc>
      </w:tr>
    </w:tbl>
    <w:p/>
    <w:p>
      <w:pPr>
        <w:pStyle w:val="Heading1"/>
      </w:pPr>
      <w:r>
        <w:t>Engineer certification and limitations</w:t>
      </w:r>
    </w:p>
    <w:p>
      <w:r>
        <w:t>This workpaper is intended for engineering screening and retro-commissioning documentation. Results depend on point mapping, sensor quality, timestamps, operating gates, and selected thresholds. The engineer should verify findings against sequences of operation, field conditions, and control-system trends before implementation.</w:t>
      </w:r>
    </w:p>
    <w:tbl>
      <w:tblPr>
        <w:tblW w:type="auto" w:w="0"/>
        <w:tblLook w:firstColumn="1" w:firstRow="1" w:lastColumn="0" w:lastRow="0" w:noHBand="0" w:noVBand="1" w:val="04A0"/>
      </w:tblPr>
      <w:tblGrid>
        <w:gridCol w:w="2570"/>
        <w:gridCol w:w="2570"/>
        <w:gridCol w:w="2570"/>
        <w:gridCol w:w="2570"/>
      </w:tblGrid>
      <w:tr>
        <w:tc>
          <w:tcPr>
            <w:tcW w:type="dxa" w:w="2570"/>
            <w:shd w:fill="F3F6F8"/>
            <w:tcBorders>
              <w:bottom w:val="single" w:sz="5" w:color="7B8794"/>
            </w:tcBorders>
            <w:tcMar>
              <w:top w:w="90" w:type="dxa"/>
              <w:start w:w="75" w:type="dxa"/>
              <w:bottom w:w="90" w:type="dxa"/>
              <w:end w:w="75" w:type="dxa"/>
            </w:tcMar>
          </w:tcPr>
          <w:p>
            <w:r>
              <w:rPr>
                <w:b/>
                <w:sz w:val="16"/>
              </w:rPr>
              <w:t>Prepared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r>
        <w:tc>
          <w:tcPr>
            <w:tcW w:type="dxa" w:w="2570"/>
            <w:shd w:fill="F3F6F8"/>
            <w:tcBorders>
              <w:bottom w:val="single" w:sz="5" w:color="7B8794"/>
            </w:tcBorders>
            <w:tcMar>
              <w:top w:w="90" w:type="dxa"/>
              <w:start w:w="75" w:type="dxa"/>
              <w:bottom w:w="90" w:type="dxa"/>
              <w:end w:w="75" w:type="dxa"/>
            </w:tcMar>
          </w:tcPr>
          <w:p>
            <w:r>
              <w:rPr>
                <w:b/>
                <w:sz w:val="16"/>
              </w:rPr>
              <w:t>Reviewed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4"/>
      </w:rPr>
      <w:t xml:space="preserve">Engineer-edited template  |  </w:t>
    </w:r>
    <w:r>
      <w:fldChar w:fldCharType="begin"/>
      <w:instrText xml:space="preserve">PAGE</w:instrText>
      <w:fldChar w:fldCharType="end"/>
    </w:r>
    <w: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E75B6"/>
        <w:sz w:val="15"/>
      </w:rPr>
      <w:t>OPEN-FDD  •  RETRO-COMMISSIONING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1F8A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20"/>
    </w:pPr>
    <w:rPr>
      <w:rFonts w:ascii="Aptos" w:hAnsi="Aptos"/>
      <w:b/>
      <w:caps/>
      <w:color w:val="5B657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