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sz w:val="36"/>
        </w:rPr>
        <w:t>Cowork Workspace Setup for an Audit</w:t>
      </w:r>
    </w:p>
    <w:p>
      <w:r>
        <w:rPr>
          <w:b w:val="0"/>
          <w:i w:val="0"/>
        </w:rPr>
        <w:t>First-time setup of a Cowork project for an audit engagement. Follow the steps in order and fill in anything in [brackets]. Setup takes one sitting, and most of it now runs from a single prompt — the setup skill does the indexing, the memos, and the trial balance conversion on its own.</w:t>
      </w:r>
    </w:p>
    <w:p>
      <w:pPr>
        <w:pStyle w:val="Heading2"/>
      </w:pPr>
      <w:r>
        <w:t>Before you start, gather these</w:t>
      </w:r>
    </w:p>
    <w:p>
      <w:pPr>
        <w:pStyle w:val="ListBullet"/>
      </w:pPr>
      <w:r>
        <w:t>The completed prior-year Caseware audit file (copy it from the server or a sync).</w:t>
      </w:r>
    </w:p>
    <w:p>
      <w:pPr>
        <w:pStyle w:val="ListBullet"/>
      </w:pPr>
      <w:r>
        <w:t>The current-year Suralink PBC folder — or skip this and let Claude pull it; it can sync Suralink directly.</w:t>
      </w:r>
    </w:p>
    <w:p>
      <w:pPr>
        <w:pStyle w:val="ListBullet"/>
      </w:pPr>
      <w:r>
        <w:t>The general ledger, two years preferred.</w:t>
      </w:r>
    </w:p>
    <w:p>
      <w:pPr>
        <w:pStyle w:val="ListBullet"/>
      </w:pPr>
      <w:r>
        <w:t>The prior-year financial statements.</w:t>
      </w:r>
    </w:p>
    <w:p>
      <w:pPr>
        <w:pStyle w:val="ListBullet"/>
      </w:pPr>
      <w:r>
        <w:t>A grouped trial balance for the current year.</w:t>
      </w:r>
    </w:p>
    <w:p>
      <w:r>
        <w:rPr>
          <w:b w:val="0"/>
          <w:i/>
        </w:rPr>
        <w:t>You no longer need a workpaper index for the Caseware file. Setup builds one automatically (the crosswalk), along with a full trial balance extract.</w:t>
      </w:r>
    </w:p>
    <w:p>
      <w:pPr>
        <w:pStyle w:val="Heading2"/>
      </w:pPr>
      <w:r>
        <w:t>Step 1. Create the project</w:t>
      </w:r>
    </w:p>
    <w:p>
      <w:r>
        <w:rPr>
          <w:b w:val="0"/>
          <w:i w:val="0"/>
        </w:rPr>
        <w:t>Create a new Cowork project for the audit. Name it for the client and year, e.g. "[Client] 2025 Audit".</w:t>
      </w:r>
    </w:p>
    <w:p>
      <w:pPr>
        <w:pStyle w:val="Heading2"/>
      </w:pPr>
      <w:r>
        <w:t>Step 2. Add the files in three folders</w:t>
      </w:r>
    </w:p>
    <w:p>
      <w:r>
        <w:rPr>
          <w:b w:val="0"/>
          <w:i w:val="0"/>
        </w:rPr>
        <w:t>Folder names matter. Claude reads them to know what each folder is, so name them exactly like this.</w:t>
      </w:r>
    </w:p>
    <w:p>
      <w:pPr>
        <w:pStyle w:val="ListBullet"/>
      </w:pPr>
      <w:r>
        <w:t>Create a folder named [Client] 2024 Caseware Audit File and copy the prior-year Caseware files into it.</w:t>
      </w:r>
    </w:p>
    <w:p>
      <w:pPr>
        <w:pStyle w:val="ListBullet"/>
      </w:pPr>
      <w:r>
        <w:t>Create a folder named 2025 Suralink Folder and put the Suralink download in it. If Claude pulls Suralink for you, it creates and names this folder itself.</w:t>
      </w:r>
    </w:p>
    <w:p>
      <w:pPr>
        <w:pStyle w:val="ListBullet"/>
      </w:pPr>
      <w:r>
        <w:t>Create a folder named References and put in it: the GL (two years preferred), the prior-year financial statements, and the current-year grouped TB.</w:t>
      </w:r>
    </w:p>
    <w:p>
      <w:pPr>
        <w:pStyle w:val="Heading2"/>
      </w:pPr>
      <w:r>
        <w:t>Step 3. Run the setup</w:t>
      </w:r>
    </w:p>
    <w:p>
      <w:r>
        <w:rPr>
          <w:b w:val="0"/>
          <w:i w:val="0"/>
        </w:rPr>
        <w:t>Paste this prompt and let it run. It replaces the four separate prompts from the old version of this handout.</w:t>
      </w:r>
    </w:p>
    <w:tbl>
      <w:tblPr>
        <w:tblStyle w:val="TableGrid"/>
        <w:tblW w:type="auto" w:w="0"/>
        <w:tblLook w:firstColumn="1" w:firstRow="1" w:lastColumn="0" w:lastRow="0" w:noHBand="0" w:noVBand="1" w:val="04A0"/>
      </w:tblPr>
      <w:tblGrid>
        <w:gridCol w:w="9360"/>
      </w:tblGrid>
      <w:tr>
        <w:tc>
          <w:tcPr>
            <w:tcW w:type="dxa" w:w="9360"/>
            <w:shd w:val="clear" w:fill="F2F2F2"/>
          </w:tcPr>
          <w:p>
            <w:pPr>
              <w:spacing w:after="80" w:before="80"/>
            </w:pPr>
            <w:r>
              <w:rPr>
                <w:rFonts w:ascii="Arial" w:hAnsi="Arial"/>
                <w:sz w:val="20"/>
              </w:rPr>
              <w:t>Run the audit workspace setup on this engagement. The prior-year file is in [Client] 2024 Caseware Audit File, current-year PBCs are in 2025 Suralink Folder, and the GLs, prior-year financial statements, and current-year grouped TB are in References. The client is a [governmental entity / nonprofit / commercial company / employee benefit plan].</w:t>
            </w:r>
          </w:p>
        </w:tc>
      </w:tr>
    </w:tbl>
    <w:p>
      <w:pPr>
        <w:spacing w:after="120"/>
      </w:pPr>
    </w:p>
    <w:p>
      <w:r>
        <w:rPr>
          <w:b/>
          <w:i w:val="0"/>
        </w:rPr>
        <w:t>What it does:</w:t>
      </w:r>
    </w:p>
    <w:p>
      <w:pPr>
        <w:pStyle w:val="ListBullet"/>
      </w:pPr>
      <w:r>
        <w:t>Indexes the Caseware file — builds the crosswalk (which real file is which workpaper) and a trial balance extract (every account, grouping, fund, and five years of balances). Nobody ever digs through the pile again.</w:t>
      </w:r>
    </w:p>
    <w:p>
      <w:pPr>
        <w:pStyle w:val="ListBullet"/>
      </w:pPr>
      <w:r>
        <w:t>Writes the reference memos into References: a policies memo (controls, capitalization, compensated absences — and what changed since last year), a planning rollforward memo, and a minutes memo.</w:t>
      </w:r>
    </w:p>
    <w:p>
      <w:pPr>
        <w:pStyle w:val="ListBullet"/>
      </w:pPr>
      <w:r>
        <w:t>For benefit plans, also writes a plan provisions memo — eligibility, entry dates, definition of compensation, deferral/match/safe-harbor formulas, vesting, forfeitures, loans, distributions — and leads with any provisions that changed versus the prior year.</w:t>
      </w:r>
    </w:p>
    <w:p>
      <w:pPr>
        <w:pStyle w:val="ListBullet"/>
      </w:pPr>
      <w:r>
        <w:t>If the prior year is a Caseware file (meaning the engagement is converting to CCH), it builds the CCH imports: a historical TB import with the current-year values mapped onto the same lines, plus a fund balance import if the client has funds.</w:t>
      </w:r>
    </w:p>
    <w:p>
      <w:pPr>
        <w:pStyle w:val="Heading2"/>
      </w:pPr>
      <w:r>
        <w:t>Step 4. Add the project memory</w:t>
      </w:r>
    </w:p>
    <w:p>
      <w:r>
        <w:rPr>
          <w:b w:val="0"/>
          <w:i w:val="0"/>
        </w:rPr>
        <w:t>Fill in the [bracketed] items, then paste the whole block as one prompt. This tells Claude how the workspace is laid out and how to search it without burning through hundreds of files, and it applies to every future chat in the project.</w:t>
      </w:r>
    </w:p>
    <w:tbl>
      <w:tblPr>
        <w:tblStyle w:val="TableGrid"/>
        <w:tblW w:type="auto" w:w="0"/>
        <w:tblLook w:firstColumn="1" w:firstRow="1" w:lastColumn="0" w:lastRow="0" w:noHBand="0" w:noVBand="1" w:val="04A0"/>
      </w:tblPr>
      <w:tblGrid>
        <w:gridCol w:w="9360"/>
      </w:tblGrid>
      <w:tr>
        <w:tc>
          <w:tcPr>
            <w:tcW w:type="dxa" w:w="9360"/>
            <w:shd w:val="clear" w:fill="F2F2F2"/>
          </w:tcPr>
          <w:p>
            <w:pPr>
              <w:spacing w:after="80" w:before="80"/>
            </w:pPr>
            <w:r>
              <w:rPr>
                <w:rFonts w:ascii="Arial" w:hAnsi="Arial"/>
                <w:sz w:val="20"/>
              </w:rPr>
              <w:t>Add this to project memory: This project is for the audit of [client name]. Their year end is [year end date]. Tolerable misstatement is [TM amount]. The client is a [client type]. The [Client] 2024 Caseware Audit File folder is the completed prior-year audit file. It is an unorganized flat pile — Caseware does not carry names or indexes onto disk — so never browse it. Its index is the _crosswalk.json file at the top of that folder: match on the index or workpaper name, and open only the disk file it names. Documents marked automatic have no disk file (the TB, leadsheets, and journal entries live in the Caseware database) — balances for those come from _tb_extract.json in the same folder, never from opening workpapers. Current-year PBCs are in 2025 Suralink Folder/sorted (the _raw folder is an untouched chain-of-custody copy — leave it alone). The References folder holds the GLs, the prior-year financial statements, the current-year grouped TB, and the memos: policies, planning rollforward, minutes, and plan provisions if applicable. When I ask questions, search in this order: the References memos first, then the current-year PBCs, then the Caseware file via the crosswalk only. In any folder, list file names and pick candidates before opening anything, and open at most 3 or 4 candidates before checking in with me. If no likely candidates turn up, ask me before reading files one by one.</w:t>
            </w:r>
          </w:p>
        </w:tc>
      </w:tr>
    </w:tbl>
    <w:p>
      <w:pPr>
        <w:spacing w:after="120"/>
      </w:pPr>
    </w:p>
    <w:p>
      <w:pPr>
        <w:pStyle w:val="Heading2"/>
      </w:pPr>
      <w:r>
        <w:t>Done</w:t>
      </w:r>
    </w:p>
    <w:p>
      <w:r>
        <w:rPr>
          <w:b w:val="0"/>
          <w:i w:val="0"/>
        </w:rPr>
        <w:t>You now have a workspace for this audit. Ask questions about the client, request schedules and memos, and work the audit from here. Claude checks the References memos first and knows where everything else lives.</w:t>
      </w:r>
    </w:p>
    <w:p>
      <w:r>
        <w:rPr>
          <w:b w:val="0"/>
          <w:i w:val="0"/>
        </w:rPr>
        <w:t>This is a starting setup. Once you have run it once or twice, change the folder names, prompts, or memory to fit how you work. If a step stalls or misfiles something, just tell Claude what you wanted — the folders and memos are all editable.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Arial" w:hAnsi="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