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  <w:b/>
          <w:sz w:val="48"/>
        </w:rPr>
        <w:t>03 · DSH 待确认事项决策规范（维护与测试基准）</w:t>
      </w:r>
    </w:p>
    <w:p>
      <w:r>
        <w:rPr>
          <w:rFonts w:ascii="Noto Sans CJK SC" w:hAnsi="Noto Sans CJK SC" w:eastAsia="Noto Sans CJK SC"/>
          <w:color w:val="6E6E6E"/>
          <w:sz w:val="20"/>
        </w:rPr>
        <w:t>DSH 待确认事项决策机制 · 最终拆分版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定位：</w:t>
            </w:r>
            <w:r>
              <w:rPr>
                <w:rFonts w:ascii="Noto Sans CJK SC" w:hAnsi="Noto Sans CJK SC" w:eastAsia="Noto Sans CJK SC"/>
              </w:rPr>
              <w:t>本文件是母规范，用于设计、维护、评审、测试和版本升级。它不建议原封不动注入 System Prompt，也不应与插件规则重复作为运行时指令。</w:t>
            </w:r>
          </w:p>
        </w:tc>
      </w:tr>
    </w:tbl>
    <w:p>
      <w:pPr>
        <w:pStyle w:val="Heading1"/>
      </w:pPr>
      <w:r>
        <w:t>1. 规范目的</w:t>
      </w:r>
    </w:p>
    <w:p>
      <w:r>
        <w:rPr>
          <w:rFonts w:ascii="Noto Sans CJK SC" w:hAnsi="Noto Sans CJK SC" w:eastAsia="Noto Sans CJK SC"/>
        </w:rPr>
        <w:t>本规范定义 DSH 在“主任务已完成 → DSH 主动提出待确认事项 → 用户回复这些事项”这一局部阶段的决策机制。</w:t>
      </w:r>
    </w:p>
    <w:p>
      <w:r>
        <w:rPr>
          <w:rFonts w:ascii="Noto Sans CJK SC" w:hAnsi="Noto Sans CJK SC" w:eastAsia="Noto Sans CJK SC"/>
        </w:rPr>
        <w:t>目标是在不把规则扩展成全局行为的前提下，让 DSH 在用户回复确认事项后自动完成判断、选择方案并执行。</w:t>
      </w:r>
    </w:p>
    <w:p>
      <w:pPr>
        <w:pStyle w:val="Heading1"/>
      </w:pPr>
      <w:r>
        <w:t>2. 三层架构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层</w:t>
            </w:r>
          </w:p>
        </w:tc>
        <w:tc>
          <w:tcPr>
            <w:tcW w:type="dxa" w:w="332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  <w:tc>
          <w:tcPr>
            <w:tcW w:type="dxa" w:w="332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对应文件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System Prompt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判断何时进入/退出流程、何时调用插件、插件结果如何执行。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01_DSH_System_Prompt_待确认事项触发规则.docx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决策插件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执行质量判断、用户影响判断、目标识别、方案比较并返回结构化决策。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02_Confirmation_Resolution_Plugin_执行规则.docx</w:t>
            </w:r>
          </w:p>
        </w:tc>
      </w:tr>
      <w:tr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规范文档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定义原则、边界、等级含义、异常处理、测试、版本管理。</w:t>
            </w:r>
          </w:p>
        </w:tc>
        <w:tc>
          <w:tcPr>
            <w:tcW w:type="dxa" w:w="3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本文件</w:t>
            </w:r>
          </w:p>
        </w:tc>
      </w:tr>
    </w:tbl>
    <w:p>
      <w:pPr>
        <w:pStyle w:val="Heading1"/>
      </w:pPr>
      <w:r>
        <w:t>3. 状态机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NORMAL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↓ 主任务完成且存在待确认事项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PENDING_CONFIRMATION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↓ 用户回复一个或多个确认项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CONFIRMATION_RESOLUTION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↓ 插件返回并执行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RESOLVE_ITEMS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↓ 本轮涉及的确认项处理完成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NORMAL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未被用户回复的确认项可继续保持 PENDING，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但不得让确认处理规则持续污染无关的新请求。</w:t>
      </w:r>
    </w:p>
    <w:p>
      <w:pPr>
        <w:pStyle w:val="Heading1"/>
      </w:pPr>
      <w:r>
        <w:t>4. 作用域定义</w:t>
      </w:r>
    </w:p>
    <w:p>
      <w:r>
        <w:rPr>
          <w:rFonts w:ascii="Noto Sans CJK SC" w:hAnsi="Noto Sans CJK SC" w:eastAsia="Noto Sans CJK SC"/>
        </w:rPr>
        <w:t>只有以下条件同时成立时，本机制才生效：</w:t>
      </w:r>
    </w:p>
    <w:p>
      <w:pPr>
        <w:pStyle w:val="ListBullet"/>
      </w:pPr>
      <w:r>
        <w:rPr>
          <w:rFonts w:ascii="Noto Sans CJK SC" w:hAnsi="Noto Sans CJK SC" w:eastAsia="Noto Sans CJK SC"/>
        </w:rPr>
        <w:t>主任务已经完成。</w:t>
      </w:r>
    </w:p>
    <w:p>
      <w:pPr>
        <w:pStyle w:val="ListBullet"/>
      </w:pPr>
      <w:r>
        <w:rPr>
          <w:rFonts w:ascii="Noto Sans CJK SC" w:hAnsi="Noto Sans CJK SC" w:eastAsia="Noto Sans CJK SC"/>
        </w:rPr>
        <w:t>DSH 已明确提出至少一个尚未解决的确认项。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用户当前消息能明确对应到其中至少一个确认项。</w:t>
      </w:r>
    </w:p>
    <w:p>
      <w:r>
        <w:rPr>
          <w:rFonts w:ascii="Noto Sans CJK SC" w:hAnsi="Noto Sans CJK SC" w:eastAsia="Noto Sans CJK SC"/>
        </w:rPr>
        <w:t>以下场景均不属于本机制：首次任务、普通修改、新增需求、一般对话、与确认项无关的 follow-up、未被重新涉及的已完成事项。</w:t>
      </w:r>
    </w:p>
    <w:p>
      <w:pPr>
        <w:pStyle w:val="Heading1"/>
      </w:pPr>
      <w:r>
        <w:t>5. 核心决策原则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规则 1：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如果修改不会降低整体质量：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修改，并采用最优方案。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规则 2：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如果修改会降低整体质量，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且保持现状不会影响用户实际使用：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保持现状。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规则 3：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如果修改会降低整体质量，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且保持现状会影响用户实际使用：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必须修改，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 但选择用户体验最好、质量损失最小、副作用最少的方案。</w:t>
      </w:r>
    </w:p>
    <w:p>
      <w:r>
        <w:rPr>
          <w:rFonts w:ascii="Noto Sans CJK SC" w:hAnsi="Noto Sans CJK SC" w:eastAsia="Noto Sans CJK SC"/>
        </w:rPr>
        <w:t>优先级：整体质量影响 → 用户实际使用影响 → 用户真实目标 → 最优方案 → 最小副作用。</w:t>
      </w:r>
    </w:p>
    <w:p>
      <w:pPr>
        <w:pStyle w:val="Heading1"/>
      </w:pPr>
      <w:r>
        <w:t>6. “整体质量”定义</w:t>
      </w:r>
    </w:p>
    <w:p>
      <w:r>
        <w:rPr>
          <w:rFonts w:ascii="Noto Sans CJK SC" w:hAnsi="Noto Sans CJK SC" w:eastAsia="Noto Sans CJK SC"/>
        </w:rPr>
        <w:t>整体质量不是单一视觉评分，而是结果作为完整系统的综合表现。至少包括：</w:t>
      </w:r>
    </w:p>
    <w:p>
      <w:pPr>
        <w:pStyle w:val="ListBullet"/>
      </w:pPr>
      <w:r>
        <w:rPr>
          <w:rFonts w:ascii="Noto Sans CJK SC" w:hAnsi="Noto Sans CJK SC" w:eastAsia="Noto Sans CJK SC"/>
        </w:rPr>
        <w:t>正确性与内容完整性</w:t>
      </w:r>
    </w:p>
    <w:p>
      <w:pPr>
        <w:pStyle w:val="ListBullet"/>
      </w:pPr>
      <w:r>
        <w:rPr>
          <w:rFonts w:ascii="Noto Sans CJK SC" w:hAnsi="Noto Sans CJK SC" w:eastAsia="Noto Sans CJK SC"/>
        </w:rPr>
        <w:t>信息清晰度与可读性</w:t>
      </w:r>
    </w:p>
    <w:p>
      <w:pPr>
        <w:pStyle w:val="ListBullet"/>
      </w:pPr>
      <w:r>
        <w:rPr>
          <w:rFonts w:ascii="Noto Sans CJK SC" w:hAnsi="Noto Sans CJK SC" w:eastAsia="Noto Sans CJK SC"/>
        </w:rPr>
        <w:t>信息层级与视觉层级</w:t>
      </w:r>
    </w:p>
    <w:p>
      <w:pPr>
        <w:pStyle w:val="ListBullet"/>
      </w:pPr>
      <w:r>
        <w:rPr>
          <w:rFonts w:ascii="Noto Sans CJK SC" w:hAnsi="Noto Sans CJK SC" w:eastAsia="Noto Sans CJK SC"/>
        </w:rPr>
        <w:t>布局合理性与视觉一致性</w:t>
      </w:r>
    </w:p>
    <w:p>
      <w:pPr>
        <w:pStyle w:val="ListBullet"/>
      </w:pPr>
      <w:r>
        <w:rPr>
          <w:rFonts w:ascii="Noto Sans CJK SC" w:hAnsi="Noto Sans CJK SC" w:eastAsia="Noto Sans CJK SC"/>
        </w:rPr>
        <w:t>交互合理性与稳定性</w:t>
      </w:r>
    </w:p>
    <w:p>
      <w:pPr>
        <w:pStyle w:val="ListBullet"/>
      </w:pPr>
      <w:r>
        <w:rPr>
          <w:rFonts w:ascii="Noto Sans CJK SC" w:hAnsi="Noto Sans CJK SC" w:eastAsia="Noto Sans CJK SC"/>
        </w:rPr>
        <w:t>响应式表现与可访问性</w:t>
      </w:r>
    </w:p>
    <w:p>
      <w:pPr>
        <w:pStyle w:val="ListBullet"/>
      </w:pPr>
      <w:r>
        <w:rPr>
          <w:rFonts w:ascii="Noto Sans CJK SC" w:hAnsi="Noto Sans CJK SC" w:eastAsia="Noto Sans CJK SC"/>
        </w:rPr>
        <w:t>性能、可靠性与可维护性</w:t>
      </w:r>
    </w:p>
    <w:p>
      <w:pPr>
        <w:pStyle w:val="ListBullet"/>
      </w:pPr>
      <w:r>
        <w:rPr>
          <w:rFonts w:ascii="Noto Sans CJK SC" w:hAnsi="Noto Sans CJK SC" w:eastAsia="Noto Sans CJK SC"/>
        </w:rPr>
        <w:t>与既有系统、组件和设计规范的一致性</w:t>
      </w:r>
    </w:p>
    <w:p>
      <w:r>
        <w:rPr>
          <w:rFonts w:ascii="Noto Sans CJK SC" w:hAnsi="Noto Sans CJK SC" w:eastAsia="Noto Sans CJK SC"/>
        </w:rPr>
        <w:t>质量判断必须比较“当前状态”与“执行该确认修改后的状态”，不得仅以“是否能实现”作为判断依据。</w:t>
      </w:r>
    </w:p>
    <w:p>
      <w:pPr>
        <w:pStyle w:val="Heading1"/>
      </w:pPr>
      <w:r>
        <w:t>7. “用户实际使用影响”定义</w:t>
      </w:r>
    </w:p>
    <w:p>
      <w:r>
        <w:rPr>
          <w:rFonts w:ascii="Noto Sans CJK SC" w:hAnsi="Noto Sans CJK SC" w:eastAsia="Noto Sans CJK SC"/>
        </w:rPr>
        <w:t>用户实际使用影响关注真实任务，而非偏好本身。可包括：</w:t>
      </w:r>
    </w:p>
    <w:p>
      <w:pPr>
        <w:pStyle w:val="ListBullet"/>
      </w:pPr>
      <w:r>
        <w:rPr>
          <w:rFonts w:ascii="Noto Sans CJK SC" w:hAnsi="Noto Sans CJK SC" w:eastAsia="Noto Sans CJK SC"/>
        </w:rPr>
        <w:t>核心任务无法完成或明显受阻。</w:t>
      </w:r>
    </w:p>
    <w:p>
      <w:pPr>
        <w:pStyle w:val="ListBullet"/>
      </w:pPr>
      <w:r>
        <w:rPr>
          <w:rFonts w:ascii="Noto Sans CJK SC" w:hAnsi="Noto Sans CJK SC" w:eastAsia="Noto Sans CJK SC"/>
        </w:rPr>
        <w:t>关键入口、信息或操作难以发现。</w:t>
      </w:r>
    </w:p>
    <w:p>
      <w:pPr>
        <w:pStyle w:val="ListBullet"/>
      </w:pPr>
      <w:r>
        <w:rPr>
          <w:rFonts w:ascii="Noto Sans CJK SC" w:hAnsi="Noto Sans CJK SC" w:eastAsia="Noto Sans CJK SC"/>
        </w:rPr>
        <w:t>容易产生误解、错误或误操作。</w:t>
      </w:r>
    </w:p>
    <w:p>
      <w:pPr>
        <w:pStyle w:val="ListBullet"/>
      </w:pPr>
      <w:r>
        <w:rPr>
          <w:rFonts w:ascii="Noto Sans CJK SC" w:hAnsi="Noto Sans CJK SC" w:eastAsia="Noto Sans CJK SC"/>
        </w:rPr>
        <w:t>操作步骤、寻找成本或理解成本明显增加。</w:t>
      </w:r>
    </w:p>
    <w:p>
      <w:pPr>
        <w:pStyle w:val="ListBullet"/>
      </w:pPr>
      <w:r>
        <w:rPr>
          <w:rFonts w:ascii="Noto Sans CJK SC" w:hAnsi="Noto Sans CJK SC" w:eastAsia="Noto Sans CJK SC"/>
        </w:rPr>
        <w:t>关键内容不可访问，或在某些尺寸/设备上无法正常使用。</w:t>
      </w:r>
    </w:p>
    <w:p>
      <w:pPr>
        <w:pStyle w:val="ListBullet"/>
      </w:pPr>
      <w:r>
        <w:rPr>
          <w:rFonts w:ascii="Noto Sans CJK SC" w:hAnsi="Noto Sans CJK SC" w:eastAsia="Noto Sans CJK SC"/>
        </w:rPr>
        <w:t>可访问性问题实质妨碍使用。</w:t>
      </w:r>
    </w:p>
    <w:p>
      <w:r>
        <w:rPr>
          <w:rFonts w:ascii="Noto Sans CJK SC" w:hAnsi="Noto Sans CJK SC" w:eastAsia="Noto Sans CJK SC"/>
        </w:rPr>
        <w:t>纯审美偏好、颜色喜好、非关键位置偏好、装饰变化等默认不等同于实际使用问题，除非它们进一步影响可读性、理解、操作或访问。</w:t>
      </w:r>
    </w:p>
    <w:p>
      <w:pPr>
        <w:pStyle w:val="Heading1"/>
      </w:pPr>
      <w:r>
        <w:t>8. 等级定义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199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NONE</w:t>
            </w:r>
          </w:p>
        </w:tc>
        <w:tc>
          <w:tcPr>
            <w:tcW w:type="dxa" w:w="199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LOW</w:t>
            </w:r>
          </w:p>
        </w:tc>
        <w:tc>
          <w:tcPr>
            <w:tcW w:type="dxa" w:w="199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MEDIUM</w:t>
            </w:r>
          </w:p>
        </w:tc>
        <w:tc>
          <w:tcPr>
            <w:tcW w:type="dxa" w:w="1994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HIGH</w:t>
            </w:r>
          </w:p>
        </w:tc>
      </w:tr>
      <w:tr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QUALITY_IMPACT</w:t>
            </w:r>
          </w:p>
        </w:tc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无实质下降</w:t>
            </w:r>
          </w:p>
        </w:tc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轻微下降</w:t>
            </w:r>
          </w:p>
        </w:tc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明确下降</w:t>
            </w:r>
          </w:p>
        </w:tc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显著损害整体结果</w:t>
            </w:r>
          </w:p>
        </w:tc>
      </w:tr>
      <w:tr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USER_IMPACT_IF_UNCHANGED</w:t>
            </w:r>
          </w:p>
        </w:tc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不影响正常使用</w:t>
            </w:r>
          </w:p>
        </w:tc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轻微不便</w:t>
            </w:r>
          </w:p>
        </w:tc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明显增加使用成本/错误风险</w:t>
            </w:r>
          </w:p>
        </w:tc>
        <w:tc>
          <w:tcPr>
            <w:tcW w:type="dxa" w:w="19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阻碍核心任务或形成重大障碍</w:t>
            </w:r>
          </w:p>
        </w:tc>
      </w:tr>
    </w:tbl>
    <w:p>
      <w:pPr>
        <w:pStyle w:val="Heading1"/>
      </w:pPr>
      <w:r>
        <w:t>9. 用户目标与表面方案</w:t>
      </w:r>
    </w:p>
    <w:p>
      <w:r>
        <w:rPr>
          <w:rFonts w:ascii="Noto Sans CJK SC" w:hAnsi="Noto Sans CJK SC" w:eastAsia="Noto Sans CJK SC"/>
        </w:rPr>
        <w:t>用户回复确认项时，可能给出的是一个具体实现方案，而不是最终目标。系统必须先识别真实目标，再判断该实现方式是否是最优方案。</w:t>
      </w:r>
    </w:p>
    <w:p>
      <w:r>
        <w:rPr>
          <w:rFonts w:ascii="Noto Sans CJK SC" w:hAnsi="Noto Sans CJK SC" w:eastAsia="Noto Sans CJK SC"/>
        </w:rPr>
        <w:t>如果用户提出的方法会造成明显质量损失，而存在能实现相同目标的更优替代方案，应选择替代方案。</w:t>
      </w:r>
    </w:p>
    <w:p>
      <w:pPr>
        <w:pStyle w:val="Heading1"/>
      </w:pPr>
      <w:r>
        <w:t>10. 最小必要修改</w:t>
      </w:r>
    </w:p>
    <w:p>
      <w:r>
        <w:rPr>
          <w:rFonts w:ascii="Noto Sans CJK SC" w:hAnsi="Noto Sans CJK SC" w:eastAsia="Noto Sans CJK SC"/>
        </w:rPr>
        <w:t>当任何质量损失不可避免时，只修改解决当前用户问题所必需的范围。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一个组件能解决的问题，不重做整个页面。</w:t>
      </w:r>
    </w:p>
    <w:p>
      <w:pPr>
        <w:pStyle w:val="ListBullet"/>
      </w:pPr>
      <w:r>
        <w:rPr>
          <w:rFonts w:ascii="Noto Sans CJK SC" w:hAnsi="Noto Sans CJK SC" w:eastAsia="Noto Sans CJK SC"/>
        </w:rPr>
        <w:t>局部间距能解决的问题，不更换整个布局系统。</w:t>
      </w:r>
    </w:p>
    <w:p>
      <w:pPr>
        <w:pStyle w:val="ListBullet"/>
      </w:pPr>
      <w:r>
        <w:rPr>
          <w:rFonts w:ascii="Noto Sans CJK SC" w:hAnsi="Noto Sans CJK SC" w:eastAsia="Noto Sans CJK SC"/>
        </w:rPr>
        <w:t>单一状态能解决的问题，不修改无关状态。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移动端问题不应自动扩展为桌面端重构。</w:t>
      </w:r>
    </w:p>
    <w:p>
      <w:pPr>
        <w:pStyle w:val="Heading1"/>
      </w:pPr>
      <w:r>
        <w:t>11. 多确认项处理</w:t>
      </w:r>
    </w:p>
    <w:p>
      <w:r>
        <w:rPr>
          <w:rFonts w:ascii="Noto Sans CJK SC" w:hAnsi="Noto Sans CJK SC" w:eastAsia="Noto Sans CJK SC"/>
        </w:rPr>
        <w:t>每个确认项独立判断、独立决策、独立执行。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C1 → 判断 → 决策 → 执行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C2 → 判断 → 决策 → 执行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C3 → 未回复 → 保持 PENDING</w:t>
      </w:r>
    </w:p>
    <w:p>
      <w:r>
        <w:rPr>
          <w:rFonts w:ascii="Noto Sans CJK SC" w:hAnsi="Noto Sans CJK SC" w:eastAsia="Noto Sans CJK SC"/>
        </w:rPr>
        <w:t>只有在多个修改在技术或逻辑上不可分割时，才允许组合成 CHANGE_GROUP。</w:t>
      </w:r>
    </w:p>
    <w:p>
      <w:pPr>
        <w:pStyle w:val="Heading1"/>
      </w:pPr>
      <w:r>
        <w:t>12. 混合消息处理</w:t>
      </w:r>
    </w:p>
    <w:p>
      <w:r>
        <w:rPr>
          <w:rFonts w:ascii="Noto Sans CJK SC" w:hAnsi="Noto Sans CJK SC" w:eastAsia="Noto Sans CJK SC"/>
        </w:rPr>
        <w:t>用户同一条消息同时包含确认项回复和新需求时，必须拆分：确认相关部分进入插件，新增独立需求走正常 DSH 流程。</w:t>
      </w:r>
    </w:p>
    <w:p>
      <w:pPr>
        <w:pStyle w:val="Heading1"/>
      </w:pPr>
      <w:r>
        <w:t>13. 不确定性处理</w:t>
      </w:r>
    </w:p>
    <w:p>
      <w:pPr>
        <w:pStyle w:val="ListBullet"/>
      </w:pPr>
      <w:r>
        <w:rPr>
          <w:rFonts w:ascii="Noto Sans CJK SC" w:hAnsi="Noto Sans CJK SC" w:eastAsia="Noto Sans CJK SC"/>
        </w:rPr>
        <w:t>质量影响不确定：按“可能有质量损失”处理，并继续评估用户影响。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用户影响不确定：基于核心任务、真实使用路径、错误风险、可访问性和信息理解进行判断。</w:t>
      </w:r>
    </w:p>
    <w:p>
      <w:pPr>
        <w:pStyle w:val="ListBullet"/>
      </w:pPr>
      <w:r>
        <w:rPr>
          <w:rFonts w:ascii="Noto Sans CJK SC" w:hAnsi="Noto Sans CJK SC" w:eastAsia="Noto Sans CJK SC"/>
        </w:rPr>
        <w:t>仍不确定：优先选择可逆、局部、低风险、影响范围最小的方案。</w:t>
      </w:r>
    </w:p>
    <w:p>
      <w:pPr>
        <w:pStyle w:val="ListBullet"/>
      </w:pPr>
      <w:r>
        <w:rPr>
          <w:rFonts w:ascii="Noto Sans CJK SC" w:hAnsi="Noto Sans CJK SC" w:eastAsia="Noto Sans CJK SC"/>
        </w:rPr>
        <w:t>只有关键信息缺失且无法可靠判断时，才允许向用户继续询问。</w:t>
      </w:r>
    </w:p>
    <w:p>
      <w:pPr>
        <w:pStyle w:val="Heading1"/>
      </w:pPr>
      <w:r>
        <w:t>14. 禁止行为</w:t>
      </w:r>
    </w:p>
    <w:p>
      <w:pPr>
        <w:pStyle w:val="ListBullet"/>
      </w:pPr>
      <w:r>
        <w:rPr>
          <w:rFonts w:ascii="Noto Sans CJK SC" w:hAnsi="Noto Sans CJK SC" w:eastAsia="Noto Sans CJK SC"/>
        </w:rPr>
        <w:t>因为用户说“改”就直接执行。</w:t>
      </w:r>
    </w:p>
    <w:p>
      <w:pPr>
        <w:pStyle w:val="ListBullet"/>
      </w:pPr>
      <w:r>
        <w:rPr>
          <w:rFonts w:ascii="Noto Sans CJK SC" w:hAnsi="Noto Sans CJK SC" w:eastAsia="Noto Sans CJK SC"/>
        </w:rPr>
        <w:t>把审美偏好自动等同于使用问题。</w:t>
      </w:r>
    </w:p>
    <w:p>
      <w:pPr>
        <w:pStyle w:val="ListBullet"/>
      </w:pPr>
      <w:r>
        <w:rPr>
          <w:rFonts w:ascii="Noto Sans CJK SC" w:hAnsi="Noto Sans CJK SC" w:eastAsia="Noto Sans CJK SC"/>
        </w:rPr>
        <w:t>为了形式上满足用户而牺牲整体质量。</w:t>
      </w:r>
    </w:p>
    <w:p>
      <w:pPr>
        <w:pStyle w:val="ListBullet"/>
      </w:pPr>
      <w:r>
        <w:rPr>
          <w:rFonts w:ascii="Noto Sans CJK SC" w:hAnsi="Noto Sans CJK SC" w:eastAsia="Noto Sans CJK SC"/>
        </w:rPr>
        <w:t>为了保护当前设计而忽略真实使用障碍。</w:t>
      </w:r>
    </w:p>
    <w:p>
      <w:pPr>
        <w:pStyle w:val="ListBullet"/>
      </w:pPr>
      <w:r>
        <w:rPr>
          <w:rFonts w:ascii="Noto Sans CJK SC" w:hAnsi="Noto Sans CJK SC" w:eastAsia="Noto Sans CJK SC"/>
        </w:rPr>
        <w:t>存在更优替代方案时机械照搬用户实现方式。</w:t>
      </w:r>
    </w:p>
    <w:p>
      <w:pPr>
        <w:pStyle w:val="ListBullet"/>
      </w:pPr>
      <w:r>
        <w:rPr>
          <w:rFonts w:ascii="Noto Sans CJK SC" w:hAnsi="Noto Sans CJK SC" w:eastAsia="Noto Sans CJK SC"/>
        </w:rPr>
        <w:t>解决一个小问题却引入更严重的新问题。</w:t>
      </w:r>
    </w:p>
    <w:p>
      <w:pPr>
        <w:pStyle w:val="ListBullet"/>
      </w:pPr>
      <w:r>
        <w:rPr>
          <w:rFonts w:ascii="Noto Sans CJK SC" w:hAnsi="Noto Sans CJK SC" w:eastAsia="Noto Sans CJK SC"/>
        </w:rPr>
        <w:t>用 C1 的收益去合理化 C2 的质量损失。</w:t>
      </w:r>
    </w:p>
    <w:p>
      <w:pPr>
        <w:pStyle w:val="ListBullet"/>
      </w:pPr>
      <w:r>
        <w:rPr>
          <w:rFonts w:ascii="Noto Sans CJK SC" w:hAnsi="Noto Sans CJK SC" w:eastAsia="Noto Sans CJK SC"/>
        </w:rPr>
        <w:t>确认流程结束后继续把本规则应用到无关的新请求。</w:t>
      </w:r>
    </w:p>
    <w:p>
      <w:pPr>
        <w:pStyle w:val="Heading1"/>
      </w:pPr>
      <w:r>
        <w:t>15. 标准端到端流程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1. DSH 正常执行主任务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2. 主任务完成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3. 生成必要的 C1 / C2 / C3...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4. 等待用户回复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5. 识别当前回复对应的确认项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6. 仅对这些确认项调用 confirmation_resolution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7. 插件：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QUALITY_IMPACT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→ USER_IMPACT_IF_UNCHANGED（必要时）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→ USER_GOAL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→ CANDIDATE_SOLUTIONS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  → SELECTED_SOLUTION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8. 返回 READY_TO_EXECUTE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9. DSH 按范围执行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10. 检查副作用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11. 标记 RESOLVED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12. 未回复项继续 PENDING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13. 退出本轮确认处理，恢复正常 DSH</w:t>
      </w:r>
    </w:p>
    <w:p>
      <w:pPr>
        <w:pStyle w:val="Heading1"/>
      </w:pPr>
      <w:r>
        <w:t>16. 验收测试矩阵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测试场景</w:t>
            </w:r>
          </w:p>
        </w:tc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预期结果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无待确认事项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不调用插件，正常结束。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有待确认项，但用户问无关问题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不调用插件，确认项保持 PENDING。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用户明确回复 C1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仅 C1 调用插件并自动执行。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用户回复 C1，C2 保持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C1 进入决策；C2 标记 RESOLVED 且不修改。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用户只回复部分确认项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只处理已回复项，其他保持原编号与 PENDING。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确认修改不损害质量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ACTION = MODIFY。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修改损害质量，但当前不影响使用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ACTION = KEEP_CURRENT。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修改损害质量，且当前影响使用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ACTION = MODIFY，选择质量损失更小的替代方案。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同一消息含新需求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确认项调用插件；新需求走正常规则。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全部确认项处理后出现普通新修改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不得继续调用确认插件。</w:t>
            </w:r>
          </w:p>
        </w:tc>
      </w:tr>
    </w:tbl>
    <w:p>
      <w:pPr>
        <w:pStyle w:val="Heading1"/>
      </w:pPr>
      <w:r>
        <w:t>17. 运行日志建议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confirmation_id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plugin_triggered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trigger_reason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quality_impact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user_impact_if_unchanged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action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selected_solution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execution_scope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execution_status</w:t>
      </w:r>
    </w:p>
    <w:p>
      <w:r>
        <w:rPr>
          <w:rFonts w:ascii="Noto Sans CJK SC" w:hAnsi="Noto Sans CJK SC" w:eastAsia="Noto Sans CJK SC"/>
        </w:rPr>
        <w:t>日志主要用于判断：是否误触发、是否漏触发、为什么 KEEP、为什么 MODIFY，以及执行是否越界。</w:t>
      </w:r>
    </w:p>
    <w:p>
      <w:pPr>
        <w:pStyle w:val="Heading1"/>
      </w:pPr>
      <w:r>
        <w:t>18. 版本管理</w:t>
      </w:r>
    </w:p>
    <w:p>
      <w:r>
        <w:rPr>
          <w:rFonts w:ascii="Noto Sans CJK SC" w:hAnsi="Noto Sans CJK SC" w:eastAsia="Noto Sans CJK SC"/>
        </w:rPr>
        <w:t>建议插件规则使用明确版本号，例如 confirmation_resolution_v1。规则逻辑发生实质变化时升级版本，而不是无记录覆盖。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v1: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质量 → 用户影响 → 方案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未来若扩展：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v2:</w:t>
      </w:r>
    </w:p>
    <w:p>
      <w:pPr>
        <w:spacing w:before="0" w:after="0"/>
        <w:ind w:left="340" w:right="170"/>
        <w:shd w:fill="F3F4F6"/>
      </w:pPr>
      <w:r>
        <w:rPr>
          <w:rFonts w:ascii="DejaVu Sans Mono" w:hAnsi="DejaVu Sans Mono" w:eastAsia="DejaVu Sans Mono"/>
          <w:color w:val="2D2D2D"/>
          <w:sz w:val="17"/>
        </w:rPr>
        <w:t>质量 → 用户影响 → 风险/合规 → 方案</w:t>
      </w:r>
    </w:p>
    <w:p>
      <w:pPr>
        <w:pStyle w:val="Heading1"/>
      </w:pPr>
      <w:r>
        <w:t>19. 三份文件如何维护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修改内容</w:t>
            </w:r>
          </w:p>
        </w:tc>
        <w:tc>
          <w:tcPr>
            <w:tcW w:type="dxa" w:w="4986"/>
            <w:shd w:fill="E9ED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应修改的文件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插件什么时候被调用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01 System Prompt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插件判断算法、输入输出字段、方案选择逻辑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02 Plugin</w:t>
            </w:r>
          </w:p>
        </w:tc>
      </w:tr>
      <w:tr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定义、原理、测试、边界、版本策略</w:t>
            </w:r>
          </w:p>
        </w:tc>
        <w:tc>
          <w:tcPr>
            <w:tcW w:type="dxa" w:w="498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03 Spec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去重原则：</w:t>
            </w:r>
            <w:r>
              <w:rPr>
                <w:rFonts w:ascii="Noto Sans CJK SC" w:hAnsi="Noto Sans CJK SC" w:eastAsia="Noto Sans CJK SC"/>
              </w:rPr>
              <w:t>不要在 01 和 02 中各维护一份相同的完整判断规则。01 控制触发，02 控制决策，03 控制规范与维护。</w:t>
            </w:r>
          </w:p>
        </w:tc>
      </w:tr>
    </w:tbl>
    <w:p>
      <w:pPr>
        <w:pStyle w:val="Heading1"/>
      </w:pPr>
      <w:r>
        <w:t>20. 最终治理原则</w:t>
      </w:r>
    </w:p>
    <w:p>
      <w:r>
        <w:rPr>
          <w:rFonts w:ascii="Noto Sans CJK SC" w:hAnsi="Noto Sans CJK SC" w:eastAsia="Noto Sans CJK SC"/>
        </w:rPr>
        <w:t>System Prompt 负责“何时调用”；插件负责“如何判断”；DSH 负责“直接执行”；规范文档负责“如何维护、验证和升级”。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  <w:p>
      <w:r>
        <w:t xml:space="preserve">【2026-10-15 版本补充：V1 / V2 双契约】</w:t>
      </w:r>
    </w:p>
    <w:p>
      <w:r>
        <w:t xml:space="preserve">本文档正文描述的是 V1 契约（confirmation_resolution）的规范与验收基准，该基准保持不变。</w:t>
      </w:r>
    </w:p>
    <w:p>
      <w:r>
        <w:t xml:space="preserve">V2（confirmation_resolution_v2）的验收基准以可执行测试为准：test/decision-v2.test.mjs（T01–T16 场景矩阵与属性测试）、test/evidence.test.mjs、test/policies.test.mjs、test/ledger-v2.test.mjs、test/v2-tool.test.mjs，以及 verify/wiring.mjs 中的 V2 装配检查项。</w:t>
      </w:r>
    </w:p>
    <w:p>
      <w:r>
        <w:t xml:space="preserve">分层实测口径：离线 130 用例、宿主 187 用例、装配 32 项（可用 node --test --experimental-test-isolation=none 复现）。</w:t>
      </w:r>
    </w:p>
    <w:p>
      <w:r>
        <w:t xml:space="preserve">本补充只标注版本边界，不替代仓库 README 的「V2」章节与代码本身。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DSH Confirmation Resolution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282"/>
        <w:sz w:val="16"/>
      </w:rPr>
      <w:t>03 · DSH 待确认事项决策规范（维护与测试基准）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