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8439A" w14:paraId="295CEA30" w14:textId="77777777" w:rsidTr="0028439A"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3E3599E0" w14:textId="77777777" w:rsidR="0028439A" w:rsidRPr="0028439A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Cambria" w:hAnsi="Cambria" w:cs="Times"/>
                <w:color w:val="000000"/>
              </w:rPr>
            </w:pPr>
            <w:r w:rsidRPr="0028439A">
              <w:rPr>
                <w:rFonts w:ascii="Cambria" w:hAnsi="Cambria" w:cs="Georgia"/>
                <w:b/>
                <w:bCs/>
                <w:color w:val="000000"/>
              </w:rPr>
              <w:t xml:space="preserve">Table 1: </w:t>
            </w:r>
            <w:r w:rsidRPr="0028439A">
              <w:rPr>
                <w:rFonts w:ascii="Cambria" w:hAnsi="Cambria" w:cs="Georgia"/>
                <w:color w:val="000000"/>
              </w:rPr>
              <w:t xml:space="preserve">The 31 cortical labels (per hemisphere) of the </w:t>
            </w:r>
            <w:proofErr w:type="spellStart"/>
            <w:r w:rsidRPr="0028439A">
              <w:rPr>
                <w:rFonts w:ascii="Cambria" w:hAnsi="Cambria" w:cs="Georgia"/>
                <w:color w:val="000000"/>
              </w:rPr>
              <w:t>Desikan-Killiany-Tourville</w:t>
            </w:r>
            <w:proofErr w:type="spellEnd"/>
            <w:r w:rsidRPr="0028439A">
              <w:rPr>
                <w:rFonts w:ascii="Cambria" w:hAnsi="Cambria" w:cs="Georgia"/>
                <w:color w:val="000000"/>
              </w:rPr>
              <w:t xml:space="preserve"> atlas. The ROI abbreviations from the R</w:t>
            </w:r>
            <w:r w:rsidRPr="0028439A">
              <w:rPr>
                <w:rFonts w:ascii="Cambria" w:hAnsi="Cambria" w:cs="Georgia"/>
                <w:color w:val="000000"/>
              </w:rPr>
              <w:t xml:space="preserve"> </w:t>
            </w:r>
            <w:proofErr w:type="spellStart"/>
            <w:r w:rsidRPr="00CC1D61">
              <w:rPr>
                <w:rFonts w:ascii="Monaco" w:hAnsi="Monaco" w:cs="Times"/>
                <w:color w:val="000000"/>
                <w:sz w:val="22"/>
                <w:szCs w:val="22"/>
              </w:rPr>
              <w:t>brainGraph</w:t>
            </w:r>
            <w:proofErr w:type="spellEnd"/>
            <w:r w:rsidRPr="0028439A">
              <w:rPr>
                <w:rFonts w:ascii="Cambria" w:hAnsi="Cambria" w:cs="Times"/>
                <w:color w:val="000000"/>
                <w:sz w:val="26"/>
                <w:szCs w:val="26"/>
              </w:rPr>
              <w:t xml:space="preserve"> </w:t>
            </w:r>
            <w:r w:rsidRPr="0028439A">
              <w:rPr>
                <w:rFonts w:ascii="Cambria" w:hAnsi="Cambria" w:cs="Georgia"/>
                <w:color w:val="000000"/>
              </w:rPr>
              <w:t xml:space="preserve">package are given in parentheses and used in later figures. </w:t>
            </w:r>
          </w:p>
        </w:tc>
      </w:tr>
      <w:tr w:rsidR="0028439A" w14:paraId="44DA1923" w14:textId="77777777" w:rsidTr="003C4B2C">
        <w:tc>
          <w:tcPr>
            <w:tcW w:w="4675" w:type="dxa"/>
            <w:tcBorders>
              <w:top w:val="single" w:sz="4" w:space="0" w:color="auto"/>
              <w:bottom w:val="nil"/>
            </w:tcBorders>
            <w:vAlign w:val="center"/>
          </w:tcPr>
          <w:p w14:paraId="6C90F5AC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1) </w:t>
            </w:r>
            <w:r w:rsidRPr="00CC1D61">
              <w:rPr>
                <w:rFonts w:ascii="Cambria" w:hAnsi="Cambria" w:cs="Georgia"/>
                <w:color w:val="000000"/>
              </w:rPr>
              <w:t>caudal anterior cingulate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cACC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</w:p>
        </w:tc>
        <w:tc>
          <w:tcPr>
            <w:tcW w:w="4675" w:type="dxa"/>
            <w:tcBorders>
              <w:top w:val="single" w:sz="4" w:space="0" w:color="auto"/>
              <w:bottom w:val="nil"/>
            </w:tcBorders>
            <w:vAlign w:val="center"/>
          </w:tcPr>
          <w:p w14:paraId="102DB735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17) pars orbitalis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pORB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601F607B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E0325FC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bookmarkStart w:id="0" w:name="_GoBack"/>
            <w:r w:rsidRPr="00CC1D61">
              <w:rPr>
                <w:rFonts w:ascii="Cambria" w:hAnsi="Cambria" w:cs="Georgia"/>
                <w:color w:val="000000"/>
              </w:rPr>
              <w:t>2) caudal middle frontal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cMFG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9D51F52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18) pars </w:t>
            </w:r>
            <w:proofErr w:type="spellStart"/>
            <w:r w:rsidRPr="00CC1D61">
              <w:rPr>
                <w:rFonts w:ascii="Cambria" w:hAnsi="Cambria" w:cs="Georgia"/>
                <w:color w:val="000000"/>
              </w:rPr>
              <w:t>triangularis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pTRI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bookmarkEnd w:id="0"/>
      <w:tr w:rsidR="0028439A" w14:paraId="5339541E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EC54AC4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3) cuneus (</w:t>
            </w:r>
            <w:r w:rsidRPr="00CC1D61">
              <w:rPr>
                <w:rFonts w:ascii="Cambria" w:hAnsi="Cambria" w:cs="Times"/>
                <w:color w:val="000000"/>
              </w:rPr>
              <w:t>CUN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1D2133F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19) </w:t>
            </w:r>
            <w:proofErr w:type="spellStart"/>
            <w:r w:rsidRPr="00CC1D61">
              <w:rPr>
                <w:rFonts w:ascii="Cambria" w:hAnsi="Cambria" w:cs="Georgia"/>
                <w:color w:val="000000"/>
              </w:rPr>
              <w:t>pericalcarine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periCAL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4346514E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95CE2E1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4) entorhinal (</w:t>
            </w:r>
            <w:r w:rsidRPr="00CC1D61">
              <w:rPr>
                <w:rFonts w:ascii="Cambria" w:hAnsi="Cambria" w:cs="Times"/>
                <w:color w:val="000000"/>
              </w:rPr>
              <w:t>ENT</w:t>
            </w:r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B78C5BA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20) postcentral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postC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00A68A62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BA9E3EA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5) fusiform (</w:t>
            </w:r>
            <w:r w:rsidRPr="00CC1D61">
              <w:rPr>
                <w:rFonts w:ascii="Cambria" w:hAnsi="Cambria" w:cs="Times"/>
                <w:color w:val="000000"/>
              </w:rPr>
              <w:t>FUS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3F998C42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21) posterior cingulate (</w:t>
            </w:r>
            <w:r w:rsidRPr="00CC1D61">
              <w:rPr>
                <w:rFonts w:ascii="Cambria" w:hAnsi="Cambria" w:cs="Times"/>
                <w:color w:val="000000"/>
              </w:rPr>
              <w:t>PCC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6D740669" w14:textId="77777777" w:rsidTr="003C4B2C">
        <w:trPr>
          <w:trHeight w:val="332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017933E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6) inferior parietal (</w:t>
            </w:r>
            <w:r w:rsidRPr="00CC1D61">
              <w:rPr>
                <w:rFonts w:ascii="Cambria" w:hAnsi="Cambria" w:cs="Times"/>
                <w:color w:val="000000"/>
              </w:rPr>
              <w:t>IPL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378697E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22) precentral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preC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755C69C6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726E781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7) inferior temporal (</w:t>
            </w:r>
            <w:r w:rsidRPr="00CC1D61">
              <w:rPr>
                <w:rFonts w:ascii="Cambria" w:hAnsi="Cambria" w:cs="Times"/>
                <w:color w:val="000000"/>
              </w:rPr>
              <w:t>ITG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4A8BEEFE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23) </w:t>
            </w:r>
            <w:proofErr w:type="spellStart"/>
            <w:r w:rsidRPr="00CC1D61">
              <w:rPr>
                <w:rFonts w:ascii="Cambria" w:hAnsi="Cambria" w:cs="Georgia"/>
                <w:color w:val="000000"/>
              </w:rPr>
              <w:t>precuneus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 (</w:t>
            </w:r>
            <w:r w:rsidRPr="00CC1D61">
              <w:rPr>
                <w:rFonts w:ascii="Cambria" w:hAnsi="Cambria" w:cs="Times"/>
                <w:color w:val="000000"/>
              </w:rPr>
              <w:t>PCUN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09700E46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552D985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8) isthmus cingulate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iCC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066FC89E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24) </w:t>
            </w:r>
            <w:proofErr w:type="spellStart"/>
            <w:r w:rsidRPr="00CC1D61">
              <w:rPr>
                <w:rFonts w:ascii="Cambria" w:hAnsi="Cambria" w:cs="Georgia"/>
                <w:color w:val="000000"/>
              </w:rPr>
              <w:t>rosterior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 anterior cingulate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rACC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</w:tr>
      <w:tr w:rsidR="0028439A" w14:paraId="4A62F693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AE041BD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9) lateral occipital (</w:t>
            </w:r>
            <w:r w:rsidRPr="00CC1D61">
              <w:rPr>
                <w:rFonts w:ascii="Cambria" w:hAnsi="Cambria" w:cs="Times"/>
                <w:color w:val="000000"/>
              </w:rPr>
              <w:t>LOG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846ACE0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25) rostral middle frontal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rMFG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592FF13E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19A4024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10) lateral orbitofrontal (</w:t>
            </w:r>
            <w:r w:rsidRPr="00CC1D61">
              <w:rPr>
                <w:rFonts w:ascii="Cambria" w:hAnsi="Cambria" w:cs="Times"/>
                <w:color w:val="000000"/>
              </w:rPr>
              <w:t>LOF</w:t>
            </w:r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59B7DA5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26) superior frontal (</w:t>
            </w:r>
            <w:r w:rsidRPr="00CC1D61">
              <w:rPr>
                <w:rFonts w:ascii="Cambria" w:hAnsi="Cambria" w:cs="Times"/>
                <w:color w:val="000000"/>
              </w:rPr>
              <w:t>SFG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4E892C48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F46AA3F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11) lingual (</w:t>
            </w:r>
            <w:r w:rsidRPr="00CC1D61">
              <w:rPr>
                <w:rFonts w:ascii="Cambria" w:hAnsi="Cambria" w:cs="Times"/>
                <w:color w:val="000000"/>
              </w:rPr>
              <w:t>LING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4FDFABD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27) superior parietal (</w:t>
            </w:r>
            <w:r w:rsidRPr="00CC1D61">
              <w:rPr>
                <w:rFonts w:ascii="Cambria" w:hAnsi="Cambria" w:cs="Times"/>
                <w:color w:val="000000"/>
              </w:rPr>
              <w:t>SPL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64DE73EB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F74974D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12) medial orbitofrontal (</w:t>
            </w:r>
            <w:r w:rsidRPr="00CC1D61">
              <w:rPr>
                <w:rFonts w:ascii="Cambria" w:hAnsi="Cambria" w:cs="Times"/>
                <w:color w:val="000000"/>
              </w:rPr>
              <w:t>MOF</w:t>
            </w:r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36DD5A50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28) superior temporal (</w:t>
            </w:r>
            <w:r w:rsidRPr="00CC1D61">
              <w:rPr>
                <w:rFonts w:ascii="Cambria" w:hAnsi="Cambria" w:cs="Times"/>
                <w:color w:val="000000"/>
              </w:rPr>
              <w:t>STG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3867A757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4511FBCD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13) middle temporal (</w:t>
            </w:r>
            <w:r w:rsidRPr="00CC1D61">
              <w:rPr>
                <w:rFonts w:ascii="Cambria" w:hAnsi="Cambria" w:cs="Times"/>
                <w:color w:val="000000"/>
              </w:rPr>
              <w:t>MTG</w:t>
            </w:r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DF5C3DC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29) </w:t>
            </w:r>
            <w:proofErr w:type="spellStart"/>
            <w:r w:rsidRPr="00CC1D61">
              <w:rPr>
                <w:rFonts w:ascii="Cambria" w:hAnsi="Cambria" w:cs="Georgia"/>
                <w:color w:val="000000"/>
              </w:rPr>
              <w:t>supramarginal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 (</w:t>
            </w:r>
            <w:r w:rsidRPr="00CC1D61">
              <w:rPr>
                <w:rFonts w:ascii="Cambria" w:hAnsi="Cambria" w:cs="Times"/>
                <w:color w:val="000000"/>
              </w:rPr>
              <w:t>SMAR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6A1AEBB4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B8B74F7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14) </w:t>
            </w:r>
            <w:proofErr w:type="spellStart"/>
            <w:r w:rsidRPr="00CC1D61">
              <w:rPr>
                <w:rFonts w:ascii="Cambria" w:hAnsi="Cambria" w:cs="Georgia"/>
                <w:color w:val="000000"/>
              </w:rPr>
              <w:t>parahippocampal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 (</w:t>
            </w:r>
            <w:r w:rsidRPr="00CC1D61">
              <w:rPr>
                <w:rFonts w:ascii="Cambria" w:hAnsi="Cambria" w:cs="Times"/>
                <w:color w:val="000000"/>
              </w:rPr>
              <w:t>PARH</w:t>
            </w:r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3013290F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30) transverse temporal (</w:t>
            </w:r>
            <w:r w:rsidRPr="00CC1D61">
              <w:rPr>
                <w:rFonts w:ascii="Cambria" w:hAnsi="Cambria" w:cs="Times"/>
                <w:color w:val="000000"/>
              </w:rPr>
              <w:t>TT</w:t>
            </w:r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</w:tr>
      <w:tr w:rsidR="0028439A" w14:paraId="5C6E50C2" w14:textId="77777777" w:rsidTr="003C4B2C"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5D14EA1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15) paracentral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paraC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>)</w:t>
            </w:r>
            <w:r w:rsidRPr="00CC1D61"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9C24217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>31) insula (</w:t>
            </w:r>
            <w:r w:rsidRPr="00CC1D61">
              <w:rPr>
                <w:rFonts w:ascii="Cambria" w:hAnsi="Cambria" w:cs="Times"/>
                <w:color w:val="000000"/>
              </w:rPr>
              <w:t>INS</w:t>
            </w:r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</w:tr>
      <w:tr w:rsidR="0028439A" w14:paraId="4F69D72B" w14:textId="77777777" w:rsidTr="003C4B2C"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0F1D0B9B" w14:textId="77777777" w:rsidR="0028439A" w:rsidRPr="00CC1D61" w:rsidRDefault="0028439A" w:rsidP="0028439A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Cambria" w:hAnsi="Cambria" w:cs="Times"/>
                <w:color w:val="000000"/>
              </w:rPr>
            </w:pPr>
            <w:r w:rsidRPr="00CC1D61">
              <w:rPr>
                <w:rFonts w:ascii="Cambria" w:hAnsi="Cambria" w:cs="Georgia"/>
                <w:color w:val="000000"/>
              </w:rPr>
              <w:t xml:space="preserve">16) pars </w:t>
            </w:r>
            <w:proofErr w:type="spellStart"/>
            <w:r w:rsidRPr="00CC1D61">
              <w:rPr>
                <w:rFonts w:ascii="Cambria" w:hAnsi="Cambria" w:cs="Georgia"/>
                <w:color w:val="000000"/>
              </w:rPr>
              <w:t>opercularis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 (</w:t>
            </w:r>
            <w:proofErr w:type="spellStart"/>
            <w:r w:rsidRPr="00CC1D61">
              <w:rPr>
                <w:rFonts w:ascii="Cambria" w:hAnsi="Cambria" w:cs="Times"/>
                <w:color w:val="000000"/>
              </w:rPr>
              <w:t>pOPER</w:t>
            </w:r>
            <w:proofErr w:type="spellEnd"/>
            <w:r w:rsidRPr="00CC1D61">
              <w:rPr>
                <w:rFonts w:ascii="Cambria" w:hAnsi="Cambria" w:cs="Georgia"/>
                <w:color w:val="000000"/>
              </w:rPr>
              <w:t xml:space="preserve">) 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6852E6B7" w14:textId="77777777" w:rsidR="0028439A" w:rsidRPr="00CC1D61" w:rsidRDefault="0028439A">
            <w:pPr>
              <w:rPr>
                <w:rFonts w:ascii="Cambria" w:hAnsi="Cambria"/>
              </w:rPr>
            </w:pPr>
          </w:p>
        </w:tc>
      </w:tr>
    </w:tbl>
    <w:p w14:paraId="2A705A8C" w14:textId="77777777" w:rsidR="00B60395" w:rsidRPr="0028439A" w:rsidRDefault="007C61E4">
      <w:pPr>
        <w:rPr>
          <w:rFonts w:ascii="Cambria" w:hAnsi="Cambria"/>
        </w:rPr>
      </w:pPr>
    </w:p>
    <w:sectPr w:rsidR="00B60395" w:rsidRPr="0028439A" w:rsidSect="0098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9A"/>
    <w:rsid w:val="0028439A"/>
    <w:rsid w:val="003C4B2C"/>
    <w:rsid w:val="007C61E4"/>
    <w:rsid w:val="00983063"/>
    <w:rsid w:val="00CC1D61"/>
    <w:rsid w:val="00E2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C5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2</cp:revision>
  <dcterms:created xsi:type="dcterms:W3CDTF">2019-06-21T19:31:00Z</dcterms:created>
  <dcterms:modified xsi:type="dcterms:W3CDTF">2019-06-21T19:31:00Z</dcterms:modified>
</cp:coreProperties>
</file>