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60" w:lineRule="auto"/>
        <w:jc w:val="center"/>
      </w:pPr>
      <w:r>
        <w:rPr>
          <w:rFonts w:ascii="宋体" w:hAnsi="宋体" w:eastAsia="宋体"/>
          <w:b w:val="0"/>
          <w:sz w:val="28"/>
        </w:rPr>
        <w:t>立足数字化与科技创新管理</w:t>
      </w:r>
    </w:p>
    <w:p>
      <w:pPr>
        <w:spacing w:after="320" w:line="360" w:lineRule="auto"/>
        <w:jc w:val="center"/>
      </w:pPr>
      <w:r>
        <w:rPr>
          <w:rFonts w:ascii="宋体" w:hAnsi="宋体" w:eastAsia="宋体"/>
          <w:b/>
          <w:sz w:val="44"/>
        </w:rPr>
        <w:t>谈如何提升企业业务风险管控能力</w:t>
        <w:br/>
        <w:t>并做好各项应对措施</w:t>
      </w:r>
    </w:p>
    <w:p>
      <w:pPr>
        <w:spacing w:after="160" w:line="360" w:lineRule="auto"/>
        <w:jc w:val="center"/>
      </w:pPr>
      <w:r>
        <w:rPr>
          <w:rFonts w:ascii="宋体" w:hAnsi="宋体" w:eastAsia="宋体"/>
          <w:b w:val="0"/>
          <w:sz w:val="24"/>
        </w:rPr>
        <w:t>——形势任务教育交流材料（数字化与科技创新管理岗位）——</w:t>
      </w:r>
    </w:p>
    <w:p>
      <w:pPr>
        <w:spacing w:after="960" w:line="360" w:lineRule="auto"/>
        <w:jc w:val="center"/>
      </w:pPr>
      <w:r>
        <w:rPr>
          <w:rFonts w:ascii="宋体" w:hAnsi="宋体" w:eastAsia="宋体"/>
          <w:b w:val="0"/>
          <w:sz w:val="22"/>
        </w:rPr>
        <w:t>（结合陶书记「认清形势 坚定信心 主动担当 奋力闯出资环链金转型发展新路径」</w:t>
        <w:br/>
        <w:t>胡书记「稳中求进 创新突破 坚决打赢资环链金扭亏增盈攻坚战」党课精神</w:t>
        <w:br/>
        <w:t>及智慧业财系统（pxrecycle）业务实践整理，供汇报完善）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一、开场：岗位视角下的风险认知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我主要负责集团公司数字化与科技创新管理。这一岗位不是「做几个系统、上几套设备」，而是要把政策变化、市场波动、经营决策、合规底线转化为可感知、可预警、可处置的管理能力。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当前，再生资源行业面临前所未有之困境：国家持续整治「开票经济」，反向开票政策趋紧；全国统一大市场推进，区域壁垒、地方保护空间收窄；政府扶持资金断流，以往计入利润模型的即征即退、政府扶持等「其它收入」不可再作乐观假设。陶书记在党课中强调要认清形势、坚定信心、主动担当，胡书记提出稳中求进、创新突破，坚决打赢资环链金扭亏增盈攻坚战——两位领导的判断，都指向同一件事：靠政策红利、靠发票套利、靠粗放扩张的路走不通了，必须向管理要效益、向合规要安全、向转型要未来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从 pxrecycle 智慧业财平台上线运行情况看，经营财务部、基地管理部、业务经营部已在用同一套数据看成本、录加工、算利润。这恰恰说明：风险管控的主战场，已经从「事后补救」前移到「业务发生时的数据真实、规则清晰、责任可追溯」。下面结合工作实际，谈几点认识与建议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二、「四个深刻把握」下的风险图谱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对照形势任务教育要求，建议从四个维度把握风险：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r>
              <w:rPr>
                <w:rFonts w:ascii="宋体" w:hAnsi="宋体" w:eastAsia="宋体"/>
                <w:b/>
                <w:sz w:val="22"/>
              </w:rPr>
              <w:t>维度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/>
                <w:sz w:val="22"/>
              </w:rPr>
              <w:t>主要风险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/>
                <w:sz w:val="22"/>
              </w:rPr>
              <w:t>与业务关联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深刻把握形势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政策合规风险陡增；市场一体化加剧；财政扶持退坡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反向开票收紧；客户议价增强；政府扶持等其它收入不可高估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深刻把握任务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扭亏增盈压力；转型路径约束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材料成本（LIFO）是利润核心；资环链金需产业链、资金链、数据链协同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深刻把握责任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数据失真即决策失真；政绩观偏差风险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加工单错录致利润失真；忌数字化面子工程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深刻把握干劲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被动应付 vs 主动防控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预警嵌入日常经营，而非事后补救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宋体" w:hAnsi="宋体" w:eastAsia="宋体"/>
          <w:b/>
          <w:sz w:val="24"/>
        </w:rPr>
        <w:t>一句话：外部是「政策收紧 + 市场挤压 + 扶持退坡」三重挤压；内部是「成本透明、利润见底、合规可追溯」三重倒逼。数字化工作的价值，就在于把这三重倒逼变成可量化的预警和可执行的预案。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三、当前须重点盯防的五类业务风险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（一）发票与税务合规风险（当前最紧迫）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反向开票趋紧，直接冲击废钢回收前端供货环节。风险表现包括：进项不足、成本无法税前扣除、交易链条被穿透核查、历史业务模式被认定不合规等。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应对思路：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b w:val="0"/>
          <w:sz w:val="24"/>
        </w:rPr>
        <w:t>业务端：梳理自然人/个体户供货占比，推动合规主体替代、规范代征代缴或合法收购路径，禁止以数字化系统美化不合规交易。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b w:val="0"/>
          <w:sz w:val="24"/>
        </w:rPr>
        <w:t>数据端：采购入库、销售结算单号、日期、料型、金额、税率全字段留痕，与财务账、物流账、银行流水可交叉验证。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b w:val="0"/>
          <w:sz w:val="24"/>
        </w:rPr>
        <w:t>系统端：在智慧业财平台中固化红冲/撤销过滤、异常单价预警、缺票入库拦截等规则，Compliance by Design（合规内嵌于设计）。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（二）利润失真与经营决策风险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智慧业财系统已建立较完整的利润模型：利润 = 不含税收入 − 材料成本 − 加工成本 − 运输费 − 税费 + 即征即退 + 政府扶持 − 贴现 − 回款利息。其中材料成本按 LIFO 原则，从加工单逐批溯源毛料构成——这是科学核算的「地基」。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风险点：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b w:val="0"/>
          <w:sz w:val="24"/>
        </w:rPr>
        <w:t>加工单录入滞后、毛料列缺失 → 材料成本为 0 或偏低，虚增利润；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b w:val="0"/>
          <w:sz w:val="24"/>
        </w:rPr>
        <w:t>政府扶持参数仍按旧政策配置 → 高估其它收入，领导误判形势；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b w:val="0"/>
          <w:sz w:val="24"/>
        </w:rPr>
        <w:t>只盯汇总不看单 → 亏损单、异常客户被平均数掩盖。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应对思路：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b w:val="0"/>
          <w:sz w:val="24"/>
        </w:rPr>
        <w:t>将「加工单 T+1 录入率」「材料成本为 0 的销售单占比」「吨钢毛利低于阈值的客户清单」纳入数字化 KPI，与基地管理部考核挂钩。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b w:val="0"/>
          <w:sz w:val="24"/>
        </w:rPr>
        <w:t>参数表中政府扶持、即征即退等项按政策实际及时调零或调低，杜绝「数字好看、口袋没钱」。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b w:val="0"/>
          <w:sz w:val="24"/>
        </w:rPr>
        <w:t>坚持逐单核算、逐月复盘，扭亏增盈要靠明细支撑，不能靠汇总忽悠。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（三）采购成本与市场定价风险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成本分析模块专注「花钱视角」：基地收货（SH）、基地买货（TH）、协同业务分类，料型单价、库存价值一目了然。全国统一大市场下，采购成本波动将更直接传导至销售端。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b w:val="0"/>
          <w:sz w:val="24"/>
        </w:rPr>
        <w:t>用成本分析「当月 vs 上月料型均价对比」「毛料库存价值分析」做采购节奏与结构优化。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b w:val="0"/>
          <w:sz w:val="24"/>
        </w:rPr>
        <w:t>建立采购—加工—销售联动例会机制，数字化平台提供统一数据底座，避免销售低价接单、采购高价进货的「两头受挤」。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（四）资金与信用风险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利润模型中已含萍钢贴现费用、各客户回款周期资金利息。扶持断流后，现金流比账面利润更致命。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b w:val="0"/>
          <w:sz w:val="24"/>
        </w:rPr>
        <w:t>在现有利润分析基础上，扩展回款账龄、客户信用、贴现占用等模块或报表，与财务部司库管理对接。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b w:val="0"/>
          <w:sz w:val="24"/>
        </w:rPr>
        <w:t>对吨钢毛利为负且回款周期长的客户，系统自动标红预警，业务经营部接单前必审。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（五）数字化自身风险（科技管理须直面的「灯下黑」）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b w:val="0"/>
          <w:sz w:val="24"/>
        </w:rPr>
        <w:t>系统建了但不用、用而不准 → 数字形式主义，违背正确政绩观；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b w:val="0"/>
          <w:sz w:val="24"/>
        </w:rPr>
        <w:t>权限、运维账号、敏感数据缺乏管控 → 数据泄露、误操作；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b w:val="0"/>
          <w:sz w:val="24"/>
        </w:rPr>
        <w:t>过度依赖人工 Excel 与系统双轨 → 口径打架，审计说不清。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b w:val="0"/>
          <w:sz w:val="24"/>
        </w:rPr>
        <w:t>坚持「一个事实来源、一套核算规则」，pxrecycle 为算账经营主平台，减少体外循环。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b w:val="0"/>
          <w:sz w:val="24"/>
        </w:rPr>
        <w:t>运维账号申请—审核—开通（permission 机制）可复制到其他关键系统。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b w:val="0"/>
          <w:sz w:val="24"/>
        </w:rPr>
        <w:t>科技创新项目立项，必须回答：降什么风险、省什么成本、增什么效益。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四、以数字化提升风险管控能力的六项举措</w:t>
      </w:r>
    </w:p>
    <w:p>
      <w:pPr>
        <w:pStyle w:val="ListNumber"/>
        <w:spacing w:after="60" w:line="360" w:lineRule="auto"/>
      </w:pPr>
      <w:r>
        <w:rPr>
          <w:rFonts w:ascii="宋体" w:hAnsi="宋体" w:eastAsia="宋体"/>
          <w:b w:val="0"/>
          <w:sz w:val="24"/>
        </w:rPr>
        <w:t>全链路数据留痕，让风险「看得见」——采购入库 → 加工录入 → 销售结算 → LIFO 材料成本 → 逐单利润，形成闭环。</w:t>
      </w:r>
    </w:p>
    <w:p>
      <w:pPr>
        <w:pStyle w:val="ListNumber"/>
        <w:spacing w:after="60" w:line="360" w:lineRule="auto"/>
      </w:pPr>
      <w:r>
        <w:rPr>
          <w:rFonts w:ascii="宋体" w:hAnsi="宋体" w:eastAsia="宋体"/>
          <w:b w:val="0"/>
          <w:sz w:val="24"/>
        </w:rPr>
        <w:t>规则参数化、政策可调，让风险「跟得上」——运价、税率、贴现、扶持比例等入参数表，政策变化时财务调整，全量重算。</w:t>
      </w:r>
    </w:p>
    <w:p>
      <w:pPr>
        <w:pStyle w:val="ListNumber"/>
        <w:spacing w:after="60" w:line="360" w:lineRule="auto"/>
      </w:pPr>
      <w:r>
        <w:rPr>
          <w:rFonts w:ascii="宋体" w:hAnsi="宋体" w:eastAsia="宋体"/>
          <w:b w:val="0"/>
          <w:sz w:val="24"/>
        </w:rPr>
        <w:t>预警前置，让风险「跑得早」——异常采购单价、材料成本为零、吨钢毛利连续为负、库存账实不符、发票缺失等规则引擎 + 消息推送。</w:t>
      </w:r>
    </w:p>
    <w:p>
      <w:pPr>
        <w:pStyle w:val="ListNumber"/>
        <w:spacing w:after="60" w:line="360" w:lineRule="auto"/>
      </w:pPr>
      <w:r>
        <w:rPr>
          <w:rFonts w:ascii="宋体" w:hAnsi="宋体" w:eastAsia="宋体"/>
          <w:b w:val="0"/>
          <w:sz w:val="24"/>
        </w:rPr>
        <w:t>权限分级与操作审计，让风险「堵得住」——关键数据修改、参数调整、缓存重算等操作全程日志；运维与业务账号分离。</w:t>
      </w:r>
    </w:p>
    <w:p>
      <w:pPr>
        <w:pStyle w:val="ListNumber"/>
        <w:spacing w:after="60" w:line="360" w:lineRule="auto"/>
      </w:pPr>
      <w:r>
        <w:rPr>
          <w:rFonts w:ascii="宋体" w:hAnsi="宋体" w:eastAsia="宋体"/>
          <w:b w:val="0"/>
          <w:sz w:val="24"/>
        </w:rPr>
        <w:t>移动端与现场联动，让数据「生得准」——加工单小程序与 Web 同源写入，减少基地「先干活后补账」。</w:t>
      </w:r>
    </w:p>
    <w:p>
      <w:pPr>
        <w:pStyle w:val="ListNumber"/>
        <w:spacing w:after="60" w:line="360" w:lineRule="auto"/>
      </w:pPr>
      <w:r>
        <w:rPr>
          <w:rFonts w:ascii="宋体" w:hAnsi="宋体" w:eastAsia="宋体"/>
          <w:b w:val="0"/>
          <w:sz w:val="24"/>
        </w:rPr>
        <w:t>用数据支撑「资环链金」转型，让创新「落得实」——能碳管理、处置采购等与算账经营数据打通，提供可信数据资产。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五、组织与机制保障：数字化不能「单打独斗」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rFonts w:ascii="宋体" w:hAnsi="宋体" w:eastAsia="宋体"/>
                <w:b/>
                <w:sz w:val="22"/>
              </w:rPr>
              <w:t>责任主体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/>
                <w:sz w:val="22"/>
              </w:rPr>
              <w:t>风险管控职责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经营财务部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参数维护、利润异常复核、税务合规与发票政策响应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基地管理部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加工单及时准确录入、库存账实一致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业务经营部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客户结构与定价、低毛利订单预警响应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数字化与科技创新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系统规则固化、预警建设、数据质量治理、科技项目合规论证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领导班子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树立正确政绩观，以真实利润、真实现金流论成效，不搞数字政绩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建议建立月度「经营风险数字化例会」：通报 KPI、复盘异常单、协调跨部门堵点。这与胡书记「稳中求进」、陶书记「主动担当」一脉相承——稳，是风险可控；进，是在真实数据上创新突破。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六、结语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当前困境是行业的，更是转型期的常态。反向开票趋紧逼我们告别不规范前端；统一大市场逼我们靠真实成本与效率竞争；扶持断流逼我们靠经营管理本身赚钱。这三「逼」，恰恰是智慧业财系统存在的意义。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作为数字化与科技创新管理人员，我的认识是：提升业务风险管控能力，不是多买几套软件，而是把政策底线、业务规则、数据质量、预警响应嵌入经营全过程；做好各项应对措施，不是写几份预案，而是让 pxrecycle 这类平台从「能看数」走向「能预警、能阻断、能问责」。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在集团公司党委领导下，对标陶书记、胡书记党课精神，树立和践行正确政绩观，以数字化赋能合规经营、以科技创新支撑「资环链金」转型，我们一定能在逆境中看清风险、控住风险、闯出新路。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 w:val="0"/>
          <w:sz w:val="24"/>
        </w:rPr>
        <w:t>—— 全文完 ——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0"/>
        </w:rPr>
        <w:t>说明：本文结合形势任务教育要求及智慧业财系统（pxrecycle）实际上线功能整理，可在 Word 中直接修改措辞、补充公司制度与党课原文引用。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