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宋体" w:hAnsi="宋体" w:eastAsia="宋体"/>
          <w:b/>
          <w:sz w:val="44"/>
        </w:rPr>
        <w:t>萍乡再生资源智慧业财系统</w:t>
      </w:r>
    </w:p>
    <w:p>
      <w:pPr>
        <w:spacing w:after="480"/>
        <w:jc w:val="center"/>
      </w:pPr>
      <w:r>
        <w:rPr>
          <w:rFonts w:ascii="宋体" w:hAnsi="宋体" w:eastAsia="宋体"/>
          <w:b/>
          <w:sz w:val="36"/>
        </w:rPr>
        <w:t>平台作用与核心模块说明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4"/>
        </w:rPr>
        <w:t>（呈报公司领导 · 经营财务部 / 基地管理部 / 业务经营部 已上线使用）</w:t>
      </w:r>
    </w:p>
    <w:p>
      <w:pPr>
        <w:spacing w:after="960"/>
        <w:jc w:val="center"/>
      </w:pPr>
      <w:r>
        <w:rPr>
          <w:rFonts w:ascii="宋体" w:hAnsi="宋体" w:eastAsia="宋体"/>
          <w:b w:val="0"/>
          <w:sz w:val="22"/>
        </w:rPr>
        <w:t>文档性质：汇报说明材料，可根据汇报场合自行增删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一、摘要：平台解决什么问题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智慧业财系统（算账经营平台）将废钢再生资源业务的「采购—生产—销售—核算」贯通到同一套数据中，让经营财务部、基地管理部（生产）、业务经营部（销售）在同一事实基础上看成本、看利润、做决策。系统已上线并投入日常使用，本材料重点说明平台价值及成本分析、加工单录入、利润分析三大模块，其中利润核算以材料成本（LIFO 溯源）为核心。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采购视角：花了多少钱、买了什么料、库存值多少（成本分析）。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生产视角：每天加工多少成品、消耗哪些毛料（加工单录入）。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销售视角：每一张发货结算单赚不赚钱、赚在哪里亏在哪里（利润分析）。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管理视角：按日/周/月汇总，支持导出 Excel，明细可追溯到单、到批、到料型。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二、平台定位与业务主线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2.1 平台定位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平台面向废钢铁等再生资源经营场景，不是简单的报表展示，而是把业务单据与财务核算规则嵌入系统，实现「业务发生即留下核算依据、销售完成即可逐单算利」。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r>
              <w:rPr>
                <w:rFonts w:ascii="宋体" w:hAnsi="宋体" w:eastAsia="宋体"/>
                <w:b/>
                <w:sz w:val="22"/>
              </w:rPr>
              <w:t>模块分组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/>
                <w:sz w:val="22"/>
              </w:rPr>
              <w:t>主要功能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/>
                <w:sz w:val="22"/>
              </w:rPr>
              <w:t>主要使用部门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算账经营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成本分析、利润分析、生产加工录入、运维管理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经营财务部、基地管理部、业务经营部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首页数据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废钢铁/报废车等交易明细汇总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业务、管理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能碳管理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能耗、碳排放、固废等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能碳管理相关部门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处置采购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竞价、一口价、各类废弃物采购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采购业务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2.2 业务数据主线（建议向领导展示的逻辑链）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  <w:sz w:val="24"/>
        </w:rPr>
        <w:t>采购入库：毛料进入基地，形成采购成本与库存（PurchaseWarehouse）。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  <w:sz w:val="24"/>
        </w:rPr>
        <w:t>生产加工：按日录入成品产量与各毛料消耗，系统同步核减毛料、增加成品库存（ProcessingCostInput）。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  <w:sz w:val="24"/>
        </w:rPr>
        <w:t>销售结算：客户发货结算，形成含税收入、结算量、净重等（DeliverySettlement）。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  <w:sz w:val="24"/>
        </w:rPr>
        <w:t>材料成本反推：对每一张销售单，按后进先出（LIFO）原则，从加工记录中溯源该成品的毛料构成与成本（MaterialCostCache / 实时 LIFO）。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  <w:sz w:val="24"/>
        </w:rPr>
        <w:t>利润核算：在材料成本基础上，叠加加工成本、运输费、税费、贴现、回款利息及即征即退、政府扶持等，得到单据级利润。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一句话概括：先记清楚「进了什么料、产出了什么货、卖了多少钱」，再按规则逐单算清楚「这笔货的材料成本从哪来、最终赚没赚钱」。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三、成本分析模块（花钱视角）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入口：算账经营 → 成本分析。口号：实时监控废钢采购成本，为经营决策提供数据支持。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模块作用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成本分析只回答一个问题：采购环节花了多少钱、花在了哪里、结构是否合理。数据全部来自采购入库表，不掺杂销售与利润逻辑，便于与财务采购账、基地收货台账对照。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3.2 领导可关注的指标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当日 / 最近一周 / 本月采购成本（万元）及对应吨数。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按业务类型拆分：基地收货（SH）、基地买货（TH）、协同业务。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最近 30 日成本日趋势、最近一周结构分解。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当月各废钢料型成本占比及平均采购单价，并与上月对比。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毛料库存价值分析：当前库存吨数、加权采购单价、库存总金额。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支持按日期导出毛料采购汇总、基地收货与成品统计台账。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3.3 对管理的价值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发现异常高价采购日、料型结构突变。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为销售定价、利润测算提供「原料成本底座」参考。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与基地生产、销售节奏联动，解释「为什么某阶段利润波动」。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四、加工单录入模块（生产视角）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入口：算账经营 → 生产加工录入（Web）；基地现场亦可通过小程序写入同一数据表。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模块作用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加工单是利润核算的「生产事实来源」。系统按生产日期、成品名称、成品库区（如 A1/B1/C1/D2），记录当日成品产量（吨）以及各毛料的消耗重量与单价。一次提交同时完成：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毛料库存核减（MaterialStorage）：按录入的材料构成扣减对应库区毛料。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成品库存增加（ProductStock）：成品进入对应库区。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为后续 LIFO 材料成本计算提供「哪批货、哪天产、用了哪些料、每吨料多少钱」的明细依据。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4.2 录入要点（与利润准确性直接相关）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成品名称、成品库区必须与销售结算单上的品种/库别能够对应，否则销售单无法匹配到生产批次。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生产日期不得晚于该成品的销售发货日期。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各毛料列（如 MSLKM、MGJKM 等）须填写用量与单价；缺项会导致该批材料成本偏低甚至为 0。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毛料总消耗重量应不小于成品产量（系统有校验）；成本明显超收入时会提示确认。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向领导说明：加工单录入质量决定利润分析中「材料成本」是否可信；生产条线的及时、准确录入，是财务逐单算利的前提。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五、利润分析模块（赚钱视角）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入口：算账经营 → 利润分析。口号：实时监控废钢业务利润，为经营决策提供数据支持。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5.1 核算粒度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利润分析以每一张销售结算单（发货单）为最小核算单元，而不是只做月度粗汇总。领导既可以看到今日/本周/本月利润总览，也可以下钻到任意一单，查看收入、材料成本、加工成本、其它成本、其它收入及吨钢毛利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5.2 页面展示的利润公式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系统界面采用的利润公式为：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利润 = 销售收入÷1.13（折不含税） − 材料成本 − 加工成本 − 运输费 − 税费 + 即征即退 + 政府扶持资金 − 贴现费用 − 回款周期资金利息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r>
              <w:rPr>
                <w:rFonts w:ascii="宋体" w:hAnsi="宋体" w:eastAsia="宋体"/>
                <w:b/>
                <w:sz w:val="22"/>
              </w:rPr>
              <w:t>项目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/>
                <w:sz w:val="22"/>
              </w:rPr>
              <w:t>含义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销售收入（含税）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DeliverySettlement 结算金额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按单取数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材料成本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LIFO 反推的废钢（毛料）成本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核心项，见第六节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加工成本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加工费单价 × 净重（或结算量）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按成品配置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其它成本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运输费 + 税费 + 贴现 + 回款利息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按客户与参数表计算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其它收入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即征即退 + 政府扶持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按客户与参数表计算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吨钢毛利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利润 ÷ 出厂净重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元/吨，便于横向比较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5.3 领导可见的分析内容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汇总卡片：今日/本周/本月利润、今日材料成本与加工成本。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日利润趋势（近 30 天）、最近一周利润分解柱状图。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销售明细利润分析表：支持按月份筛选、分页、导出 Excel。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成品对比：按「客户—成品」维度，对比当月与上月销量及平均含税单价。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明细行悬停可查看：材料 LIFO 构成、税费/运输/贴现等子项的计算过程与参数快照。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六、材料成本核算原则（核心）：LIFO 与毛料溯源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向领导汇报时建议强调：本系统利润核算的「科学性」主要体现在材料成本——不是按一个固定吨价或财务手工分摊，而是按每一张销售单，结合真实生产加工记录，采用后进先出（LIFO）原则，反推该单成品所消耗的毛料构成与金额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6.1 为什么材料成本是核心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再生资源业务中，销售收入相对透明，但原料采购批次多、价格波动大、混料加工常见。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若材料成本口径不准，利润、税费基数、即征即退及政府扶持等联动项都会失真。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因此系统把「材料成本怎么算」作为利润模型的地基，其余成本/收入项在材料成本确定后按规则叠加。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6.2 LIFO（后进先出）原则说明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当某一成品对外销售时，系统假设：优先消耗「最近生产」的批次来匹配该笔销量（与物理上的堆垛发运习惯一致）。具体步骤如下：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  <w:sz w:val="24"/>
        </w:rPr>
        <w:t>识别销售单对应的成品：根据结算单上的成品名称（product_type）与库区/warehouse，匹配加工表 ProcessingCostInput 中同成品、同库区的生产记录。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  <w:sz w:val="24"/>
        </w:rPr>
        <w:t>筛选可用批次：只取生产日期 ≤ 发货日期的批次，且当日产量 dailyProcess_qty &gt; 0。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  <w:sz w:val="24"/>
        </w:rPr>
        <w:t>按生产日期从新到旧排序：先扣最近一天的生产 batch，再扣更早 batch，直至满足该单的「材料核算量」。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  <w:sz w:val="24"/>
        </w:rPr>
        <w:t>确定核算量：优先用结算量，并结合净重、磅差（transitloss）或路损系数；避免整车净重误套在拆分结算单上。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  <w:sz w:val="24"/>
        </w:rPr>
        <w:t>计算各批材料成本：每一生产批次中，各毛料成本 = 毛料用量 × 毛料单价；批次单位材料成本 = 各毛料成本之和 ÷ 成品产量；按 LIFO 摊到本销售单上的吨数，累加得到该单材料成本总额。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  <w:sz w:val="24"/>
        </w:rPr>
        <w:t>输出溯源结果：除总金额外，还保存 material_composition（各毛料吨数与金额）及 production_records（使用了哪些生产日、哪几条加工记录），供财务与管理复核。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6.3 示意（文字版流程）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销售单 FHxxxx → 成品「PG钢筋压块」、发货日 6月2日、核算量 34.51 吨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↓ 匹配加工记录（同成品、同库区，生产日期 ≤ 6月2日）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↓ 按日期倒序：先取 6月1日批次 20 吨 → 再取 5月31日批次 14.51 吨 …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↓ 每批次按录入的毛料用量×单价，算出该批每吨材料成本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↓ 汇总 → 本单材料成本 = Σ(各批摊销吨数 × 该批单位材料成本)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↓ 写入 MaterialCostCache，利润分析读取并展示；悬停可见毛料构成明细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6.4 入库单税率溯源（与税费、扶持联动）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材料成本不仅影响「减项」，还影响税费、即征即退、政府扶持等项目的「基数」。系统对 LIFO 溯源得到的各毛料，进一步从采购入库记录 PurchaseWarehouse 中，查找该毛料在生产日期之前最近一笔入库的 tax_rate（入库单税率），按材料用量加权平均，得到该销售单的「入库单加权税率」。若无法溯源，则回退至参数表中的默认入库单税率。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6.5 缓存与运维保障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优先读取 MaterialCostCache（按发货单号缓存），加快利润分析加载。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缓存未命中或为 0 时，系统自动实时 LIFO 重算。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运维控制台提供「刷新材料成本缓存」等工具，供财务在批量导入或规则调整后统一重算。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加工单、采购单补录或修正后，应触发缓存刷新，以保证利润数据与业务事实一致。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七、其它成本与收入项（参数化、按客户区分）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在材料成本、加工成本确定后，系统按 ProfitParamConfig 参数表逐单计算：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r>
              <w:rPr>
                <w:rFonts w:ascii="宋体" w:hAnsi="宋体" w:eastAsia="宋体"/>
                <w:b/>
                <w:sz w:val="22"/>
              </w:rPr>
              <w:t>类别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/>
                <w:sz w:val="22"/>
              </w:rPr>
              <w:t>主要项目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/>
                <w:sz w:val="22"/>
              </w:rPr>
              <w:t>适用说明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其它成本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运输费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按客户配置运价、路损系数 × 净重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其它成本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税费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基于统一基数×税率；基数含收入、材料、加工、运输等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其它成本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贴现费用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主要为萍钢客户配置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其它成本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回款周期资金利息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按客户配置回款天数与年利率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其它收入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即征即退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主要为新钢客户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其它收入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政府扶持资金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萍钢/吉钢/新钢等按政策比例配置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 w:val="0"/>
          <w:sz w:val="24"/>
        </w:rPr>
        <w:t>税费、即征即退、政府扶持共用的「基数」口径为：收入不含税×13% − 材料成本×入库单税率 − 加工成本×9% − 运输费×3%。参数可在运维页维护，改参后利润分析按发货日期取生效值。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八、已上线部门的协同分工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r>
              <w:rPr>
                <w:rFonts w:ascii="宋体" w:hAnsi="宋体" w:eastAsia="宋体"/>
                <w:b/>
                <w:sz w:val="22"/>
              </w:rPr>
              <w:t>部门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/>
                <w:sz w:val="22"/>
              </w:rPr>
              <w:t>在系统中的主要工作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/>
                <w:sz w:val="22"/>
              </w:rPr>
              <w:t>对利润准确性的贡献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经营财务部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采购入库维护、销售结算、参数维护、利润/成本报表分析、导出对账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保证收入与采购成本数据完整；审核利润异常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基地管理部（生产）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每日加工单录入（产量、毛料消耗）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提供 LIFO 材料成本溯源的生产依据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业务经营部（销售）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关注销售明细、客户—成品对比、吨钢毛利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2"/>
              </w:rPr>
              <w:t>反馈市场与结算异常，驱动数据修正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九、向领导汇报时的建议话术（可参考）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  <w:sz w:val="24"/>
        </w:rPr>
        <w:t>这套系统已经把采购、生产、销售串成一条链，三个部门在用的就是同一套数。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  <w:sz w:val="24"/>
        </w:rPr>
        <w:t>成本分析看「钱怎么花出去」，利润分析看「每一单货赚没赚钱」。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  <w:sz w:val="24"/>
        </w:rPr>
        <w:t>利润不是拍脑袋分摊，核心是材料成本：按 LIFO 从加工记录里把毛料构成倒推出来，能追到单、追到批。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  <w:sz w:val="24"/>
        </w:rPr>
        <w:t>加工单录得越及时越准，利润就越可信；财务可以在明细里点开看每一单的计算过程。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  <w:sz w:val="24"/>
        </w:rPr>
        <w:t>后续可在此基础上做客户结构优化、料型采购决策、定价与返利政策评估。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附录：主要数据表对照（供完善文档时参考）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rFonts w:ascii="宋体" w:hAnsi="宋体" w:eastAsia="宋体"/>
                <w:b/>
                <w:sz w:val="22"/>
              </w:rPr>
              <w:t>数据表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/>
                <w:sz w:val="22"/>
              </w:rPr>
              <w:t>业务含义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PurchaseWarehouse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采购入库 / 毛料采购成本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ProcessingCostInput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生产加工录入 / 产量与毛料消耗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DeliverySettlement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销售发货结算 / 收入与销量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MaterialCostCache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按销售单缓存的 LIFO 材料成本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MaterialStorage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毛料库存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ProductStock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成品库存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ProfitParamConfig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利润核算参数（运价、税率、贴现等）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ProcessingCostConfig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各成品加工费单价</w:t>
            </w:r>
          </w:p>
        </w:tc>
      </w:tr>
    </w:tbl>
    <w:p/>
    <w:p>
      <w:pPr>
        <w:spacing w:after="240"/>
        <w:jc w:val="center"/>
      </w:pPr>
      <w:r>
        <w:rPr>
          <w:rFonts w:ascii="宋体" w:hAnsi="宋体" w:eastAsia="宋体"/>
          <w:b w:val="0"/>
          <w:sz w:val="24"/>
        </w:rPr>
        <w:t>—— 文档结束 ——</w:t>
      </w:r>
    </w:p>
    <w:p>
      <w:pPr>
        <w:spacing w:after="120"/>
      </w:pPr>
      <w:r>
        <w:rPr>
          <w:rFonts w:ascii="宋体" w:hAnsi="宋体" w:eastAsia="宋体"/>
          <w:b w:val="0"/>
          <w:sz w:val="20"/>
        </w:rPr>
        <w:t>说明：本材料依据系统实际上线功能整理，具体界面与公式以平台最新版本为准。您可在 Word 中直接修改措辞、插入截图或补充本公司制度要求。</w:t>
      </w:r>
    </w:p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