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2018 to 2022; median household income grew only 22% over the same period</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15 to 25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8">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2">
      <w:pPr>
        <w:pStyle w:val="Heading3"/>
        <w:keepNext w:val="0"/>
        <w:rPr/>
      </w:pPr>
      <w:bookmarkStart w:colFirst="0" w:colLast="0" w:name="_lq2plq41pd5s"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3">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barely moves — Operations is last in the sequence, so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