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(June 2026, up from 59% a year earlier)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FY2027 affordability gains and that the GMCB already had the authority it needed.</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