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50"/>
        <w:gridCol w:w="2070"/>
        <w:gridCol w:w="2970"/>
        <w:gridCol w:w="2070"/>
      </w:tblGrid>
      <w:tr>
        <w:trPr>
          <w:tblHeader w:val="on"/>
          <w:cantSplit/>
        </w:trPr>
        <w:tc>
          <w:tcPr>
            <w:shd w:val="clear" w:color="auto" w:fill="1B3A6B"/>
            <w:tcW w:w="1950" w:type="dxa"/>
          </w:tcPr>
          <w:p>
            <w:pPr>
              <w:pStyle w:val="Compact"/>
              <w:jc w:val="left"/>
            </w:pPr>
            <w:r>
              <w:rPr>
                <w:b/>
                <w:color w:val="FFFFFF"/>
                <w:sz w:val="18"/>
              </w:rPr>
              <w:t xml:space="preserve">Sequencing error</w:t>
            </w:r>
          </w:p>
        </w:tc>
        <w:tc>
          <w:tcPr>
            <w:shd w:val="clear" w:color="auto" w:fill="1B3A6B"/>
            <w:tcW w:w="2070" w:type="dxa"/>
          </w:tcPr>
          <w:p>
            <w:pPr>
              <w:pStyle w:val="Compact"/>
              <w:jc w:val="left"/>
            </w:pPr>
            <w:r>
              <w:rPr>
                <w:b/>
                <w:color w:val="FFFFFF"/>
                <w:sz w:val="18"/>
              </w:rPr>
              <w:t xml:space="preserve">Early-warning signals</w:t>
            </w:r>
          </w:p>
        </w:tc>
        <w:tc>
          <w:tcPr>
            <w:shd w:val="clear" w:color="auto" w:fill="1B3A6B"/>
            <w:tcW w:w="2970" w:type="dxa"/>
          </w:tcPr>
          <w:p>
            <w:pPr>
              <w:pStyle w:val="Compact"/>
              <w:jc w:val="left"/>
            </w:pPr>
            <w:r>
              <w:rPr>
                <w:b/>
                <w:color w:val="FFFFFF"/>
                <w:sz w:val="18"/>
              </w:rPr>
              <w:t xml:space="preserve">Vermont evidence</w:t>
            </w:r>
          </w:p>
        </w:tc>
        <w:tc>
          <w:tcPr>
            <w:shd w:val="clear" w:color="auto" w:fill="1B3A6B"/>
            <w:tcW w:w="2070" w:type="dxa"/>
          </w:tcPr>
          <w:p>
            <w:pPr>
              <w:pStyle w:val="Compact"/>
              <w:jc w:val="left"/>
            </w:pPr>
            <w:r>
              <w:rPr>
                <w:b/>
                <w:color w:val="FFFFFF"/>
                <w:sz w:val="18"/>
              </w:rPr>
              <w:t xml:space="preserve">Correction</w:t>
            </w:r>
          </w:p>
        </w:tc>
      </w:tr>
      <w:tr>
        <w:trPr>
          <w:cantSplit/>
        </w:trPr>
        <w:tc>
          <w:tcPr>
            <w:tcW w:w="1950"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070" w:type="dxa"/>
          </w:tcPr>
          <w:p>
            <w:pPr>
              <w:pStyle w:val="Compact"/>
              <w:jc w:val="left"/>
            </w:pPr>
            <w:r>
              <w:rPr>
                <w:sz w:val="18"/>
              </w:rPr>
              <w:t xml:space="preserve">Voluntary participation below 80%; highest-cost providers stay out; redesigns driven by adverse selection</w:t>
            </w:r>
          </w:p>
        </w:tc>
        <w:tc>
          <w:tcPr>
            <w:tcW w:w="2970"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070" w:type="dxa"/>
          </w:tcPr>
          <w:p>
            <w:pPr>
              <w:pStyle w:val="Compact"/>
              <w:jc w:val="left"/>
            </w:pPr>
            <w:r>
              <w:rPr>
                <w:sz w:val="18"/>
              </w:rPr>
              <w:t xml:space="preserve">Act 68 mandatory RBP + global budgets</w:t>
            </w:r>
          </w:p>
        </w:tc>
      </w:tr>
      <w:tr>
        <w:trPr/>
        <w:tc>
          <w:tcPr>
            <w:tcW w:w="1950"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070" w:type="dxa"/>
          </w:tcPr>
          <w:p>
            <w:pPr>
              <w:pStyle w:val="Compact"/>
              <w:jc w:val="left"/>
            </w:pPr>
            <w:r>
              <w:rPr>
                <w:sz w:val="18"/>
              </w:rPr>
              <w:t xml:space="preserve">Adoption below 30% six months post-deployment; continued manual processes; staff workarounds</w:t>
            </w:r>
          </w:p>
        </w:tc>
        <w:tc>
          <w:tcPr>
            <w:tcW w:w="2970" w:type="dxa"/>
          </w:tcPr>
          <w:p>
            <w:pPr>
              <w:pStyle w:val="Compact"/>
              <w:jc w:val="left"/>
            </w:pPr>
            <w:r>
              <w:rPr>
                <w:sz w:val="18"/>
              </w:rPr>
              <w:t xml:space="preserve">VITL: sound platform, incomplete adoption among smaller providers for lack of Operations-pillar support to connect and train them</w:t>
            </w:r>
          </w:p>
        </w:tc>
        <w:tc>
          <w:tcPr>
            <w:tcW w:w="2070" w:type="dxa"/>
          </w:tcPr>
          <w:p>
            <w:pPr>
              <w:pStyle w:val="Compact"/>
              <w:jc w:val="left"/>
            </w:pPr>
            <w:r>
              <w:rPr>
                <w:sz w:val="18"/>
              </w:rPr>
              <w:t xml:space="preserve">Vermont CIN shared-services model</w:t>
            </w:r>
          </w:p>
        </w:tc>
      </w:tr>
      <w:tr>
        <w:trPr/>
        <w:tc>
          <w:tcPr>
            <w:tcW w:w="1950"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070" w:type="dxa"/>
          </w:tcPr>
          <w:p>
            <w:pPr>
              <w:pStyle w:val="Compact"/>
              <w:jc w:val="left"/>
            </w:pPr>
            <w:r>
              <w:rPr>
                <w:sz w:val="18"/>
              </w:rPr>
              <w:t xml:space="preserve">Program running at a loss absorbed by cross-subsidy; support contingent on that cross-subsidy; perpetual budget-cut risk</w:t>
            </w:r>
          </w:p>
        </w:tc>
        <w:tc>
          <w:tcPr>
            <w:tcW w:w="2970" w:type="dxa"/>
          </w:tcPr>
          <w:p>
            <w:pPr>
              <w:pStyle w:val="Compact"/>
              <w:jc w:val="left"/>
            </w:pPr>
            <w:r>
              <w:rPr>
                <w:sz w:val="18"/>
              </w:rPr>
              <w:t xml:space="preserve">Blueprint PCMHs produce the 5.8:1 ROI, but under FFS most of it accrues to payers, not the practices generating it</w:t>
            </w:r>
          </w:p>
        </w:tc>
        <w:tc>
          <w:tcPr>
            <w:tcW w:w="2070" w:type="dxa"/>
          </w:tcPr>
          <w:p>
            <w:pPr>
              <w:pStyle w:val="Compact"/>
              <w:jc w:val="left"/>
            </w:pPr>
            <w:r>
              <w:rPr>
                <w:sz w:val="18"/>
              </w:rPr>
              <w:t xml:space="preserve">AHEAD global budgets align incentives with clinical investment</w:t>
            </w:r>
          </w:p>
        </w:tc>
      </w:tr>
      <w:tr>
        <w:trPr/>
        <w:tc>
          <w:tcPr>
            <w:tcW w:w="1950"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070" w:type="dxa"/>
          </w:tcPr>
          <w:p>
            <w:pPr>
              <w:pStyle w:val="Compact"/>
              <w:jc w:val="left"/>
            </w:pPr>
            <w:r>
              <w:rPr>
                <w:sz w:val="18"/>
              </w:rPr>
              <w:t xml:space="preserve">Equity staff flagging the same structural problems in finalized designs; high rate of equity modifications at approval stage</w:t>
            </w:r>
          </w:p>
        </w:tc>
        <w:tc>
          <w:tcPr>
            <w:tcW w:w="2970"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070" w:type="dxa"/>
          </w:tcPr>
          <w:p>
            <w:pPr>
              <w:pStyle w:val="Compact"/>
              <w:jc w:val="left"/>
            </w:pPr>
            <w:r>
              <w:rPr>
                <w:sz w:val="18"/>
              </w:rPr>
              <w:t xml:space="preserve">Health Equity Advisory Commission consulted at design stage, not comment stage</w:t>
            </w:r>
          </w:p>
        </w:tc>
      </w:tr>
      <w:tr>
        <w:trPr>
          <w:cantSplit/>
        </w:trPr>
        <w:tc>
          <w:tcPr>
            <w:tcW w:w="1950"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07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70"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07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spacing w:before="120"/>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spacing w:before="120"/>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399">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0">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19">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54">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2026-07-30T00:58:06Z</dcterms:created>
  <dcterms:modified xsi:type="dcterms:W3CDTF">2026-07-30T00:58:06Z</dcterms:modified>
</cp:coreProperties>
</file>

<file path=docProps/custom.xml><?xml version="1.0" encoding="utf-8"?>
<Properties xmlns="http://schemas.openxmlformats.org/officeDocument/2006/custom-properties" xmlns:vt="http://schemas.openxmlformats.org/officeDocument/2006/docPropsVTypes"/>
</file>