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080"/>
        <w:gridCol w:w="1950"/>
        <w:gridCol w:w="3060"/>
        <w:gridCol w:w="2970"/>
      </w:tblGrid>
      <w:tr>
        <w:trPr>
          <w:tblHeader w:val="on"/>
          <w:cantSplit/>
        </w:trPr>
        <w:tc>
          <w:tcPr>
            <w:shd w:val="clear" w:color="auto" w:fill="1B3A6B"/>
            <w:tcW w:w="1080" w:type="dxa"/>
          </w:tcPr>
          <w:p>
            <w:pPr>
              <w:pStyle w:val="Compact"/>
              <w:jc w:val="left"/>
            </w:pPr>
            <w:r>
              <w:rPr>
                <w:b/>
                <w:color w:val="FFFFFF"/>
                <w:sz w:val="18"/>
              </w:rPr>
              <w:t xml:space="preserve">Sequencing Gap</w:t>
            </w:r>
          </w:p>
        </w:tc>
        <w:tc>
          <w:tcPr>
            <w:shd w:val="clear" w:color="auto" w:fill="1B3A6B"/>
            <w:tcW w:w="1950" w:type="dxa"/>
          </w:tcPr>
          <w:p>
            <w:pPr>
              <w:pStyle w:val="Compact"/>
              <w:jc w:val="left"/>
            </w:pPr>
            <w:r>
              <w:rPr>
                <w:b/>
                <w:color w:val="FFFFFF"/>
                <w:sz w:val="18"/>
              </w:rPr>
              <w:t xml:space="preserve">Structural Error</w:t>
            </w:r>
          </w:p>
        </w:tc>
        <w:tc>
          <w:tcPr>
            <w:shd w:val="clear" w:color="auto" w:fill="1B3A6B"/>
            <w:tcW w:w="3060"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080" w:type="dxa"/>
          </w:tcPr>
          <w:p>
            <w:pPr>
              <w:pStyle w:val="Compact"/>
              <w:jc w:val="left"/>
            </w:pPr>
            <w:r>
              <w:rPr>
                <w:sz w:val="18"/>
              </w:rPr>
              <w:t xml:space="preserve">Policy (Stage 1)</w:t>
            </w:r>
          </w:p>
        </w:tc>
        <w:tc>
          <w:tcPr>
            <w:tcW w:w="1950" w:type="dxa"/>
          </w:tcPr>
          <w:p>
            <w:pPr>
              <w:pStyle w:val="Compact"/>
              <w:jc w:val="left"/>
            </w:pPr>
            <w:r>
              <w:rPr>
                <w:sz w:val="18"/>
              </w:rPr>
              <w:t xml:space="preserve">Voluntary participation — no mandate</w:t>
            </w:r>
          </w:p>
        </w:tc>
        <w:tc>
          <w:tcPr>
            <w:tcW w:w="3060"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080" w:type="dxa"/>
          </w:tcPr>
          <w:p>
            <w:pPr>
              <w:pStyle w:val="Compact"/>
              <w:jc w:val="left"/>
            </w:pPr>
            <w:r>
              <w:rPr>
                <w:sz w:val="18"/>
              </w:rPr>
              <w:t xml:space="preserve">Technology (Stage 2)</w:t>
            </w:r>
          </w:p>
        </w:tc>
        <w:tc>
          <w:tcPr>
            <w:tcW w:w="1950" w:type="dxa"/>
          </w:tcPr>
          <w:p>
            <w:pPr>
              <w:pStyle w:val="Compact"/>
              <w:jc w:val="left"/>
            </w:pPr>
            <w:r>
              <w:rPr>
                <w:sz w:val="18"/>
              </w:rPr>
              <w:t xml:space="preserve">No integrated real-time data; 60–90 day lag</w:t>
            </w:r>
          </w:p>
        </w:tc>
        <w:tc>
          <w:tcPr>
            <w:tcW w:w="3060"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080" w:type="dxa"/>
          </w:tcPr>
          <w:p>
            <w:pPr>
              <w:pStyle w:val="Compact"/>
              <w:jc w:val="left"/>
            </w:pPr>
            <w:r>
              <w:rPr>
                <w:sz w:val="18"/>
              </w:rPr>
              <w:t xml:space="preserve">Economics (Stage 3)</w:t>
            </w:r>
          </w:p>
        </w:tc>
        <w:tc>
          <w:tcPr>
            <w:tcW w:w="1950" w:type="dxa"/>
          </w:tcPr>
          <w:p>
            <w:pPr>
              <w:pStyle w:val="Compact"/>
              <w:jc w:val="left"/>
            </w:pPr>
            <w:r>
              <w:rPr>
                <w:sz w:val="18"/>
              </w:rPr>
              <w:t xml:space="preserve">Payment model assumed risk before technology was ready</w:t>
            </w:r>
          </w:p>
        </w:tc>
        <w:tc>
          <w:tcPr>
            <w:tcW w:w="3060"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080" w:type="dxa"/>
          </w:tcPr>
          <w:p>
            <w:pPr>
              <w:pStyle w:val="Compact"/>
              <w:jc w:val="left"/>
            </w:pPr>
            <w:r>
              <w:rPr>
                <w:sz w:val="18"/>
              </w:rPr>
              <w:t xml:space="preserve">System-level</w:t>
            </w:r>
          </w:p>
        </w:tc>
        <w:tc>
          <w:tcPr>
            <w:tcW w:w="1950" w:type="dxa"/>
          </w:tcPr>
          <w:p>
            <w:pPr>
              <w:pStyle w:val="Compact"/>
              <w:jc w:val="left"/>
            </w:pPr>
            <w:r>
              <w:rPr>
                <w:sz w:val="18"/>
              </w:rPr>
              <w:t xml:space="preserve">Three gaps mutually reinforcing</w:t>
            </w:r>
          </w:p>
        </w:tc>
        <w:tc>
          <w:tcPr>
            <w:tcW w:w="3060"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2026-07-29T21:14:44Z</dcterms:created>
  <dcterms:modified xsi:type="dcterms:W3CDTF">2026-07-29T21:14:44Z</dcterms:modified>
</cp:coreProperties>
</file>

<file path=docProps/custom.xml><?xml version="1.0" encoding="utf-8"?>
<Properties xmlns="http://schemas.openxmlformats.org/officeDocument/2006/custom-properties" xmlns:vt="http://schemas.openxmlformats.org/officeDocument/2006/docPropsVTypes"/>
</file>