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(June 2026, up from 59% a year earlier)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