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600"/>
      </w:pPr>
    </w:p>
    <w:p>
      <w:pPr>
        <w:jc w:val="center"/>
      </w:pPr>
      <w:r>
        <w:drawing>
          <wp:inline>
            <wp:extent cx="5760720" cy="3215286"/>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760720" cy="3215286"/>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 — Equity Measurement</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 — Revenue Cycle and Coding</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425"/>
        <w:gridCol w:w="3360"/>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425" w:type="dxa"/>
          </w:tcPr>
          <w:p>
            <w:pPr>
              <w:pStyle w:val="Compact"/>
              <w:jc w:val="left"/>
            </w:pPr>
            <w:r>
              <w:rPr>
                <w:b/>
                <w:color w:val="FFFFFF"/>
                <w:sz w:val="18"/>
              </w:rPr>
              <w:t xml:space="preserve">Diagnostic question</w:t>
            </w:r>
          </w:p>
        </w:tc>
        <w:tc>
          <w:tcPr>
            <w:shd w:val="clear" w:color="auto" w:fill="1B3A6B"/>
            <w:tcW w:w="3360"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425" w:type="dxa"/>
          </w:tcPr>
          <w:p>
            <w:pPr>
              <w:pStyle w:val="Compact"/>
              <w:jc w:val="left"/>
            </w:pPr>
            <w:r>
              <w:rPr>
                <w:sz w:val="18"/>
              </w:rPr>
              <w:t xml:space="preserve">Is it permissible?</w:t>
            </w:r>
          </w:p>
        </w:tc>
        <w:tc>
          <w:tcPr>
            <w:tcW w:w="3360"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425" w:type="dxa"/>
          </w:tcPr>
          <w:p>
            <w:pPr>
              <w:pStyle w:val="Compact"/>
              <w:jc w:val="left"/>
            </w:pPr>
            <w:r>
              <w:rPr>
                <w:sz w:val="18"/>
              </w:rPr>
              <w:t xml:space="preserve">Is it possible?</w:t>
            </w:r>
          </w:p>
        </w:tc>
        <w:tc>
          <w:tcPr>
            <w:tcW w:w="3360"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425" w:type="dxa"/>
          </w:tcPr>
          <w:p>
            <w:pPr>
              <w:pStyle w:val="Compact"/>
              <w:jc w:val="left"/>
            </w:pPr>
            <w:r>
              <w:rPr>
                <w:sz w:val="18"/>
              </w:rPr>
              <w:t xml:space="preserve">Is it sustainable?</w:t>
            </w:r>
          </w:p>
        </w:tc>
        <w:tc>
          <w:tcPr>
            <w:tcW w:w="3360"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425" w:type="dxa"/>
          </w:tcPr>
          <w:p>
            <w:pPr>
              <w:pStyle w:val="Compact"/>
              <w:jc w:val="left"/>
            </w:pPr>
            <w:r>
              <w:rPr>
                <w:sz w:val="18"/>
              </w:rPr>
              <w:t xml:space="preserve">Is it effective?</w:t>
            </w:r>
          </w:p>
        </w:tc>
        <w:tc>
          <w:tcPr>
            <w:tcW w:w="3360"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425" w:type="dxa"/>
          </w:tcPr>
          <w:p>
            <w:pPr>
              <w:pStyle w:val="Compact"/>
              <w:jc w:val="left"/>
            </w:pPr>
            <w:r>
              <w:rPr>
                <w:sz w:val="18"/>
              </w:rPr>
              <w:t xml:space="preserve">Is it just?</w:t>
            </w:r>
          </w:p>
        </w:tc>
        <w:tc>
          <w:tcPr>
            <w:tcW w:w="3360"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425" w:type="dxa"/>
          </w:tcPr>
          <w:p>
            <w:pPr>
              <w:pStyle w:val="Compact"/>
              <w:jc w:val="left"/>
            </w:pPr>
            <w:r>
              <w:rPr>
                <w:sz w:val="18"/>
              </w:rPr>
              <w:t xml:space="preserve">Is it executable?</w:t>
            </w:r>
          </w:p>
        </w:tc>
        <w:tc>
          <w:tcPr>
            <w:tcW w:w="3360"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2625"/>
        <w:gridCol w:w="6450"/>
      </w:tblGrid>
      <w:tr>
        <w:trPr>
          <w:tblHeader w:val="on"/>
          <w:cantSplit/>
        </w:trPr>
        <w:tc>
          <w:tcPr>
            <w:shd w:val="clear" w:color="auto" w:fill="1B3A6B"/>
            <w:tcW w:w="2625" w:type="dxa"/>
          </w:tcPr>
          <w:p>
            <w:pPr>
              <w:pStyle w:val="Compact"/>
              <w:jc w:val="left"/>
            </w:pPr>
            <w:r>
              <w:rPr>
                <w:b/>
                <w:color w:val="FFFFFF"/>
                <w:sz w:val="18"/>
              </w:rPr>
              <w:t xml:space="preserve">Common perception</w:t>
            </w:r>
          </w:p>
        </w:tc>
        <w:tc>
          <w:tcPr>
            <w:shd w:val="clear" w:color="auto" w:fill="1B3A6B"/>
            <w:tcW w:w="6450" w:type="dxa"/>
          </w:tcPr>
          <w:p>
            <w:pPr>
              <w:pStyle w:val="Compact"/>
              <w:jc w:val="left"/>
            </w:pPr>
            <w:r>
              <w:rPr>
                <w:b/>
                <w:color w:val="FFFFFF"/>
                <w:sz w:val="18"/>
              </w:rPr>
              <w:t xml:space="preserve">What the data actually shows</w:t>
            </w:r>
          </w:p>
        </w:tc>
      </w:tr>
      <w:tr>
        <w:trPr>
          <w:cantSplit/>
        </w:trPr>
        <w:tc>
          <w:tcPr>
            <w:tcW w:w="2625"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6450"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2625" w:type="dxa"/>
          </w:tcPr>
          <w:p>
            <w:pPr>
              <w:pStyle w:val="Compact"/>
              <w:jc w:val="left"/>
            </w:pPr>
            <w:r>
              <w:rPr>
                <w:sz w:val="18"/>
              </w:rPr>
              <w:t xml:space="preserve">Vermont has a statewide ACO (OneCare)</w:t>
            </w:r>
          </w:p>
        </w:tc>
        <w:tc>
          <w:tcPr>
            <w:tcW w:w="6450"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2625" w:type="dxa"/>
          </w:tcPr>
          <w:p>
            <w:pPr>
              <w:pStyle w:val="Compact"/>
              <w:jc w:val="left"/>
            </w:pPr>
            <w:r>
              <w:rPr>
                <w:sz w:val="18"/>
              </w:rPr>
              <w:t xml:space="preserve">Vermont has a functioning State HIE (VITL)</w:t>
            </w:r>
          </w:p>
        </w:tc>
        <w:tc>
          <w:tcPr>
            <w:tcW w:w="6450"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2625" w:type="dxa"/>
          </w:tcPr>
          <w:p>
            <w:pPr>
              <w:pStyle w:val="Compact"/>
              <w:jc w:val="left"/>
            </w:pPr>
            <w:r>
              <w:rPr>
                <w:sz w:val="18"/>
              </w:rPr>
              <w:t xml:space="preserve">Vermont does not have enough primary care providers</w:t>
            </w:r>
          </w:p>
        </w:tc>
        <w:tc>
          <w:tcPr>
            <w:tcW w:w="6450"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Figure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Figure 2.2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2.3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010"/>
        <w:gridCol w:w="7065"/>
      </w:tblGrid>
      <w:tr>
        <w:trPr>
          <w:tblHeader w:val="on"/>
          <w:cantSplit/>
        </w:trPr>
        <w:tc>
          <w:tcPr>
            <w:shd w:val="clear" w:color="auto" w:fill="1B3A6B"/>
            <w:tcW w:w="2010" w:type="dxa"/>
          </w:tcPr>
          <w:p>
            <w:pPr>
              <w:pStyle w:val="Compact"/>
              <w:jc w:val="left"/>
            </w:pPr>
            <w:r>
              <w:rPr>
                <w:b/>
                <w:color w:val="FFFFFF"/>
                <w:sz w:val="18"/>
              </w:rPr>
              <w:t xml:space="preserve">State / Program</w:t>
            </w:r>
          </w:p>
        </w:tc>
        <w:tc>
          <w:tcPr>
            <w:shd w:val="clear" w:color="auto" w:fill="1B3A6B"/>
            <w:tcW w:w="7065" w:type="dxa"/>
          </w:tcPr>
          <w:p>
            <w:pPr>
              <w:pStyle w:val="Compact"/>
              <w:jc w:val="left"/>
            </w:pPr>
            <w:r>
              <w:rPr>
                <w:b/>
                <w:color w:val="FFFFFF"/>
                <w:sz w:val="18"/>
              </w:rPr>
              <w:t xml:space="preserve">Key design features and outcomes</w:t>
            </w:r>
          </w:p>
        </w:tc>
      </w:tr>
      <w:tr>
        <w:trPr>
          <w:cantSplit/>
        </w:trPr>
        <w:tc>
          <w:tcPr>
            <w:tcW w:w="2010" w:type="dxa"/>
          </w:tcPr>
          <w:p>
            <w:pPr>
              <w:pStyle w:val="Compact"/>
              <w:jc w:val="left"/>
            </w:pPr>
            <w:r>
              <w:rPr>
                <w:sz w:val="18"/>
              </w:rPr>
              <w:t xml:space="preserve">Vermont Act 68</w:t>
            </w:r>
          </w:p>
        </w:tc>
        <w:tc>
          <w:tcPr>
            <w:tcW w:w="7065"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010" w:type="dxa"/>
          </w:tcPr>
          <w:p>
            <w:pPr>
              <w:pStyle w:val="Compact"/>
              <w:jc w:val="left"/>
            </w:pPr>
            <w:r>
              <w:rPr>
                <w:sz w:val="18"/>
              </w:rPr>
              <w:t xml:space="preserve">Oregon (2019)</w:t>
            </w:r>
          </w:p>
        </w:tc>
        <w:tc>
          <w:tcPr>
            <w:tcW w:w="7065"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010" w:type="dxa"/>
          </w:tcPr>
          <w:p>
            <w:pPr>
              <w:pStyle w:val="Compact"/>
              <w:jc w:val="left"/>
            </w:pPr>
            <w:r>
              <w:rPr>
                <w:sz w:val="18"/>
              </w:rPr>
              <w:t xml:space="preserve">Montana (2016)</w:t>
            </w:r>
          </w:p>
        </w:tc>
        <w:tc>
          <w:tcPr>
            <w:tcW w:w="7065"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010" w:type="dxa"/>
          </w:tcPr>
          <w:p>
            <w:pPr>
              <w:pStyle w:val="Compact"/>
              <w:jc w:val="left"/>
            </w:pPr>
            <w:r>
              <w:rPr>
                <w:sz w:val="18"/>
              </w:rPr>
              <w:t xml:space="preserve">Washington (2021)</w:t>
            </w:r>
          </w:p>
        </w:tc>
        <w:tc>
          <w:tcPr>
            <w:tcW w:w="7065"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010" w:type="dxa"/>
          </w:tcPr>
          <w:p>
            <w:pPr>
              <w:pStyle w:val="Compact"/>
              <w:jc w:val="left"/>
            </w:pPr>
            <w:r>
              <w:rPr>
                <w:sz w:val="18"/>
              </w:rPr>
              <w:t xml:space="preserve">Maryland (2014–present)</w:t>
            </w:r>
          </w:p>
        </w:tc>
        <w:tc>
          <w:tcPr>
            <w:tcW w:w="7065"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Figure 2.4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Figure 3.2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0"/>
        <w:gridCol w:w="2640"/>
        <w:gridCol w:w="2790"/>
        <w:gridCol w:w="2490"/>
      </w:tblGrid>
      <w:tr>
        <w:trPr>
          <w:tblHeader w:val="on"/>
          <w:cantSplit/>
        </w:trPr>
        <w:tc>
          <w:tcPr>
            <w:shd w:val="clear" w:color="auto" w:fill="1B3A6B"/>
            <w:tcW w:w="1140" w:type="dxa"/>
          </w:tcPr>
          <w:p>
            <w:pPr>
              <w:pStyle w:val="Compact"/>
              <w:jc w:val="left"/>
            </w:pPr>
            <w:r>
              <w:rPr>
                <w:b/>
                <w:color w:val="FFFFFF"/>
                <w:sz w:val="18"/>
              </w:rPr>
              <w:t xml:space="preserve">Function</w:t>
            </w:r>
          </w:p>
        </w:tc>
        <w:tc>
          <w:tcPr>
            <w:shd w:val="clear" w:color="auto" w:fill="1B3A6B"/>
            <w:tcW w:w="2640" w:type="dxa"/>
          </w:tcPr>
          <w:p>
            <w:pPr>
              <w:pStyle w:val="Compact"/>
              <w:jc w:val="left"/>
            </w:pPr>
            <w:r>
              <w:rPr>
                <w:b/>
                <w:color w:val="FFFFFF"/>
                <w:sz w:val="18"/>
              </w:rPr>
              <w:t xml:space="preserve">Key activities</w:t>
            </w:r>
          </w:p>
        </w:tc>
        <w:tc>
          <w:tcPr>
            <w:shd w:val="clear" w:color="auto" w:fill="1B3A6B"/>
            <w:tcW w:w="2790" w:type="dxa"/>
          </w:tcPr>
          <w:p>
            <w:pPr>
              <w:pStyle w:val="Compact"/>
              <w:jc w:val="left"/>
            </w:pPr>
            <w:r>
              <w:rPr>
                <w:b/>
                <w:color w:val="FFFFFF"/>
                <w:sz w:val="18"/>
              </w:rPr>
              <w:t xml:space="preserve">Vermont-specific examples</w:t>
            </w:r>
          </w:p>
        </w:tc>
        <w:tc>
          <w:tcPr>
            <w:shd w:val="clear" w:color="auto" w:fill="1B3A6B"/>
            <w:tcW w:w="2490" w:type="dxa"/>
          </w:tcPr>
          <w:p>
            <w:pPr>
              <w:pStyle w:val="Compact"/>
              <w:jc w:val="left"/>
            </w:pPr>
            <w:r>
              <w:rPr>
                <w:b/>
                <w:color w:val="FFFFFF"/>
                <w:sz w:val="18"/>
              </w:rPr>
              <w:t xml:space="preserve">HTR Advisory service</w:t>
            </w:r>
          </w:p>
        </w:tc>
      </w:tr>
      <w:tr>
        <w:trPr>
          <w:cantSplit/>
        </w:trPr>
        <w:tc>
          <w:tcPr>
            <w:tcW w:w="1140" w:type="dxa"/>
          </w:tcPr>
          <w:p>
            <w:pPr>
              <w:pStyle w:val="Compact"/>
              <w:jc w:val="left"/>
            </w:pPr>
            <w:r>
              <w:rPr>
                <w:sz w:val="18"/>
              </w:rPr>
              <w:t xml:space="preserve">Regulatory compliance</w:t>
            </w:r>
          </w:p>
        </w:tc>
        <w:tc>
          <w:tcPr>
            <w:tcW w:w="2640" w:type="dxa"/>
          </w:tcPr>
          <w:p>
            <w:pPr>
              <w:pStyle w:val="Compact"/>
              <w:jc w:val="left"/>
            </w:pPr>
            <w:r>
              <w:rPr>
                <w:sz w:val="18"/>
              </w:rPr>
              <w:t xml:space="preserve">Monitor rulemaking; assess financial and operational impact of new requirements; develop compliance roadmaps; manage comment letter processes</w:t>
            </w:r>
          </w:p>
        </w:tc>
        <w:tc>
          <w:tcPr>
            <w:tcW w:w="2790" w:type="dxa"/>
          </w:tcPr>
          <w:p>
            <w:pPr>
              <w:pStyle w:val="Compact"/>
              <w:jc w:val="left"/>
            </w:pPr>
            <w:r>
              <w:rPr>
                <w:sz w:val="18"/>
              </w:rPr>
              <w:t xml:space="preserve">Act 68 RBP compliance planning for FY2027; AHEAD hospital global budget participation; H.R. 1 Medicaid work requirement implementation timeline</w:t>
            </w:r>
          </w:p>
        </w:tc>
        <w:tc>
          <w:tcPr>
            <w:tcW w:w="2490" w:type="dxa"/>
          </w:tcPr>
          <w:p>
            <w:pPr>
              <w:pStyle w:val="Compact"/>
              <w:jc w:val="left"/>
            </w:pPr>
            <w:r>
              <w:rPr>
                <w:sz w:val="18"/>
              </w:rPr>
              <w:t xml:space="preserve">Policy Strategy service line: Phase 1 Landscape and Exposure Assessment</w:t>
            </w:r>
          </w:p>
        </w:tc>
      </w:tr>
      <w:tr>
        <w:trPr/>
        <w:tc>
          <w:tcPr>
            <w:tcW w:w="1140" w:type="dxa"/>
          </w:tcPr>
          <w:p>
            <w:pPr>
              <w:pStyle w:val="Compact"/>
              <w:jc w:val="left"/>
            </w:pPr>
            <w:r>
              <w:rPr>
                <w:sz w:val="18"/>
              </w:rPr>
              <w:t xml:space="preserve">Opportunity identification</w:t>
            </w:r>
          </w:p>
        </w:tc>
        <w:tc>
          <w:tcPr>
            <w:tcW w:w="2640"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790" w:type="dxa"/>
          </w:tcPr>
          <w:p>
            <w:pPr>
              <w:pStyle w:val="Compact"/>
              <w:jc w:val="left"/>
            </w:pPr>
            <w:r>
              <w:rPr>
                <w:sz w:val="18"/>
              </w:rPr>
              <w:t xml:space="preserve">Vermont hospitals: Act 68 transformation grants ($2M); AHEAD EAST Fund; RHT Program subrecipient grants; BALANCE Model GLP-1 coverage</w:t>
            </w:r>
          </w:p>
        </w:tc>
        <w:tc>
          <w:tcPr>
            <w:tcW w:w="2490" w:type="dxa"/>
          </w:tcPr>
          <w:p>
            <w:pPr>
              <w:pStyle w:val="Compact"/>
              <w:jc w:val="left"/>
            </w:pPr>
            <w:r>
              <w:rPr>
                <w:sz w:val="18"/>
              </w:rPr>
              <w:t xml:space="preserve">Policy Strategy service line: federal program opportunity assessment</w:t>
            </w:r>
          </w:p>
        </w:tc>
      </w:tr>
      <w:tr>
        <w:trPr>
          <w:cantSplit/>
        </w:trPr>
        <w:tc>
          <w:tcPr>
            <w:tcW w:w="1140" w:type="dxa"/>
          </w:tcPr>
          <w:p>
            <w:pPr>
              <w:pStyle w:val="Compact"/>
              <w:jc w:val="left"/>
            </w:pPr>
            <w:r>
              <w:rPr>
                <w:sz w:val="18"/>
              </w:rPr>
              <w:t xml:space="preserve">Policy advocacy</w:t>
            </w:r>
          </w:p>
        </w:tc>
        <w:tc>
          <w:tcPr>
            <w:tcW w:w="2640"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790"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490"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3.3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00"/>
        <w:gridCol w:w="1695"/>
        <w:gridCol w:w="2265"/>
        <w:gridCol w:w="3015"/>
      </w:tblGrid>
      <w:tr>
        <w:trPr>
          <w:tblHeader w:val="on"/>
          <w:cantSplit/>
        </w:trPr>
        <w:tc>
          <w:tcPr>
            <w:shd w:val="clear" w:color="auto" w:fill="1B3A6B"/>
            <w:tcW w:w="2100" w:type="dxa"/>
          </w:tcPr>
          <w:p>
            <w:pPr>
              <w:pStyle w:val="Compact"/>
              <w:jc w:val="left"/>
            </w:pPr>
            <w:r>
              <w:rPr>
                <w:b/>
                <w:color w:val="FFFFFF"/>
                <w:sz w:val="18"/>
              </w:rPr>
              <w:t xml:space="preserve">H.R. 1 Medicaid provision</w:t>
            </w:r>
          </w:p>
        </w:tc>
        <w:tc>
          <w:tcPr>
            <w:shd w:val="clear" w:color="auto" w:fill="1B3A6B"/>
            <w:tcW w:w="1695" w:type="dxa"/>
          </w:tcPr>
          <w:p>
            <w:pPr>
              <w:pStyle w:val="Compact"/>
              <w:jc w:val="left"/>
            </w:pPr>
            <w:r>
              <w:rPr>
                <w:b/>
                <w:color w:val="FFFFFF"/>
                <w:sz w:val="18"/>
              </w:rPr>
              <w:t xml:space="preserve">When it takes effect</w:t>
            </w:r>
          </w:p>
        </w:tc>
        <w:tc>
          <w:tcPr>
            <w:shd w:val="clear" w:color="auto" w:fill="1B3A6B"/>
            <w:tcW w:w="2265" w:type="dxa"/>
          </w:tcPr>
          <w:p>
            <w:pPr>
              <w:pStyle w:val="Compact"/>
              <w:jc w:val="left"/>
            </w:pPr>
            <w:r>
              <w:rPr>
                <w:b/>
                <w:color w:val="FFFFFF"/>
                <w:sz w:val="18"/>
              </w:rPr>
              <w:t xml:space="preserve">Financial impact</w:t>
            </w:r>
          </w:p>
        </w:tc>
        <w:tc>
          <w:tcPr>
            <w:shd w:val="clear" w:color="auto" w:fill="1B3A6B"/>
            <w:tcW w:w="3015" w:type="dxa"/>
          </w:tcPr>
          <w:p>
            <w:pPr>
              <w:pStyle w:val="Compact"/>
              <w:jc w:val="left"/>
            </w:pPr>
            <w:r>
              <w:rPr>
                <w:b/>
                <w:color w:val="FFFFFF"/>
                <w:sz w:val="18"/>
              </w:rPr>
              <w:t xml:space="preserve">Vermont-specific implications</w:t>
            </w:r>
          </w:p>
        </w:tc>
      </w:tr>
      <w:tr>
        <w:trPr>
          <w:cantSplit/>
        </w:trPr>
        <w:tc>
          <w:tcPr>
            <w:tcW w:w="2100" w:type="dxa"/>
          </w:tcPr>
          <w:p>
            <w:pPr>
              <w:pStyle w:val="Compact"/>
              <w:jc w:val="left"/>
            </w:pPr>
            <w:r>
              <w:rPr>
                <w:sz w:val="18"/>
              </w:rPr>
              <w:t xml:space="preserve">Provider tax restrictions: ban on new or higher provider taxes in expansion states; phase-down of existing taxes</w:t>
            </w:r>
          </w:p>
        </w:tc>
        <w:tc>
          <w:tcPr>
            <w:tcW w:w="1695" w:type="dxa"/>
          </w:tcPr>
          <w:p>
            <w:pPr>
              <w:pStyle w:val="Compact"/>
              <w:jc w:val="left"/>
            </w:pPr>
            <w:r>
              <w:rPr>
                <w:sz w:val="18"/>
              </w:rPr>
              <w:t xml:space="preserve">In effect for new taxes; phase-down beginning 2027</w:t>
            </w:r>
          </w:p>
        </w:tc>
        <w:tc>
          <w:tcPr>
            <w:tcW w:w="2265" w:type="dxa"/>
          </w:tcPr>
          <w:p>
            <w:pPr>
              <w:pStyle w:val="Compact"/>
              <w:jc w:val="left"/>
            </w:pPr>
            <w:r>
              <w:rPr>
                <w:sz w:val="18"/>
              </w:rPr>
              <w:t xml:space="preserve">Reduces states’ ability to finance their Medicaid matching share; intensifies pressure on state Medicaid budgets</w:t>
            </w:r>
          </w:p>
        </w:tc>
        <w:tc>
          <w:tcPr>
            <w:tcW w:w="3015" w:type="dxa"/>
          </w:tcPr>
          <w:p>
            <w:pPr>
              <w:pStyle w:val="Compact"/>
              <w:jc w:val="left"/>
            </w:pPr>
            <w:r>
              <w:rPr>
                <w:sz w:val="18"/>
              </w:rPr>
              <w:t xml:space="preserve">Vermont’s financing mechanisms will need review; state budget implications require modeling through 2031</w:t>
            </w:r>
          </w:p>
        </w:tc>
      </w:tr>
      <w:tr>
        <w:trPr/>
        <w:tc>
          <w:tcPr>
            <w:tcW w:w="2100" w:type="dxa"/>
          </w:tcPr>
          <w:p>
            <w:pPr>
              <w:pStyle w:val="Compact"/>
              <w:jc w:val="left"/>
            </w:pPr>
            <w:r>
              <w:rPr>
                <w:sz w:val="18"/>
              </w:rPr>
              <w:t xml:space="preserve">State-directed payment caps at 100% of Medicare (expansion states)</w:t>
            </w:r>
          </w:p>
        </w:tc>
        <w:tc>
          <w:tcPr>
            <w:tcW w:w="1695" w:type="dxa"/>
          </w:tcPr>
          <w:p>
            <w:pPr>
              <w:pStyle w:val="Compact"/>
              <w:jc w:val="left"/>
            </w:pPr>
            <w:r>
              <w:rPr>
                <w:sz w:val="18"/>
              </w:rPr>
              <w:t xml:space="preserve">2027</w:t>
            </w:r>
          </w:p>
        </w:tc>
        <w:tc>
          <w:tcPr>
            <w:tcW w:w="2265"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3015"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00" w:type="dxa"/>
          </w:tcPr>
          <w:p>
            <w:pPr>
              <w:pStyle w:val="Compact"/>
              <w:jc w:val="left"/>
            </w:pPr>
            <w:r>
              <w:rPr>
                <w:sz w:val="18"/>
              </w:rPr>
              <w:t xml:space="preserve">Work and community engagement requirements (80 hours/month)</w:t>
            </w:r>
          </w:p>
        </w:tc>
        <w:tc>
          <w:tcPr>
            <w:tcW w:w="1695" w:type="dxa"/>
          </w:tcPr>
          <w:p>
            <w:pPr>
              <w:pStyle w:val="Compact"/>
              <w:jc w:val="left"/>
            </w:pPr>
            <w:r>
              <w:rPr>
                <w:sz w:val="18"/>
              </w:rPr>
              <w:t xml:space="preserve">Late 2026 (states must implement by December 31, 2026)</w:t>
            </w:r>
          </w:p>
        </w:tc>
        <w:tc>
          <w:tcPr>
            <w:tcW w:w="2265"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3015"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00" w:type="dxa"/>
          </w:tcPr>
          <w:p>
            <w:pPr>
              <w:pStyle w:val="Compact"/>
              <w:jc w:val="left"/>
            </w:pPr>
            <w:r>
              <w:rPr>
                <w:sz w:val="18"/>
              </w:rPr>
              <w:t xml:space="preserve">Eligibility redetermination every 6 months (vs. annual)</w:t>
            </w:r>
          </w:p>
        </w:tc>
        <w:tc>
          <w:tcPr>
            <w:tcW w:w="1695" w:type="dxa"/>
          </w:tcPr>
          <w:p>
            <w:pPr>
              <w:pStyle w:val="Compact"/>
              <w:jc w:val="left"/>
            </w:pPr>
            <w:r>
              <w:rPr>
                <w:sz w:val="18"/>
              </w:rPr>
              <w:t xml:space="preserve">2026</w:t>
            </w:r>
          </w:p>
        </w:tc>
        <w:tc>
          <w:tcPr>
            <w:tcW w:w="2265"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3015"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00" w:type="dxa"/>
          </w:tcPr>
          <w:p>
            <w:pPr>
              <w:pStyle w:val="Compact"/>
              <w:jc w:val="left"/>
            </w:pPr>
            <w:r>
              <w:rPr>
                <w:sz w:val="18"/>
              </w:rPr>
              <w:t xml:space="preserve">Medicaid reimbursement reductions (DSH cuts, payment rate changes)</w:t>
            </w:r>
          </w:p>
        </w:tc>
        <w:tc>
          <w:tcPr>
            <w:tcW w:w="1695" w:type="dxa"/>
          </w:tcPr>
          <w:p>
            <w:pPr>
              <w:pStyle w:val="Compact"/>
              <w:jc w:val="left"/>
            </w:pPr>
            <w:r>
              <w:rPr>
                <w:sz w:val="18"/>
              </w:rPr>
              <w:t xml:space="preserve">2026-2031 (phased)</w:t>
            </w:r>
          </w:p>
        </w:tc>
        <w:tc>
          <w:tcPr>
            <w:tcW w:w="2265" w:type="dxa"/>
          </w:tcPr>
          <w:p>
            <w:pPr>
              <w:pStyle w:val="Compact"/>
              <w:jc w:val="left"/>
            </w:pPr>
            <w:r>
              <w:rPr>
                <w:sz w:val="18"/>
              </w:rPr>
              <w:t xml:space="preserve">$911B over 10 years nationally; $137B in rural areas; hospitals will experience revenue reductions</w:t>
            </w:r>
          </w:p>
        </w:tc>
        <w:tc>
          <w:tcPr>
            <w:tcW w:w="3015"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3.4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225"/>
        <w:gridCol w:w="5835"/>
      </w:tblGrid>
      <w:tr>
        <w:trPr>
          <w:tblHeader w:val="on"/>
          <w:cantSplit/>
        </w:trPr>
        <w:tc>
          <w:tcPr>
            <w:shd w:val="clear" w:color="auto" w:fill="1B3A6B"/>
            <w:tcW w:w="3225" w:type="dxa"/>
          </w:tcPr>
          <w:p>
            <w:pPr>
              <w:pStyle w:val="Compact"/>
            </w:pPr>
            <w:r>
              <w:rPr>
                <w:b/>
                <w:color w:val="FFFFFF"/>
                <w:sz w:val="18"/>
              </w:rPr>
              <w:t xml:space="preserve">Layer</w:t>
            </w:r>
          </w:p>
        </w:tc>
        <w:tc>
          <w:tcPr>
            <w:shd w:val="clear" w:color="auto" w:fill="1B3A6B"/>
            <w:tcW w:w="5835" w:type="dxa"/>
          </w:tcPr>
          <w:p>
            <w:pPr>
              <w:pStyle w:val="Compact"/>
            </w:pPr>
            <w:r>
              <w:rPr>
                <w:b/>
                <w:color w:val="FFFFFF"/>
                <w:sz w:val="18"/>
              </w:rPr>
              <w:t xml:space="preserve">Role in the data stack</w:t>
            </w:r>
          </w:p>
        </w:tc>
      </w:tr>
      <w:tr>
        <w:trPr>
          <w:cantSplit/>
        </w:trPr>
        <w:tc>
          <w:tcPr>
            <w:tcW w:w="3225"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835"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225"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835"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225"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835"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485"/>
        <w:gridCol w:w="5010"/>
        <w:gridCol w:w="2580"/>
      </w:tblGrid>
      <w:tr>
        <w:trPr>
          <w:tblHeader w:val="on"/>
          <w:cantSplit/>
        </w:trPr>
        <w:tc>
          <w:tcPr>
            <w:shd w:val="clear" w:color="auto" w:fill="1B3A6B"/>
            <w:tcW w:w="1485" w:type="dxa"/>
          </w:tcPr>
          <w:p>
            <w:pPr>
              <w:pStyle w:val="Compact"/>
              <w:jc w:val="left"/>
            </w:pPr>
            <w:r>
              <w:rPr>
                <w:b/>
                <w:color w:val="FFFFFF"/>
                <w:sz w:val="18"/>
              </w:rPr>
              <w:t xml:space="preserve">Limitation</w:t>
            </w:r>
          </w:p>
        </w:tc>
        <w:tc>
          <w:tcPr>
            <w:shd w:val="clear" w:color="auto" w:fill="1B3A6B"/>
            <w:tcW w:w="5010" w:type="dxa"/>
          </w:tcPr>
          <w:p>
            <w:pPr>
              <w:pStyle w:val="Compact"/>
              <w:jc w:val="left"/>
            </w:pPr>
            <w:r>
              <w:rPr>
                <w:b/>
                <w:color w:val="FFFFFF"/>
                <w:sz w:val="18"/>
              </w:rPr>
              <w:t xml:space="preserve">What it means for transformation</w:t>
            </w:r>
          </w:p>
        </w:tc>
        <w:tc>
          <w:tcPr>
            <w:shd w:val="clear" w:color="auto" w:fill="1B3A6B"/>
            <w:tcW w:w="2580" w:type="dxa"/>
          </w:tcPr>
          <w:p>
            <w:pPr>
              <w:pStyle w:val="Compact"/>
              <w:jc w:val="left"/>
            </w:pPr>
            <w:r>
              <w:rPr>
                <w:b/>
                <w:color w:val="FFFFFF"/>
                <w:sz w:val="18"/>
              </w:rPr>
              <w:t xml:space="preserve">Required improvement</w:t>
            </w:r>
          </w:p>
        </w:tc>
      </w:tr>
      <w:tr>
        <w:trPr>
          <w:cantSplit/>
        </w:trPr>
        <w:tc>
          <w:tcPr>
            <w:tcW w:w="1485" w:type="dxa"/>
          </w:tcPr>
          <w:p>
            <w:pPr>
              <w:pStyle w:val="Compact"/>
              <w:jc w:val="left"/>
            </w:pPr>
            <w:r>
              <w:rPr>
                <w:sz w:val="18"/>
              </w:rPr>
              <w:t xml:space="preserve">Incomplete commercial coverage (60%)</w:t>
            </w:r>
          </w:p>
        </w:tc>
        <w:tc>
          <w:tcPr>
            <w:tcW w:w="501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580"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485" w:type="dxa"/>
          </w:tcPr>
          <w:p>
            <w:pPr>
              <w:pStyle w:val="Compact"/>
              <w:jc w:val="left"/>
            </w:pPr>
            <w:r>
              <w:rPr>
                <w:sz w:val="18"/>
              </w:rPr>
              <w:t xml:space="preserve">Data lag of 12-18+ months</w:t>
            </w:r>
          </w:p>
        </w:tc>
        <w:tc>
          <w:tcPr>
            <w:tcW w:w="501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580"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485" w:type="dxa"/>
          </w:tcPr>
          <w:p>
            <w:pPr>
              <w:pStyle w:val="Compact"/>
              <w:jc w:val="left"/>
            </w:pPr>
            <w:r>
              <w:rPr>
                <w:sz w:val="18"/>
              </w:rPr>
              <w:t xml:space="preserve">No behavioral health or SDOH data integration</w:t>
            </w:r>
          </w:p>
        </w:tc>
        <w:tc>
          <w:tcPr>
            <w:tcW w:w="501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580"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485" w:type="dxa"/>
          </w:tcPr>
          <w:p>
            <w:pPr>
              <w:pStyle w:val="Compact"/>
              <w:jc w:val="left"/>
            </w:pPr>
            <w:r>
              <w:rPr>
                <w:sz w:val="18"/>
              </w:rPr>
              <w:t xml:space="preserve">No clinical results, only billing records</w:t>
            </w:r>
          </w:p>
        </w:tc>
        <w:tc>
          <w:tcPr>
            <w:tcW w:w="501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580"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05"/>
        <w:gridCol w:w="3225"/>
        <w:gridCol w:w="1815"/>
        <w:gridCol w:w="2445"/>
      </w:tblGrid>
      <w:tr>
        <w:trPr>
          <w:tblHeader w:val="on"/>
          <w:cantSplit/>
        </w:trPr>
        <w:tc>
          <w:tcPr>
            <w:shd w:val="clear" w:color="auto" w:fill="1B3A6B"/>
            <w:tcW w:w="1605" w:type="dxa"/>
          </w:tcPr>
          <w:p>
            <w:pPr>
              <w:pStyle w:val="Compact"/>
              <w:jc w:val="left"/>
            </w:pPr>
            <w:r>
              <w:rPr>
                <w:b/>
                <w:color w:val="FFFFFF"/>
                <w:sz w:val="18"/>
              </w:rPr>
              <w:t xml:space="preserve">Step</w:t>
            </w:r>
          </w:p>
        </w:tc>
        <w:tc>
          <w:tcPr>
            <w:shd w:val="clear" w:color="auto" w:fill="1B3A6B"/>
            <w:tcW w:w="322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05" w:type="dxa"/>
          </w:tcPr>
          <w:p>
            <w:pPr>
              <w:pStyle w:val="Compact"/>
              <w:jc w:val="left"/>
            </w:pPr>
            <w:r>
              <w:rPr>
                <w:sz w:val="18"/>
              </w:rPr>
              <w:t xml:space="preserve">1. VHCURES-VHIE claims-clinical integration</w:t>
            </w:r>
          </w:p>
        </w:tc>
        <w:tc>
          <w:tcPr>
            <w:tcW w:w="322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05" w:type="dxa"/>
          </w:tcPr>
          <w:p>
            <w:pPr>
              <w:pStyle w:val="Compact"/>
              <w:jc w:val="left"/>
            </w:pPr>
            <w:r>
              <w:rPr>
                <w:sz w:val="18"/>
              </w:rPr>
              <w:t xml:space="preserve">2. Mental health and SUD data integration</w:t>
            </w:r>
          </w:p>
        </w:tc>
        <w:tc>
          <w:tcPr>
            <w:tcW w:w="322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05" w:type="dxa"/>
          </w:tcPr>
          <w:p>
            <w:pPr>
              <w:pStyle w:val="Compact"/>
              <w:jc w:val="left"/>
            </w:pPr>
            <w:r>
              <w:rPr>
                <w:sz w:val="18"/>
              </w:rPr>
              <w:t xml:space="preserve">3. SDOH data integration</w:t>
            </w:r>
          </w:p>
        </w:tc>
        <w:tc>
          <w:tcPr>
            <w:tcW w:w="322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050"/>
        <w:gridCol w:w="3105"/>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050" w:type="dxa"/>
          </w:tcPr>
          <w:p>
            <w:pPr>
              <w:pStyle w:val="Compact"/>
              <w:jc w:val="left"/>
            </w:pPr>
            <w:r>
              <w:rPr>
                <w:b/>
                <w:color w:val="FFFFFF"/>
                <w:sz w:val="18"/>
              </w:rPr>
              <w:t xml:space="preserve">Name</w:t>
            </w:r>
          </w:p>
        </w:tc>
        <w:tc>
          <w:tcPr>
            <w:shd w:val="clear" w:color="auto" w:fill="1B3A6B"/>
            <w:tcW w:w="3105"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050" w:type="dxa"/>
          </w:tcPr>
          <w:p>
            <w:pPr>
              <w:pStyle w:val="Compact"/>
              <w:jc w:val="left"/>
            </w:pPr>
            <w:r>
              <w:rPr>
                <w:sz w:val="18"/>
              </w:rPr>
              <w:t xml:space="preserve">End-User Services</w:t>
            </w:r>
          </w:p>
        </w:tc>
        <w:tc>
          <w:tcPr>
            <w:tcW w:w="3105"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050" w:type="dxa"/>
          </w:tcPr>
          <w:p>
            <w:pPr>
              <w:pStyle w:val="Compact"/>
              <w:jc w:val="left"/>
            </w:pPr>
            <w:r>
              <w:rPr>
                <w:sz w:val="18"/>
              </w:rPr>
              <w:t xml:space="preserve">Exchange Services</w:t>
            </w:r>
          </w:p>
        </w:tc>
        <w:tc>
          <w:tcPr>
            <w:tcW w:w="3105"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050" w:type="dxa"/>
          </w:tcPr>
          <w:p>
            <w:pPr>
              <w:pStyle w:val="Compact"/>
              <w:jc w:val="left"/>
            </w:pPr>
            <w:r>
              <w:rPr>
                <w:sz w:val="18"/>
              </w:rPr>
              <w:t xml:space="preserve">Foundational Services</w:t>
            </w:r>
          </w:p>
        </w:tc>
        <w:tc>
          <w:tcPr>
            <w:tcW w:w="3105"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455"/>
        <w:gridCol w:w="7620"/>
      </w:tblGrid>
      <w:tr>
        <w:trPr>
          <w:tblHeader w:val="on"/>
          <w:cantSplit/>
        </w:trPr>
        <w:tc>
          <w:tcPr>
            <w:shd w:val="clear" w:color="auto" w:fill="1B3A6B"/>
            <w:tcW w:w="1455" w:type="dxa"/>
          </w:tcPr>
          <w:p>
            <w:pPr>
              <w:pStyle w:val="Compact"/>
            </w:pPr>
            <w:r>
              <w:rPr>
                <w:b/>
                <w:color w:val="FFFFFF"/>
                <w:sz w:val="18"/>
              </w:rPr>
              <w:t xml:space="preserve">Layer</w:t>
            </w:r>
          </w:p>
        </w:tc>
        <w:tc>
          <w:tcPr>
            <w:shd w:val="clear" w:color="auto" w:fill="1B3A6B"/>
            <w:tcW w:w="7620" w:type="dxa"/>
          </w:tcPr>
          <w:p>
            <w:pPr>
              <w:pStyle w:val="Compact"/>
            </w:pPr>
            <w:r>
              <w:rPr>
                <w:b/>
                <w:color w:val="FFFFFF"/>
                <w:sz w:val="18"/>
              </w:rPr>
              <w:t xml:space="preserve">Components</w:t>
            </w:r>
          </w:p>
        </w:tc>
      </w:tr>
      <w:tr>
        <w:trPr>
          <w:cantSplit/>
        </w:trPr>
        <w:tc>
          <w:tcPr>
            <w:tcW w:w="1455"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62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455"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62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455"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62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455"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62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455"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62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Caption"/>
        <w:spacing w:before="120"/>
      </w:pPr>
      <w:r>
        <w:rPr>
          <w:i/>
          <w:iCs/>
        </w:rPr>
        <w:t xml:space="preserve">Figure 5.3 — Technology pillar implementation matrix. Sources: HTR Advisory; Vermont RHT Program (2025); CMS interoperability rule.</w:t>
      </w:r>
    </w:p>
    <w:p>
      <w:pPr>
        <w:pStyle w:val="Heading2"/>
        <w:pBdr>
          <w:top w:val="single" w:sz="6" w:space="10" w:color="C9D2DF"/>
        </w:pBdr>
        <w:keepNext w:val="false"/>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Figure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0"/>
        <w:gridCol w:w="2445"/>
        <w:gridCol w:w="2010"/>
        <w:gridCol w:w="3495"/>
      </w:tblGrid>
      <w:tr>
        <w:trPr>
          <w:tblHeader w:val="on"/>
          <w:cantSplit/>
        </w:trPr>
        <w:tc>
          <w:tcPr>
            <w:shd w:val="clear" w:color="auto" w:fill="1B3A6B"/>
            <w:tcW w:w="1110" w:type="dxa"/>
          </w:tcPr>
          <w:p>
            <w:pPr>
              <w:pStyle w:val="Compact"/>
              <w:jc w:val="left"/>
            </w:pPr>
            <w:r>
              <w:rPr>
                <w:b/>
                <w:color w:val="FFFFFF"/>
                <w:sz w:val="18"/>
              </w:rPr>
              <w:t xml:space="preserve">State / Program</w:t>
            </w:r>
          </w:p>
        </w:tc>
        <w:tc>
          <w:tcPr>
            <w:shd w:val="clear" w:color="auto" w:fill="1B3A6B"/>
            <w:tcW w:w="2445" w:type="dxa"/>
          </w:tcPr>
          <w:p>
            <w:pPr>
              <w:pStyle w:val="Compact"/>
              <w:jc w:val="left"/>
            </w:pPr>
            <w:r>
              <w:rPr>
                <w:b/>
                <w:color w:val="FFFFFF"/>
                <w:sz w:val="18"/>
              </w:rPr>
              <w:t xml:space="preserve">Design</w:t>
            </w:r>
          </w:p>
        </w:tc>
        <w:tc>
          <w:tcPr>
            <w:shd w:val="clear" w:color="auto" w:fill="1B3A6B"/>
            <w:tcW w:w="2010" w:type="dxa"/>
          </w:tcPr>
          <w:p>
            <w:pPr>
              <w:pStyle w:val="Compact"/>
              <w:jc w:val="left"/>
            </w:pPr>
            <w:r>
              <w:rPr>
                <w:b/>
                <w:color w:val="FFFFFF"/>
                <w:sz w:val="18"/>
              </w:rPr>
              <w:t xml:space="preserve">Scope</w:t>
            </w:r>
          </w:p>
        </w:tc>
        <w:tc>
          <w:tcPr>
            <w:shd w:val="clear" w:color="auto" w:fill="1B3A6B"/>
            <w:tcW w:w="3495" w:type="dxa"/>
          </w:tcPr>
          <w:p>
            <w:pPr>
              <w:pStyle w:val="Compact"/>
              <w:jc w:val="left"/>
            </w:pPr>
            <w:r>
              <w:rPr>
                <w:b/>
                <w:color w:val="FFFFFF"/>
                <w:sz w:val="18"/>
              </w:rPr>
              <w:t xml:space="preserve">Key Results</w:t>
            </w:r>
          </w:p>
        </w:tc>
      </w:tr>
      <w:tr>
        <w:trPr>
          <w:cantSplit/>
        </w:trPr>
        <w:tc>
          <w:tcPr>
            <w:tcW w:w="1110" w:type="dxa"/>
          </w:tcPr>
          <w:p>
            <w:pPr>
              <w:pStyle w:val="Compact"/>
              <w:jc w:val="left"/>
            </w:pPr>
            <w:r>
              <w:rPr>
                <w:sz w:val="18"/>
              </w:rPr>
              <w:t xml:space="preserve">Oregon (2019)</w:t>
            </w:r>
          </w:p>
        </w:tc>
        <w:tc>
          <w:tcPr>
            <w:tcW w:w="2445" w:type="dxa"/>
          </w:tcPr>
          <w:p>
            <w:pPr>
              <w:pStyle w:val="Compact"/>
              <w:jc w:val="left"/>
            </w:pPr>
            <w:r>
              <w:rPr>
                <w:sz w:val="18"/>
              </w:rPr>
              <w:t xml:space="preserve">200% of Medicare in-network; 185% out-of-network. CAH exemptions.</w:t>
            </w:r>
          </w:p>
        </w:tc>
        <w:tc>
          <w:tcPr>
            <w:tcW w:w="2010" w:type="dxa"/>
          </w:tcPr>
          <w:p>
            <w:pPr>
              <w:pStyle w:val="Compact"/>
              <w:jc w:val="left"/>
            </w:pPr>
            <w:r>
              <w:rPr>
                <w:sz w:val="18"/>
              </w:rPr>
              <w:t xml:space="preserve">State employee plan (~300,000 covered lives)</w:t>
            </w:r>
          </w:p>
        </w:tc>
        <w:tc>
          <w:tcPr>
            <w:tcW w:w="3495" w:type="dxa"/>
          </w:tcPr>
          <w:p>
            <w:pPr>
              <w:pStyle w:val="Compact"/>
              <w:jc w:val="left"/>
            </w:pPr>
            <w:r>
              <w:rPr>
                <w:sz w:val="18"/>
              </w:rPr>
              <w:t xml:space="preserve">$107.5M saved in first 27 months (Health Affairs). All 24 affected hospitals remained in-network. No documented access harm.</w:t>
            </w:r>
          </w:p>
        </w:tc>
      </w:tr>
      <w:tr>
        <w:trPr/>
        <w:tc>
          <w:tcPr>
            <w:tcW w:w="1110" w:type="dxa"/>
          </w:tcPr>
          <w:p>
            <w:pPr>
              <w:pStyle w:val="Compact"/>
              <w:jc w:val="left"/>
            </w:pPr>
            <w:r>
              <w:rPr>
                <w:sz w:val="18"/>
              </w:rPr>
              <w:t xml:space="preserve">Montana (2016)</w:t>
            </w:r>
          </w:p>
        </w:tc>
        <w:tc>
          <w:tcPr>
            <w:tcW w:w="2445" w:type="dxa"/>
          </w:tcPr>
          <w:p>
            <w:pPr>
              <w:pStyle w:val="Compact"/>
              <w:jc w:val="left"/>
            </w:pPr>
            <w:r>
              <w:rPr>
                <w:sz w:val="18"/>
              </w:rPr>
              <w:t xml:space="preserve">Direct contracting at % of Medicare for state employee plan.</w:t>
            </w:r>
          </w:p>
        </w:tc>
        <w:tc>
          <w:tcPr>
            <w:tcW w:w="2010" w:type="dxa"/>
          </w:tcPr>
          <w:p>
            <w:pPr>
              <w:pStyle w:val="Compact"/>
              <w:jc w:val="left"/>
            </w:pPr>
            <w:r>
              <w:rPr>
                <w:sz w:val="18"/>
              </w:rPr>
              <w:t xml:space="preserve">State employee plan</w:t>
            </w:r>
          </w:p>
        </w:tc>
        <w:tc>
          <w:tcPr>
            <w:tcW w:w="3495"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0" w:type="dxa"/>
          </w:tcPr>
          <w:p>
            <w:pPr>
              <w:pStyle w:val="Compact"/>
              <w:jc w:val="left"/>
            </w:pPr>
            <w:r>
              <w:rPr>
                <w:sz w:val="18"/>
              </w:rPr>
              <w:t xml:space="preserve">Washington (2021)</w:t>
            </w:r>
          </w:p>
        </w:tc>
        <w:tc>
          <w:tcPr>
            <w:tcW w:w="2445"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010" w:type="dxa"/>
          </w:tcPr>
          <w:p>
            <w:pPr>
              <w:pStyle w:val="Compact"/>
              <w:jc w:val="left"/>
            </w:pPr>
            <w:r>
              <w:rPr>
                <w:sz w:val="18"/>
              </w:rPr>
              <w:t xml:space="preserve">Voluntary public option</w:t>
            </w:r>
          </w:p>
        </w:tc>
        <w:tc>
          <w:tcPr>
            <w:tcW w:w="3495" w:type="dxa"/>
          </w:tcPr>
          <w:p>
            <w:pPr>
              <w:pStyle w:val="Compact"/>
              <w:jc w:val="left"/>
            </w:pPr>
            <w:r>
              <w:rPr>
                <w:sz w:val="18"/>
              </w:rPr>
              <w:t xml:space="preserve">Expanding to state employee plans. Growing commercial adoption.</w:t>
            </w:r>
          </w:p>
        </w:tc>
      </w:tr>
      <w:tr>
        <w:trPr/>
        <w:tc>
          <w:tcPr>
            <w:tcW w:w="1110" w:type="dxa"/>
          </w:tcPr>
          <w:p>
            <w:pPr>
              <w:pStyle w:val="Compact"/>
              <w:jc w:val="left"/>
            </w:pPr>
            <w:r>
              <w:rPr>
                <w:sz w:val="18"/>
              </w:rPr>
              <w:t xml:space="preserve">Maryland (2014–present)</w:t>
            </w:r>
          </w:p>
        </w:tc>
        <w:tc>
          <w:tcPr>
            <w:tcW w:w="2445" w:type="dxa"/>
          </w:tcPr>
          <w:p>
            <w:pPr>
              <w:pStyle w:val="Compact"/>
              <w:jc w:val="left"/>
            </w:pPr>
            <w:r>
              <w:rPr>
                <w:sz w:val="18"/>
              </w:rPr>
              <w:t xml:space="preserve">All-payer rate setting; hospitals receive fixed annual revenue (global budget). Medicare waiver.</w:t>
            </w:r>
          </w:p>
        </w:tc>
        <w:tc>
          <w:tcPr>
            <w:tcW w:w="2010" w:type="dxa"/>
          </w:tcPr>
          <w:p>
            <w:pPr>
              <w:pStyle w:val="Compact"/>
              <w:jc w:val="left"/>
            </w:pPr>
            <w:r>
              <w:rPr>
                <w:sz w:val="18"/>
              </w:rPr>
              <w:t xml:space="preserve">All payers, all hospitals statewide</w:t>
            </w:r>
          </w:p>
        </w:tc>
        <w:tc>
          <w:tcPr>
            <w:tcW w:w="3495"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0" w:type="dxa"/>
          </w:tcPr>
          <w:p>
            <w:pPr>
              <w:pStyle w:val="Compact"/>
              <w:jc w:val="left"/>
            </w:pPr>
            <w:r>
              <w:rPr>
                <w:sz w:val="18"/>
              </w:rPr>
              <w:t xml:space="preserve">Vermont Act 68 (FY2027)</w:t>
            </w:r>
          </w:p>
        </w:tc>
        <w:tc>
          <w:tcPr>
            <w:tcW w:w="2445" w:type="dxa"/>
          </w:tcPr>
          <w:p>
            <w:pPr>
              <w:pStyle w:val="Compact"/>
              <w:jc w:val="left"/>
            </w:pPr>
            <w:r>
              <w:rPr>
                <w:sz w:val="18"/>
              </w:rPr>
              <w:t xml:space="preserve">Mandatory statewide RBP maximum set by GMCB rule. Initially commercial payers; excludes Medicare/Medicaid.</w:t>
            </w:r>
          </w:p>
        </w:tc>
        <w:tc>
          <w:tcPr>
            <w:tcW w:w="2010" w:type="dxa"/>
          </w:tcPr>
          <w:p>
            <w:pPr>
              <w:pStyle w:val="Compact"/>
              <w:jc w:val="left"/>
            </w:pPr>
            <w:r>
              <w:rPr>
                <w:sz w:val="18"/>
              </w:rPr>
              <w:t xml:space="preserve">All Vermont hospitals, all commercial payers</w:t>
            </w:r>
          </w:p>
        </w:tc>
        <w:tc>
          <w:tcPr>
            <w:tcW w:w="3495"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Figure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1260"/>
        <w:gridCol w:w="2340"/>
        <w:gridCol w:w="2790"/>
        <w:gridCol w:w="2700"/>
      </w:tblGrid>
      <w:tr>
        <w:trPr>
          <w:tblHeader w:val="on"/>
          <w:cantSplit/>
        </w:trPr>
        <w:tc>
          <w:tcPr>
            <w:shd w:val="clear" w:color="auto" w:fill="1B3A6B"/>
            <w:tcW w:w="1260" w:type="dxa"/>
          </w:tcPr>
          <w:p>
            <w:pPr>
              <w:pStyle w:val="Compact"/>
              <w:jc w:val="left"/>
            </w:pPr>
            <w:r>
              <w:rPr>
                <w:b/>
                <w:color w:val="FFFFFF"/>
                <w:sz w:val="18"/>
              </w:rPr>
              <w:t xml:space="preserve">Design dimension</w:t>
            </w:r>
          </w:p>
        </w:tc>
        <w:tc>
          <w:tcPr>
            <w:shd w:val="clear" w:color="auto" w:fill="1B3A6B"/>
            <w:tcW w:w="2340" w:type="dxa"/>
          </w:tcPr>
          <w:p>
            <w:pPr>
              <w:pStyle w:val="Compact"/>
              <w:jc w:val="left"/>
            </w:pPr>
            <w:r>
              <w:rPr>
                <w:b/>
                <w:color w:val="FFFFFF"/>
                <w:sz w:val="18"/>
              </w:rPr>
              <w:t xml:space="preserve">The choice</w:t>
            </w:r>
          </w:p>
        </w:tc>
        <w:tc>
          <w:tcPr>
            <w:shd w:val="clear" w:color="auto" w:fill="1B3A6B"/>
            <w:tcW w:w="2790" w:type="dxa"/>
          </w:tcPr>
          <w:p>
            <w:pPr>
              <w:pStyle w:val="Compact"/>
              <w:jc w:val="left"/>
            </w:pPr>
            <w:r>
              <w:rPr>
                <w:b/>
                <w:color w:val="FFFFFF"/>
                <w:sz w:val="18"/>
              </w:rPr>
              <w:t xml:space="preserve">Key tradeoff</w:t>
            </w:r>
          </w:p>
        </w:tc>
        <w:tc>
          <w:tcPr>
            <w:shd w:val="clear" w:color="auto" w:fill="1B3A6B"/>
            <w:tcW w:w="2700" w:type="dxa"/>
          </w:tcPr>
          <w:p>
            <w:pPr>
              <w:pStyle w:val="Compact"/>
              <w:jc w:val="left"/>
            </w:pPr>
            <w:r>
              <w:rPr>
                <w:b/>
                <w:color w:val="FFFFFF"/>
                <w:sz w:val="18"/>
              </w:rPr>
              <w:t xml:space="preserve">Vermont’s current direction</w:t>
            </w:r>
          </w:p>
        </w:tc>
      </w:tr>
      <w:tr>
        <w:trPr>
          <w:cantSplit/>
        </w:trPr>
        <w:tc>
          <w:tcPr>
            <w:tcW w:w="1260" w:type="dxa"/>
          </w:tcPr>
          <w:p>
            <w:pPr>
              <w:pStyle w:val="Compact"/>
              <w:jc w:val="left"/>
            </w:pPr>
            <w:r>
              <w:rPr>
                <w:sz w:val="18"/>
              </w:rPr>
              <w:t xml:space="preserve">Scope</w:t>
            </w:r>
          </w:p>
        </w:tc>
        <w:tc>
          <w:tcPr>
            <w:tcW w:w="2340" w:type="dxa"/>
          </w:tcPr>
          <w:p>
            <w:pPr>
              <w:pStyle w:val="Compact"/>
              <w:jc w:val="left"/>
            </w:pPr>
            <w:r>
              <w:rPr>
                <w:sz w:val="18"/>
              </w:rPr>
              <w:t xml:space="preserve">Which services are inside vs. outside the budget? (Capital, high-cost drugs, outpatient, physician services?)</w:t>
            </w:r>
          </w:p>
        </w:tc>
        <w:tc>
          <w:tcPr>
            <w:tcW w:w="2790" w:type="dxa"/>
          </w:tcPr>
          <w:p>
            <w:pPr>
              <w:pStyle w:val="Compact"/>
              <w:jc w:val="left"/>
            </w:pPr>
            <w:r>
              <w:rPr>
                <w:sz w:val="18"/>
              </w:rPr>
              <w:t xml:space="preserve">Broader scope = more comprehensive cost control. Narrower scope = simpler to administer but leaves cost-shifting opportunities.</w:t>
            </w:r>
          </w:p>
        </w:tc>
        <w:tc>
          <w:tcPr>
            <w:tcW w:w="2700"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1260" w:type="dxa"/>
          </w:tcPr>
          <w:p>
            <w:pPr>
              <w:pStyle w:val="Compact"/>
              <w:jc w:val="left"/>
            </w:pPr>
            <w:r>
              <w:rPr>
                <w:sz w:val="18"/>
              </w:rPr>
              <w:t xml:space="preserve">Population adjustment</w:t>
            </w:r>
          </w:p>
        </w:tc>
        <w:tc>
          <w:tcPr>
            <w:tcW w:w="2340" w:type="dxa"/>
          </w:tcPr>
          <w:p>
            <w:pPr>
              <w:pStyle w:val="Compact"/>
              <w:jc w:val="left"/>
            </w:pPr>
            <w:r>
              <w:rPr>
                <w:sz w:val="18"/>
              </w:rPr>
              <w:t xml:space="preserve">How does the budget account for patient demographics, complexity, and socioeconomic factors?</w:t>
            </w:r>
          </w:p>
        </w:tc>
        <w:tc>
          <w:tcPr>
            <w:tcW w:w="2790" w:type="dxa"/>
          </w:tcPr>
          <w:p>
            <w:pPr>
              <w:pStyle w:val="Compact"/>
              <w:jc w:val="left"/>
            </w:pPr>
            <w:r>
              <w:rPr>
                <w:sz w:val="18"/>
              </w:rPr>
              <w:t xml:space="preserve">No adjustment rewards hospitals serving healthier populations. Over-adjustment reduces cost-control incentives.</w:t>
            </w:r>
          </w:p>
        </w:tc>
        <w:tc>
          <w:tcPr>
            <w:tcW w:w="2700" w:type="dxa"/>
          </w:tcPr>
          <w:p>
            <w:pPr>
              <w:pStyle w:val="Compact"/>
              <w:jc w:val="left"/>
            </w:pPr>
            <w:r>
              <w:rPr>
                <w:sz w:val="18"/>
              </w:rPr>
              <w:t xml:space="preserve">GMCB considering payer mix, labor costs, social risk factors for each hospital. Critical for Vermont’s CAHs vs. UVMMC.</w:t>
            </w:r>
          </w:p>
        </w:tc>
      </w:tr>
      <w:tr>
        <w:trPr/>
        <w:tc>
          <w:tcPr>
            <w:tcW w:w="1260" w:type="dxa"/>
          </w:tcPr>
          <w:p>
            <w:pPr>
              <w:pStyle w:val="Compact"/>
              <w:jc w:val="left"/>
            </w:pPr>
            <w:r>
              <w:rPr>
                <w:sz w:val="18"/>
              </w:rPr>
              <w:t xml:space="preserve">Volume treatment</w:t>
            </w:r>
          </w:p>
        </w:tc>
        <w:tc>
          <w:tcPr>
            <w:tcW w:w="2340" w:type="dxa"/>
          </w:tcPr>
          <w:p>
            <w:pPr>
              <w:pStyle w:val="Compact"/>
              <w:jc w:val="left"/>
            </w:pPr>
            <w:r>
              <w:rPr>
                <w:sz w:val="18"/>
              </w:rPr>
              <w:t xml:space="preserve">Does the budget adjust if patient volume changes significantly?</w:t>
            </w:r>
          </w:p>
        </w:tc>
        <w:tc>
          <w:tcPr>
            <w:tcW w:w="2790" w:type="dxa"/>
          </w:tcPr>
          <w:p>
            <w:pPr>
              <w:pStyle w:val="Compact"/>
              <w:jc w:val="left"/>
            </w:pPr>
            <w:r>
              <w:rPr>
                <w:sz w:val="18"/>
              </w:rPr>
              <w:t xml:space="preserve">Fixed budget = maximum cost-control incentive. Volume-adjusted budget = lower risk for hospitals, less population health incentive.</w:t>
            </w:r>
          </w:p>
        </w:tc>
        <w:tc>
          <w:tcPr>
            <w:tcW w:w="2700" w:type="dxa"/>
          </w:tcPr>
          <w:p>
            <w:pPr>
              <w:pStyle w:val="Compact"/>
              <w:jc w:val="left"/>
            </w:pPr>
            <w:r>
              <w:rPr>
                <w:sz w:val="18"/>
              </w:rPr>
              <w:t xml:space="preserve">Maryland preserved revenue initially when volume decreased to ease transition. Vermont likely to adopt similar glide path.</w:t>
            </w:r>
          </w:p>
        </w:tc>
      </w:tr>
      <w:tr>
        <w:trPr/>
        <w:tc>
          <w:tcPr>
            <w:tcW w:w="1260" w:type="dxa"/>
          </w:tcPr>
          <w:p>
            <w:pPr>
              <w:pStyle w:val="Compact"/>
              <w:jc w:val="left"/>
            </w:pPr>
            <w:r>
              <w:rPr>
                <w:sz w:val="18"/>
              </w:rPr>
              <w:t xml:space="preserve">Quality linkage</w:t>
            </w:r>
          </w:p>
        </w:tc>
        <w:tc>
          <w:tcPr>
            <w:tcW w:w="2340" w:type="dxa"/>
          </w:tcPr>
          <w:p>
            <w:pPr>
              <w:pStyle w:val="Compact"/>
              <w:jc w:val="left"/>
            </w:pPr>
            <w:r>
              <w:rPr>
                <w:sz w:val="18"/>
              </w:rPr>
              <w:t xml:space="preserve">How are quality metrics integrated — penalty, incentive, or both?</w:t>
            </w:r>
          </w:p>
        </w:tc>
        <w:tc>
          <w:tcPr>
            <w:tcW w:w="2790" w:type="dxa"/>
          </w:tcPr>
          <w:p>
            <w:pPr>
              <w:pStyle w:val="Compact"/>
              <w:jc w:val="left"/>
            </w:pPr>
            <w:r>
              <w:rPr>
                <w:sz w:val="18"/>
              </w:rPr>
              <w:t xml:space="preserve">Too small a linkage = no behavioral change. Too large = financial instability for hospitals still improving.</w:t>
            </w:r>
          </w:p>
        </w:tc>
        <w:tc>
          <w:tcPr>
            <w:tcW w:w="2700" w:type="dxa"/>
          </w:tcPr>
          <w:p>
            <w:pPr>
              <w:pStyle w:val="Compact"/>
              <w:jc w:val="left"/>
            </w:pPr>
            <w:r>
              <w:rPr>
                <w:sz w:val="18"/>
              </w:rPr>
              <w:t xml:space="preserve">Act 68 requires standardized accountability metrics. GMCB quality programs (readmissions, HACs) will be embedded.</w:t>
            </w:r>
          </w:p>
        </w:tc>
      </w:tr>
      <w:tr>
        <w:trPr>
          <w:cantSplit/>
        </w:trPr>
        <w:tc>
          <w:tcPr>
            <w:tcW w:w="1260" w:type="dxa"/>
          </w:tcPr>
          <w:p>
            <w:pPr>
              <w:pStyle w:val="Compact"/>
              <w:jc w:val="left"/>
            </w:pPr>
            <w:r>
              <w:rPr>
                <w:sz w:val="18"/>
              </w:rPr>
              <w:t xml:space="preserve">Flexibility mechanisms</w:t>
            </w:r>
          </w:p>
        </w:tc>
        <w:tc>
          <w:tcPr>
            <w:tcW w:w="2340" w:type="dxa"/>
          </w:tcPr>
          <w:p>
            <w:pPr>
              <w:pStyle w:val="Compact"/>
              <w:jc w:val="left"/>
            </w:pPr>
            <w:r>
              <w:rPr>
                <w:sz w:val="18"/>
              </w:rPr>
              <w:t xml:space="preserve">Provisions for mid-year adjustments, carryover of savings, risk corridors?</w:t>
            </w:r>
          </w:p>
        </w:tc>
        <w:tc>
          <w:tcPr>
            <w:tcW w:w="2790" w:type="dxa"/>
          </w:tcPr>
          <w:p>
            <w:pPr>
              <w:pStyle w:val="Compact"/>
              <w:jc w:val="left"/>
            </w:pPr>
            <w:r>
              <w:rPr>
                <w:sz w:val="18"/>
              </w:rPr>
              <w:t xml:space="preserve">More flexibility = lower hospital risk, easier adoption. Less flexibility = stronger cost-control signal.</w:t>
            </w:r>
          </w:p>
        </w:tc>
        <w:tc>
          <w:tcPr>
            <w:tcW w:w="2700"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Figure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560"/>
        <w:gridCol w:w="1185"/>
        <w:gridCol w:w="2835"/>
        <w:gridCol w:w="3495"/>
      </w:tblGrid>
      <w:tr>
        <w:trPr>
          <w:tblHeader w:val="on"/>
          <w:cantSplit/>
        </w:trPr>
        <w:tc>
          <w:tcPr>
            <w:shd w:val="clear" w:color="auto" w:fill="1B3A6B"/>
            <w:tcW w:w="1560" w:type="dxa"/>
          </w:tcPr>
          <w:p>
            <w:pPr>
              <w:pStyle w:val="Compact"/>
              <w:jc w:val="left"/>
            </w:pPr>
            <w:r>
              <w:rPr>
                <w:b/>
                <w:color w:val="FFFFFF"/>
                <w:sz w:val="18"/>
              </w:rPr>
              <w:t xml:space="preserve">Approach</w:t>
            </w:r>
          </w:p>
        </w:tc>
        <w:tc>
          <w:tcPr>
            <w:shd w:val="clear" w:color="auto" w:fill="1B3A6B"/>
            <w:tcW w:w="1185" w:type="dxa"/>
          </w:tcPr>
          <w:p>
            <w:pPr>
              <w:pStyle w:val="Compact"/>
              <w:jc w:val="left"/>
            </w:pPr>
            <w:r>
              <w:rPr>
                <w:b/>
                <w:color w:val="FFFFFF"/>
                <w:sz w:val="18"/>
              </w:rPr>
              <w:t xml:space="preserve">Year(s)</w:t>
            </w:r>
          </w:p>
        </w:tc>
        <w:tc>
          <w:tcPr>
            <w:shd w:val="clear" w:color="auto" w:fill="1B3A6B"/>
            <w:tcW w:w="2835" w:type="dxa"/>
          </w:tcPr>
          <w:p>
            <w:pPr>
              <w:pStyle w:val="Compact"/>
              <w:jc w:val="left"/>
            </w:pPr>
            <w:r>
              <w:rPr>
                <w:b/>
                <w:color w:val="FFFFFF"/>
                <w:sz w:val="18"/>
              </w:rPr>
              <w:t xml:space="preserve">Structure</w:t>
            </w:r>
          </w:p>
        </w:tc>
        <w:tc>
          <w:tcPr>
            <w:shd w:val="clear" w:color="auto" w:fill="1B3A6B"/>
            <w:tcW w:w="3495" w:type="dxa"/>
          </w:tcPr>
          <w:p>
            <w:pPr>
              <w:pStyle w:val="Compact"/>
              <w:jc w:val="left"/>
            </w:pPr>
            <w:r>
              <w:rPr>
                <w:b/>
                <w:color w:val="FFFFFF"/>
                <w:sz w:val="18"/>
              </w:rPr>
              <w:t xml:space="preserve">Outcome and lesson</w:t>
            </w:r>
          </w:p>
        </w:tc>
      </w:tr>
      <w:tr>
        <w:trPr>
          <w:cantSplit/>
        </w:trPr>
        <w:tc>
          <w:tcPr>
            <w:tcW w:w="1560" w:type="dxa"/>
          </w:tcPr>
          <w:p>
            <w:pPr>
              <w:pStyle w:val="Compact"/>
              <w:jc w:val="left"/>
            </w:pPr>
            <w:r>
              <w:rPr>
                <w:sz w:val="18"/>
              </w:rPr>
              <w:t xml:space="preserve">GMCB Net Patient Revenue Cap</w:t>
            </w:r>
          </w:p>
        </w:tc>
        <w:tc>
          <w:tcPr>
            <w:tcW w:w="1185" w:type="dxa"/>
          </w:tcPr>
          <w:p>
            <w:pPr>
              <w:pStyle w:val="Compact"/>
              <w:jc w:val="left"/>
            </w:pPr>
            <w:r>
              <w:rPr>
                <w:sz w:val="18"/>
              </w:rPr>
              <w:t xml:space="preserve">2012–present</w:t>
            </w:r>
          </w:p>
        </w:tc>
        <w:tc>
          <w:tcPr>
            <w:tcW w:w="2835" w:type="dxa"/>
          </w:tcPr>
          <w:p>
            <w:pPr>
              <w:pStyle w:val="Compact"/>
              <w:jc w:val="left"/>
            </w:pPr>
            <w:r>
              <w:rPr>
                <w:sz w:val="18"/>
              </w:rPr>
              <w:t xml:space="preserve">Regulatory cap on net patient revenue each hospital may receive</w:t>
            </w:r>
          </w:p>
        </w:tc>
        <w:tc>
          <w:tcPr>
            <w:tcW w:w="3495"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560" w:type="dxa"/>
          </w:tcPr>
          <w:p>
            <w:pPr>
              <w:pStyle w:val="Compact"/>
              <w:jc w:val="left"/>
            </w:pPr>
            <w:r>
              <w:rPr>
                <w:sz w:val="18"/>
              </w:rPr>
              <w:t xml:space="preserve">Rutland Regional Medical Center Pilot</w:t>
            </w:r>
          </w:p>
        </w:tc>
        <w:tc>
          <w:tcPr>
            <w:tcW w:w="1185" w:type="dxa"/>
          </w:tcPr>
          <w:p>
            <w:pPr>
              <w:pStyle w:val="Compact"/>
              <w:jc w:val="left"/>
            </w:pPr>
            <w:r>
              <w:rPr>
                <w:sz w:val="18"/>
              </w:rPr>
              <w:t xml:space="preserve">2014 (proposed)</w:t>
            </w:r>
          </w:p>
        </w:tc>
        <w:tc>
          <w:tcPr>
            <w:tcW w:w="2835" w:type="dxa"/>
          </w:tcPr>
          <w:p>
            <w:pPr>
              <w:pStyle w:val="Compact"/>
              <w:jc w:val="left"/>
            </w:pPr>
            <w:r>
              <w:rPr>
                <w:sz w:val="18"/>
              </w:rPr>
              <w:t xml:space="preserve">Hospital payments based on historical revenue plus inflation, adjusted for demographics</w:t>
            </w:r>
          </w:p>
        </w:tc>
        <w:tc>
          <w:tcPr>
            <w:tcW w:w="3495"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560" w:type="dxa"/>
          </w:tcPr>
          <w:p>
            <w:pPr>
              <w:pStyle w:val="Compact"/>
              <w:jc w:val="left"/>
            </w:pPr>
            <w:r>
              <w:rPr>
                <w:sz w:val="18"/>
              </w:rPr>
              <w:t xml:space="preserve">Vermont All-Payer ACO Model</w:t>
            </w:r>
          </w:p>
        </w:tc>
        <w:tc>
          <w:tcPr>
            <w:tcW w:w="1185" w:type="dxa"/>
          </w:tcPr>
          <w:p>
            <w:pPr>
              <w:pStyle w:val="Compact"/>
              <w:jc w:val="left"/>
            </w:pPr>
            <w:r>
              <w:rPr>
                <w:sz w:val="18"/>
              </w:rPr>
              <w:t xml:space="preserve">2017–2025</w:t>
            </w:r>
          </w:p>
        </w:tc>
        <w:tc>
          <w:tcPr>
            <w:tcW w:w="2835"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495"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560" w:type="dxa"/>
          </w:tcPr>
          <w:p>
            <w:pPr>
              <w:pStyle w:val="Compact"/>
              <w:jc w:val="left"/>
            </w:pPr>
            <w:r>
              <w:rPr>
                <w:sz w:val="18"/>
              </w:rPr>
              <w:t xml:space="preserve">Act 167 / Act 68 Mandate</w:t>
            </w:r>
          </w:p>
        </w:tc>
        <w:tc>
          <w:tcPr>
            <w:tcW w:w="1185" w:type="dxa"/>
          </w:tcPr>
          <w:p>
            <w:pPr>
              <w:pStyle w:val="Compact"/>
              <w:jc w:val="left"/>
            </w:pPr>
            <w:r>
              <w:rPr>
                <w:sz w:val="18"/>
              </w:rPr>
              <w:t xml:space="preserve">2022–present</w:t>
            </w:r>
          </w:p>
        </w:tc>
        <w:tc>
          <w:tcPr>
            <w:tcW w:w="2835" w:type="dxa"/>
          </w:tcPr>
          <w:p>
            <w:pPr>
              <w:pStyle w:val="Compact"/>
              <w:jc w:val="left"/>
            </w:pPr>
            <w:r>
              <w:rPr>
                <w:sz w:val="18"/>
              </w:rPr>
              <w:t xml:space="preserve">GMCB directed to design and implement mandatory global budgets: non-CAH hospitals by FY2028, all hospitals by FY2030</w:t>
            </w:r>
          </w:p>
        </w:tc>
        <w:tc>
          <w:tcPr>
            <w:tcW w:w="3495"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Figure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Figure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1680"/>
        <w:gridCol w:w="7380"/>
      </w:tblGrid>
      <w:tr>
        <w:trPr>
          <w:tblHeader w:val="on"/>
          <w:cantSplit/>
        </w:trPr>
        <w:tc>
          <w:tcPr>
            <w:shd w:val="clear" w:color="auto" w:fill="1B3A6B"/>
            <w:tcW w:w="1680" w:type="dxa"/>
          </w:tcPr>
          <w:p>
            <w:pPr>
              <w:pStyle w:val="Compact"/>
              <w:jc w:val="left"/>
            </w:pPr>
            <w:r>
              <w:rPr>
                <w:b/>
                <w:color w:val="FFFFFF"/>
                <w:sz w:val="18"/>
              </w:rPr>
              <w:t xml:space="preserve">Scenario</w:t>
            </w:r>
          </w:p>
        </w:tc>
        <w:tc>
          <w:tcPr>
            <w:shd w:val="clear" w:color="auto" w:fill="1B3A6B"/>
            <w:tcW w:w="7380" w:type="dxa"/>
          </w:tcPr>
          <w:p>
            <w:pPr>
              <w:pStyle w:val="Compact"/>
              <w:jc w:val="left"/>
            </w:pPr>
            <w:r>
              <w:rPr>
                <w:b/>
                <w:color w:val="FFFFFF"/>
                <w:sz w:val="18"/>
              </w:rPr>
              <w:t xml:space="preserve">Assumptions and 5-year system deficit</w:t>
            </w:r>
          </w:p>
        </w:tc>
      </w:tr>
      <w:tr>
        <w:trPr/>
        <w:tc>
          <w:tcPr>
            <w:tcW w:w="1680" w:type="dxa"/>
          </w:tcPr>
          <w:p>
            <w:pPr>
              <w:pStyle w:val="Compact"/>
              <w:jc w:val="left"/>
            </w:pPr>
            <w:r>
              <w:rPr>
                <w:sz w:val="18"/>
              </w:rPr>
              <w:t xml:space="preserve">Conservative: 3.5% revenue / 5% expense growth</w:t>
            </w:r>
          </w:p>
        </w:tc>
        <w:tc>
          <w:tcPr>
            <w:tcW w:w="7380"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1680" w:type="dxa"/>
          </w:tcPr>
          <w:p>
            <w:pPr>
              <w:pStyle w:val="Compact"/>
              <w:jc w:val="left"/>
            </w:pPr>
            <w:r>
              <w:rPr>
                <w:sz w:val="18"/>
              </w:rPr>
              <w:t xml:space="preserve">Realistic: 3.5% revenue / 7-8% expense growth</w:t>
            </w:r>
          </w:p>
        </w:tc>
        <w:tc>
          <w:tcPr>
            <w:tcW w:w="7380"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2805"/>
        <w:gridCol w:w="6270"/>
      </w:tblGrid>
      <w:tr>
        <w:trPr>
          <w:tblHeader w:val="on"/>
          <w:cantSplit/>
        </w:trPr>
        <w:tc>
          <w:tcPr>
            <w:shd w:val="clear" w:color="auto" w:fill="1B3A6B"/>
            <w:tcW w:w="2805" w:type="dxa"/>
          </w:tcPr>
          <w:p>
            <w:pPr>
              <w:pStyle w:val="Compact"/>
              <w:jc w:val="left"/>
            </w:pPr>
            <w:r>
              <w:rPr>
                <w:b/>
                <w:color w:val="FFFFFF"/>
                <w:sz w:val="18"/>
              </w:rPr>
              <w:t xml:space="preserve">In a fee-for-service environment, watch:</w:t>
            </w:r>
          </w:p>
        </w:tc>
        <w:tc>
          <w:tcPr>
            <w:shd w:val="clear" w:color="auto" w:fill="1B3A6B"/>
            <w:tcW w:w="6270" w:type="dxa"/>
          </w:tcPr>
          <w:p>
            <w:pPr>
              <w:pStyle w:val="Compact"/>
              <w:jc w:val="left"/>
            </w:pPr>
            <w:r>
              <w:rPr>
                <w:b/>
                <w:color w:val="FFFFFF"/>
                <w:sz w:val="18"/>
              </w:rPr>
              <w:t xml:space="preserve">In a global budget environment, watch:</w:t>
            </w:r>
          </w:p>
        </w:tc>
      </w:tr>
      <w:tr>
        <w:trPr>
          <w:cantSplit/>
        </w:trPr>
        <w:tc>
          <w:tcPr>
            <w:tcW w:w="2805" w:type="dxa"/>
          </w:tcPr>
          <w:p>
            <w:pPr>
              <w:pStyle w:val="Compact"/>
              <w:jc w:val="left"/>
            </w:pPr>
            <w:r>
              <w:rPr>
                <w:sz w:val="18"/>
              </w:rPr>
              <w:t xml:space="preserve">Net patient revenue growth</w:t>
            </w:r>
          </w:p>
        </w:tc>
        <w:tc>
          <w:tcPr>
            <w:tcW w:w="6270" w:type="dxa"/>
          </w:tcPr>
          <w:p>
            <w:pPr>
              <w:pStyle w:val="Compact"/>
              <w:jc w:val="left"/>
            </w:pPr>
            <w:r>
              <w:rPr>
                <w:sz w:val="18"/>
              </w:rPr>
              <w:t xml:space="preserve">Per-member-per-month cost trend vs. global budget cap</w:t>
            </w:r>
          </w:p>
        </w:tc>
      </w:tr>
      <w:tr>
        <w:trPr/>
        <w:tc>
          <w:tcPr>
            <w:tcW w:w="2805" w:type="dxa"/>
          </w:tcPr>
          <w:p>
            <w:pPr>
              <w:pStyle w:val="Compact"/>
              <w:jc w:val="left"/>
            </w:pPr>
            <w:r>
              <w:rPr>
                <w:sz w:val="18"/>
              </w:rPr>
              <w:t xml:space="preserve">Volume growth (admissions, procedures, visits)</w:t>
            </w:r>
          </w:p>
        </w:tc>
        <w:tc>
          <w:tcPr>
            <w:tcW w:w="6270" w:type="dxa"/>
          </w:tcPr>
          <w:p>
            <w:pPr>
              <w:pStyle w:val="Compact"/>
              <w:jc w:val="left"/>
            </w:pPr>
            <w:r>
              <w:rPr>
                <w:sz w:val="18"/>
              </w:rPr>
              <w:t xml:space="preserve">Potentially avoidable utilization rate — every avoidable admission is a cost, not revenue</w:t>
            </w:r>
          </w:p>
        </w:tc>
      </w:tr>
      <w:tr>
        <w:trPr/>
        <w:tc>
          <w:tcPr>
            <w:tcW w:w="2805" w:type="dxa"/>
          </w:tcPr>
          <w:p>
            <w:pPr>
              <w:pStyle w:val="Compact"/>
              <w:jc w:val="left"/>
            </w:pPr>
            <w:r>
              <w:rPr>
                <w:sz w:val="18"/>
              </w:rPr>
              <w:t xml:space="preserve">Case mix index — higher acuity = more revenue</w:t>
            </w:r>
          </w:p>
        </w:tc>
        <w:tc>
          <w:tcPr>
            <w:tcW w:w="6270" w:type="dxa"/>
          </w:tcPr>
          <w:p>
            <w:pPr>
              <w:pStyle w:val="Compact"/>
              <w:jc w:val="left"/>
            </w:pPr>
            <w:r>
              <w:rPr>
                <w:sz w:val="18"/>
              </w:rPr>
              <w:t xml:space="preserve">Population health outcomes — better outcomes reduce costs</w:t>
            </w:r>
          </w:p>
        </w:tc>
      </w:tr>
      <w:tr>
        <w:trPr/>
        <w:tc>
          <w:tcPr>
            <w:tcW w:w="2805" w:type="dxa"/>
          </w:tcPr>
          <w:p>
            <w:pPr>
              <w:pStyle w:val="Compact"/>
              <w:jc w:val="left"/>
            </w:pPr>
            <w:r>
              <w:rPr>
                <w:sz w:val="18"/>
              </w:rPr>
              <w:t xml:space="preserve">Market share — capturing more patients = more revenue</w:t>
            </w:r>
          </w:p>
        </w:tc>
        <w:tc>
          <w:tcPr>
            <w:tcW w:w="6270" w:type="dxa"/>
          </w:tcPr>
          <w:p>
            <w:pPr>
              <w:pStyle w:val="Compact"/>
              <w:jc w:val="left"/>
            </w:pPr>
            <w:r>
              <w:rPr>
                <w:sz w:val="18"/>
              </w:rPr>
              <w:t xml:space="preserve">ED diversion rate — keeping patients out of the ED saves money</w:t>
            </w:r>
          </w:p>
        </w:tc>
      </w:tr>
      <w:tr>
        <w:trPr/>
        <w:tc>
          <w:tcPr>
            <w:tcW w:w="2805" w:type="dxa"/>
          </w:tcPr>
          <w:p>
            <w:pPr>
              <w:pStyle w:val="Compact"/>
              <w:jc w:val="left"/>
            </w:pPr>
            <w:r>
              <w:rPr>
                <w:sz w:val="18"/>
              </w:rPr>
              <w:t xml:space="preserve">Payer mix — more commercial = better margins</w:t>
            </w:r>
          </w:p>
        </w:tc>
        <w:tc>
          <w:tcPr>
            <w:tcW w:w="6270" w:type="dxa"/>
          </w:tcPr>
          <w:p>
            <w:pPr>
              <w:pStyle w:val="Compact"/>
              <w:jc w:val="left"/>
            </w:pPr>
            <w:r>
              <w:rPr>
                <w:sz w:val="18"/>
              </w:rPr>
              <w:t xml:space="preserve">Readmission rate — every readmission is a cost without additional revenue</w:t>
            </w:r>
          </w:p>
        </w:tc>
      </w:tr>
      <w:tr>
        <w:trPr/>
        <w:tc>
          <w:tcPr>
            <w:tcW w:w="2805" w:type="dxa"/>
          </w:tcPr>
          <w:p>
            <w:pPr>
              <w:pStyle w:val="Compact"/>
              <w:jc w:val="left"/>
            </w:pPr>
            <w:r>
              <w:rPr>
                <w:sz w:val="18"/>
              </w:rPr>
              <w:t xml:space="preserve">Discharge volume</w:t>
            </w:r>
          </w:p>
        </w:tc>
        <w:tc>
          <w:tcPr>
            <w:tcW w:w="6270" w:type="dxa"/>
          </w:tcPr>
          <w:p>
            <w:pPr>
              <w:pStyle w:val="Compact"/>
              <w:jc w:val="left"/>
            </w:pPr>
            <w:r>
              <w:rPr>
                <w:sz w:val="18"/>
              </w:rPr>
              <w:t xml:space="preserve">Days to discharge — length of stay is a cost driver, not a revenue driver</w:t>
            </w:r>
          </w:p>
        </w:tc>
      </w:tr>
      <w:tr>
        <w:trPr/>
        <w:tc>
          <w:tcPr>
            <w:tcW w:w="2805" w:type="dxa"/>
          </w:tcPr>
          <w:p>
            <w:pPr>
              <w:pStyle w:val="Compact"/>
              <w:jc w:val="left"/>
            </w:pPr>
            <w:r>
              <w:rPr>
                <w:sz w:val="18"/>
              </w:rPr>
              <w:t xml:space="preserve">Revenue cycle efficiency — maximize what each claim pays</w:t>
            </w:r>
          </w:p>
        </w:tc>
        <w:tc>
          <w:tcPr>
            <w:tcW w:w="6270" w:type="dxa"/>
          </w:tcPr>
          <w:p>
            <w:pPr>
              <w:pStyle w:val="Compact"/>
              <w:jc w:val="left"/>
            </w:pPr>
            <w:r>
              <w:rPr>
                <w:sz w:val="18"/>
              </w:rPr>
              <w:t xml:space="preserve">Total cost of care per attributed member — efficiency across the whole continuum</w:t>
            </w:r>
          </w:p>
        </w:tc>
      </w:tr>
      <w:tr>
        <w:trPr>
          <w:cantSplit/>
        </w:trPr>
        <w:tc>
          <w:tcPr>
            <w:tcW w:w="2805" w:type="dxa"/>
          </w:tcPr>
          <w:p>
            <w:pPr>
              <w:pStyle w:val="Compact"/>
              <w:jc w:val="left"/>
            </w:pPr>
            <w:r>
              <w:rPr>
                <w:sz w:val="18"/>
              </w:rPr>
              <w:t xml:space="preserve">Operating margin per inpatient day</w:t>
            </w:r>
          </w:p>
        </w:tc>
        <w:tc>
          <w:tcPr>
            <w:tcW w:w="6270"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75"/>
        <w:gridCol w:w="930"/>
        <w:gridCol w:w="2445"/>
        <w:gridCol w:w="5040"/>
      </w:tblGrid>
      <w:tr>
        <w:trPr>
          <w:tblHeader w:val="on"/>
          <w:cantSplit/>
        </w:trPr>
        <w:tc>
          <w:tcPr>
            <w:shd w:val="clear" w:color="auto" w:fill="1B3A6B"/>
            <w:tcW w:w="675" w:type="dxa"/>
          </w:tcPr>
          <w:p>
            <w:pPr>
              <w:pStyle w:val="Compact"/>
              <w:jc w:val="left"/>
            </w:pPr>
            <w:r>
              <w:rPr>
                <w:b/>
                <w:color w:val="FFFFFF"/>
                <w:sz w:val="18"/>
              </w:rPr>
              <w:t xml:space="preserve">Phase</w:t>
            </w:r>
          </w:p>
        </w:tc>
        <w:tc>
          <w:tcPr>
            <w:shd w:val="clear" w:color="auto" w:fill="1B3A6B"/>
            <w:tcW w:w="930"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Payment environment</w:t>
            </w:r>
          </w:p>
        </w:tc>
        <w:tc>
          <w:tcPr>
            <w:shd w:val="clear" w:color="auto" w:fill="1B3A6B"/>
            <w:tcW w:w="5040" w:type="dxa"/>
          </w:tcPr>
          <w:p>
            <w:pPr>
              <w:pStyle w:val="Compact"/>
              <w:jc w:val="left"/>
            </w:pPr>
            <w:r>
              <w:rPr>
                <w:b/>
                <w:color w:val="FFFFFF"/>
                <w:sz w:val="18"/>
              </w:rPr>
              <w:t xml:space="preserve">Strategic priorities</w:t>
            </w:r>
          </w:p>
        </w:tc>
      </w:tr>
      <w:tr>
        <w:trPr>
          <w:cantSplit/>
        </w:trPr>
        <w:tc>
          <w:tcPr>
            <w:tcW w:w="675" w:type="dxa"/>
          </w:tcPr>
          <w:p>
            <w:pPr>
              <w:pStyle w:val="Compact"/>
              <w:jc w:val="left"/>
            </w:pPr>
            <w:r>
              <w:rPr>
                <w:sz w:val="18"/>
              </w:rPr>
              <w:t xml:space="preserve">Preparation</w:t>
            </w:r>
          </w:p>
        </w:tc>
        <w:tc>
          <w:tcPr>
            <w:tcW w:w="930" w:type="dxa"/>
          </w:tcPr>
          <w:p>
            <w:pPr>
              <w:pStyle w:val="Compact"/>
              <w:jc w:val="left"/>
            </w:pPr>
            <w:r>
              <w:rPr>
                <w:sz w:val="18"/>
              </w:rPr>
              <w:t xml:space="preserve">Now through FY2026</w:t>
            </w:r>
          </w:p>
        </w:tc>
        <w:tc>
          <w:tcPr>
            <w:tcW w:w="2445" w:type="dxa"/>
          </w:tcPr>
          <w:p>
            <w:pPr>
              <w:pStyle w:val="Compact"/>
              <w:jc w:val="left"/>
            </w:pPr>
            <w:r>
              <w:rPr>
                <w:sz w:val="18"/>
              </w:rPr>
              <w:t xml:space="preserve">FFS with increasing budget pressure; -1% commercial rate benchmark; Act 55 drug cap in effect</w:t>
            </w:r>
          </w:p>
        </w:tc>
        <w:tc>
          <w:tcPr>
            <w:tcW w:w="5040"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75" w:type="dxa"/>
          </w:tcPr>
          <w:p>
            <w:pPr>
              <w:pStyle w:val="Compact"/>
              <w:jc w:val="left"/>
            </w:pPr>
            <w:r>
              <w:rPr>
                <w:sz w:val="18"/>
              </w:rPr>
              <w:t xml:space="preserve">Transition</w:t>
            </w:r>
          </w:p>
        </w:tc>
        <w:tc>
          <w:tcPr>
            <w:tcW w:w="930" w:type="dxa"/>
          </w:tcPr>
          <w:p>
            <w:pPr>
              <w:pStyle w:val="Compact"/>
              <w:jc w:val="left"/>
            </w:pPr>
            <w:r>
              <w:rPr>
                <w:sz w:val="18"/>
              </w:rPr>
              <w:t xml:space="preserve">FY2027</w:t>
            </w:r>
          </w:p>
        </w:tc>
        <w:tc>
          <w:tcPr>
            <w:tcW w:w="2445" w:type="dxa"/>
          </w:tcPr>
          <w:p>
            <w:pPr>
              <w:pStyle w:val="Compact"/>
              <w:jc w:val="left"/>
            </w:pPr>
            <w:r>
              <w:rPr>
                <w:sz w:val="18"/>
              </w:rPr>
              <w:t xml:space="preserve">RBP maximum rates in effect for commercial payers; AHEAD Hospital Global Budgets begin January 2028 for Medicare FFS</w:t>
            </w:r>
          </w:p>
        </w:tc>
        <w:tc>
          <w:tcPr>
            <w:tcW w:w="5040"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75" w:type="dxa"/>
          </w:tcPr>
          <w:p>
            <w:pPr>
              <w:pStyle w:val="Compact"/>
              <w:jc w:val="left"/>
            </w:pPr>
            <w:r>
              <w:rPr>
                <w:sz w:val="18"/>
              </w:rPr>
              <w:t xml:space="preserve">Operation</w:t>
            </w:r>
          </w:p>
        </w:tc>
        <w:tc>
          <w:tcPr>
            <w:tcW w:w="930" w:type="dxa"/>
          </w:tcPr>
          <w:p>
            <w:pPr>
              <w:pStyle w:val="Compact"/>
              <w:jc w:val="left"/>
            </w:pPr>
            <w:r>
              <w:rPr>
                <w:sz w:val="18"/>
              </w:rPr>
              <w:t xml:space="preserve">FY2028 and beyond</w:t>
            </w:r>
          </w:p>
        </w:tc>
        <w:tc>
          <w:tcPr>
            <w:tcW w:w="2445" w:type="dxa"/>
          </w:tcPr>
          <w:p>
            <w:pPr>
              <w:pStyle w:val="Compact"/>
              <w:jc w:val="left"/>
            </w:pPr>
            <w:r>
              <w:rPr>
                <w:sz w:val="18"/>
              </w:rPr>
              <w:t xml:space="preserve">Global hospital budgets for non-CAH hospitals; AHEAD in full operation; Statewide Strategic Plan delivered December 2028</w:t>
            </w:r>
          </w:p>
        </w:tc>
        <w:tc>
          <w:tcPr>
            <w:tcW w:w="5040"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425"/>
        <w:gridCol w:w="2085"/>
        <w:gridCol w:w="2625"/>
        <w:gridCol w:w="2955"/>
      </w:tblGrid>
      <w:tr>
        <w:trPr>
          <w:tblHeader w:val="on"/>
          <w:cantSplit/>
        </w:trPr>
        <w:tc>
          <w:tcPr>
            <w:shd w:val="clear" w:color="auto" w:fill="1B3A6B"/>
            <w:tcW w:w="1425" w:type="dxa"/>
          </w:tcPr>
          <w:p>
            <w:pPr>
              <w:pStyle w:val="Compact"/>
              <w:jc w:val="left"/>
            </w:pPr>
            <w:r>
              <w:rPr>
                <w:b/>
                <w:color w:val="FFFFFF"/>
                <w:sz w:val="18"/>
              </w:rPr>
              <w:t xml:space="preserve">Step</w:t>
            </w:r>
          </w:p>
        </w:tc>
        <w:tc>
          <w:tcPr>
            <w:shd w:val="clear" w:color="auto" w:fill="1B3A6B"/>
            <w:tcW w:w="2085" w:type="dxa"/>
          </w:tcPr>
          <w:p>
            <w:pPr>
              <w:pStyle w:val="Compact"/>
              <w:jc w:val="left"/>
            </w:pPr>
            <w:r>
              <w:rPr>
                <w:b/>
                <w:color w:val="FFFFFF"/>
                <w:sz w:val="18"/>
              </w:rPr>
              <w:t xml:space="preserve">Formula / concept</w:t>
            </w:r>
          </w:p>
        </w:tc>
        <w:tc>
          <w:tcPr>
            <w:shd w:val="clear" w:color="auto" w:fill="1B3A6B"/>
            <w:tcW w:w="2625" w:type="dxa"/>
          </w:tcPr>
          <w:p>
            <w:pPr>
              <w:pStyle w:val="Compact"/>
              <w:jc w:val="left"/>
            </w:pPr>
            <w:r>
              <w:rPr>
                <w:b/>
                <w:color w:val="FFFFFF"/>
                <w:sz w:val="18"/>
              </w:rPr>
              <w:t xml:space="preserve">Practical meaning</w:t>
            </w:r>
          </w:p>
        </w:tc>
        <w:tc>
          <w:tcPr>
            <w:shd w:val="clear" w:color="auto" w:fill="1B3A6B"/>
            <w:tcW w:w="2955" w:type="dxa"/>
          </w:tcPr>
          <w:p>
            <w:pPr>
              <w:pStyle w:val="Compact"/>
              <w:jc w:val="left"/>
            </w:pPr>
            <w:r>
              <w:rPr>
                <w:b/>
                <w:color w:val="FFFFFF"/>
                <w:sz w:val="18"/>
              </w:rPr>
              <w:t xml:space="preserve">Vermont application</w:t>
            </w:r>
          </w:p>
        </w:tc>
      </w:tr>
      <w:tr>
        <w:trPr>
          <w:cantSplit/>
        </w:trPr>
        <w:tc>
          <w:tcPr>
            <w:tcW w:w="1425" w:type="dxa"/>
          </w:tcPr>
          <w:p>
            <w:pPr>
              <w:pStyle w:val="Compact"/>
              <w:jc w:val="left"/>
            </w:pPr>
            <w:r>
              <w:rPr>
                <w:sz w:val="18"/>
              </w:rPr>
              <w:t xml:space="preserve">1. Benchmark setting</w:t>
            </w:r>
          </w:p>
        </w:tc>
        <w:tc>
          <w:tcPr>
            <w:tcW w:w="2085" w:type="dxa"/>
          </w:tcPr>
          <w:p>
            <w:pPr>
              <w:pStyle w:val="Compact"/>
              <w:jc w:val="left"/>
            </w:pPr>
            <w:r>
              <w:rPr>
                <w:sz w:val="18"/>
              </w:rPr>
              <w:t xml:space="preserve">Benchmark PMPM × attributed member months = Total benchmark spending</w:t>
            </w:r>
          </w:p>
        </w:tc>
        <w:tc>
          <w:tcPr>
            <w:tcW w:w="2625"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955"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425" w:type="dxa"/>
          </w:tcPr>
          <w:p>
            <w:pPr>
              <w:pStyle w:val="Compact"/>
              <w:jc w:val="left"/>
            </w:pPr>
            <w:r>
              <w:rPr>
                <w:sz w:val="18"/>
              </w:rPr>
              <w:t xml:space="preserve">2. Performance measurement</w:t>
            </w:r>
          </w:p>
        </w:tc>
        <w:tc>
          <w:tcPr>
            <w:tcW w:w="2085" w:type="dxa"/>
          </w:tcPr>
          <w:p>
            <w:pPr>
              <w:pStyle w:val="Compact"/>
              <w:jc w:val="left"/>
            </w:pPr>
            <w:r>
              <w:rPr>
                <w:sz w:val="18"/>
              </w:rPr>
              <w:t xml:space="preserve">Actual total cost of care for attributed population</w:t>
            </w:r>
          </w:p>
        </w:tc>
        <w:tc>
          <w:tcPr>
            <w:tcW w:w="2625"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955" w:type="dxa"/>
          </w:tcPr>
          <w:p>
            <w:pPr>
              <w:pStyle w:val="Compact"/>
              <w:jc w:val="left"/>
            </w:pPr>
            <w:r>
              <w:rPr>
                <w:sz w:val="18"/>
              </w:rPr>
              <w:t xml:space="preserve">AHEAD tracks total cost of care for Medicare FFS beneficiaries attributed to Vermont hospitals across all payer settings.</w:t>
            </w:r>
          </w:p>
        </w:tc>
      </w:tr>
      <w:tr>
        <w:trPr/>
        <w:tc>
          <w:tcPr>
            <w:tcW w:w="1425" w:type="dxa"/>
          </w:tcPr>
          <w:p>
            <w:pPr>
              <w:pStyle w:val="Compact"/>
              <w:jc w:val="left"/>
            </w:pPr>
            <w:r>
              <w:rPr>
                <w:sz w:val="18"/>
              </w:rPr>
              <w:t xml:space="preserve">3. Savings calculation</w:t>
            </w:r>
          </w:p>
        </w:tc>
        <w:tc>
          <w:tcPr>
            <w:tcW w:w="2085" w:type="dxa"/>
          </w:tcPr>
          <w:p>
            <w:pPr>
              <w:pStyle w:val="Compact"/>
              <w:jc w:val="left"/>
            </w:pPr>
            <w:r>
              <w:rPr>
                <w:sz w:val="18"/>
              </w:rPr>
              <w:t xml:space="preserve">Benchmark - Actual TCOC = Gross savings (or loss)</w:t>
            </w:r>
          </w:p>
        </w:tc>
        <w:tc>
          <w:tcPr>
            <w:tcW w:w="2625" w:type="dxa"/>
          </w:tcPr>
          <w:p>
            <w:pPr>
              <w:pStyle w:val="Compact"/>
              <w:jc w:val="left"/>
            </w:pPr>
            <w:r>
              <w:rPr>
                <w:sz w:val="18"/>
              </w:rPr>
              <w:t xml:space="preserve">If actual spending is below benchmark, gross savings exist. If above, gross loss.</w:t>
            </w:r>
          </w:p>
        </w:tc>
        <w:tc>
          <w:tcPr>
            <w:tcW w:w="2955"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425" w:type="dxa"/>
          </w:tcPr>
          <w:p>
            <w:pPr>
              <w:pStyle w:val="Compact"/>
              <w:jc w:val="left"/>
            </w:pPr>
            <w:r>
              <w:rPr>
                <w:sz w:val="18"/>
              </w:rPr>
              <w:t xml:space="preserve">4. Minimum savings rate (MSR)</w:t>
            </w:r>
          </w:p>
        </w:tc>
        <w:tc>
          <w:tcPr>
            <w:tcW w:w="2085" w:type="dxa"/>
          </w:tcPr>
          <w:p>
            <w:pPr>
              <w:pStyle w:val="Compact"/>
              <w:jc w:val="left"/>
            </w:pPr>
            <w:r>
              <w:rPr>
                <w:sz w:val="18"/>
              </w:rPr>
              <w:t xml:space="preserve">In most shared savings models, savings must exceed a minimum threshold (typically 2-3.5%) before the organization shares in them</w:t>
            </w:r>
          </w:p>
        </w:tc>
        <w:tc>
          <w:tcPr>
            <w:tcW w:w="2625" w:type="dxa"/>
          </w:tcPr>
          <w:p>
            <w:pPr>
              <w:pStyle w:val="Compact"/>
              <w:jc w:val="left"/>
            </w:pPr>
            <w:r>
              <w:rPr>
                <w:sz w:val="18"/>
              </w:rPr>
              <w:t xml:space="preserve">Protects against natural year-to-year cost variation triggering shared savings or losses that don’t reflect genuine performance changes.</w:t>
            </w:r>
          </w:p>
        </w:tc>
        <w:tc>
          <w:tcPr>
            <w:tcW w:w="2955"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425" w:type="dxa"/>
          </w:tcPr>
          <w:p>
            <w:pPr>
              <w:pStyle w:val="Compact"/>
              <w:jc w:val="left"/>
            </w:pPr>
            <w:r>
              <w:rPr>
                <w:sz w:val="18"/>
              </w:rPr>
              <w:t xml:space="preserve">5. Shared savings calculation</w:t>
            </w:r>
          </w:p>
        </w:tc>
        <w:tc>
          <w:tcPr>
            <w:tcW w:w="2085" w:type="dxa"/>
          </w:tcPr>
          <w:p>
            <w:pPr>
              <w:pStyle w:val="Compact"/>
              <w:jc w:val="left"/>
            </w:pPr>
            <w:r>
              <w:rPr>
                <w:sz w:val="18"/>
              </w:rPr>
              <w:t xml:space="preserve">Gross savings × sharing rate = Organization’s shared savings payment (or loss obligation)</w:t>
            </w:r>
          </w:p>
        </w:tc>
        <w:tc>
          <w:tcPr>
            <w:tcW w:w="2625" w:type="dxa"/>
          </w:tcPr>
          <w:p>
            <w:pPr>
              <w:pStyle w:val="Compact"/>
              <w:jc w:val="left"/>
            </w:pPr>
            <w:r>
              <w:rPr>
                <w:sz w:val="18"/>
              </w:rPr>
              <w:t xml:space="preserve">Sharing rates vary by model and risk track — typically 50-75% for one-sided models; may reach 80% for full-risk models.</w:t>
            </w:r>
          </w:p>
        </w:tc>
        <w:tc>
          <w:tcPr>
            <w:tcW w:w="2955"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$15,000</w:t>
            </w:r>
          </w:p>
          <w:p>
            <w:pPr>
              <w:jc w:val="center"/>
              <w:spacing w:after="40"/>
            </w:pPr>
            <w:r>
              <w:rPr>
                <w:rFonts w:ascii="Calibri" w:hAnsi="Calibri"/>
                <w:b/>
                <w:sz w:val="16"/>
                <w:color w:val="1B3A6B"/>
              </w:rPr>
              <w:t>Avg. Inpatient Cost Prevented</w:t>
            </w:r>
          </w:p>
        </w:tc>
        <w:tc>
          <w:tcPr>
            <w:tcW w:w="2268" w:type="dxa"/>
            <w:shd w:val="clear" w:color="auto" w:fill="E8F0FB"/>
            <w:vAlign w:val="center"/>
          </w:tcPr>
          <w:p>
            <w:pPr>
              <w:jc w:val="center"/>
              <w:spacing w:after="20" w:before="40"/>
            </w:pPr>
            <w:r>
              <w:rPr>
                <w:rFonts w:ascii="Calibri" w:hAnsi="Calibri"/>
                <w:b/>
                <w:sz w:val="16"/>
                <w:color w:val="1B3A6B"/>
              </w:rPr>
              <w:t>$1,800</w:t>
            </w:r>
          </w:p>
          <w:p>
            <w:pPr>
              <w:jc w:val="center"/>
              <w:spacing w:after="40"/>
            </w:pPr>
            <w:r>
              <w:rPr>
                <w:rFonts w:ascii="Calibri" w:hAnsi="Calibri"/>
                <w:b/>
                <w:sz w:val="16"/>
                <w:color w:val="1B3A6B"/>
              </w:rPr>
              <w:t>Avg. Preventable ED Visit</w:t>
            </w:r>
          </w:p>
        </w:tc>
        <w:tc>
          <w:tcPr>
            <w:tcW w:w="2268" w:type="dxa"/>
            <w:shd w:val="clear" w:color="auto" w:fill="E8F0FB"/>
            <w:vAlign w:val="center"/>
          </w:tcPr>
          <w:p>
            <w:pPr>
              <w:jc w:val="center"/>
              <w:spacing w:after="20" w:before="40"/>
            </w:pPr>
            <w:r>
              <w:rPr>
                <w:rFonts w:ascii="Calibri" w:hAnsi="Calibri"/>
                <w:b/>
                <w:sz w:val="16"/>
                <w:color w:val="1B3A6B"/>
              </w:rPr>
              <w:t>3–5x</w:t>
            </w:r>
          </w:p>
          <w:p>
            <w:pPr>
              <w:jc w:val="center"/>
              <w:spacing w:after="40"/>
            </w:pPr>
            <w:r>
              <w:rPr>
                <w:rFonts w:ascii="Calibri" w:hAnsi="Calibri"/>
                <w:b/>
                <w:sz w:val="16"/>
                <w:color w:val="1B3A6B"/>
              </w:rPr>
              <w:t>Care Management ROI Range</w:t>
            </w:r>
          </w:p>
        </w:tc>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VT Potentially Avoidable ED Visits</w:t>
            </w:r>
          </w:p>
        </w:tc>
      </w:tr>
    </w:tbl>
    <w:p>
      <w:pPr>
        <w:spacing w:after="120"/>
      </w:pPr>
    </w:p>
    <w:p>
      <w:pPr>
        <w:pStyle w:val="Caption"/>
      </w:pPr>
      <w:r>
        <w:rPr>
          <w:i/>
          <w:iCs/>
        </w:rPr>
        <w:t xml:space="preserve">Figure 7.2 — The economics of prevention under value-based payment. Inpatient and ED costs are approximate averages and vary by DRG and acuity; the ROI range reflects well-designed ACO care-management programs. Sources: CMS; GMCB; HTR analysis.</w:t>
      </w:r>
    </w:p>
    <w:p>
      <w:pPr>
        <w:pStyle w:val="Heading2"/>
        <w:pBdr>
          <w:top w:val="single" w:sz="6" w:space="10" w:color="C9D2DF"/>
        </w:pBdr>
        <w:keepNext w:val="false"/>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7.3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115"/>
        <w:gridCol w:w="6945"/>
      </w:tblGrid>
      <w:tr>
        <w:trPr>
          <w:tblHeader w:val="on"/>
          <w:cantSplit/>
        </w:trPr>
        <w:tc>
          <w:tcPr>
            <w:shd w:val="clear" w:color="auto" w:fill="1B3A6B"/>
            <w:tcW w:w="2115" w:type="dxa"/>
          </w:tcPr>
          <w:p>
            <w:pPr>
              <w:pStyle w:val="Compact"/>
              <w:jc w:val="left"/>
            </w:pPr>
            <w:r>
              <w:rPr>
                <w:b/>
                <w:color w:val="FFFFFF"/>
                <w:sz w:val="18"/>
              </w:rPr>
              <w:t xml:space="preserve">Contract provision category</w:t>
            </w:r>
          </w:p>
        </w:tc>
        <w:tc>
          <w:tcPr>
            <w:shd w:val="clear" w:color="auto" w:fill="1B3A6B"/>
            <w:tcW w:w="6945" w:type="dxa"/>
          </w:tcPr>
          <w:p>
            <w:pPr>
              <w:pStyle w:val="Compact"/>
              <w:jc w:val="left"/>
            </w:pPr>
            <w:r>
              <w:rPr>
                <w:b/>
                <w:color w:val="FFFFFF"/>
                <w:sz w:val="18"/>
              </w:rPr>
              <w:t xml:space="preserve">Key questions and financial risk</w:t>
            </w:r>
          </w:p>
        </w:tc>
      </w:tr>
      <w:tr>
        <w:trPr>
          <w:cantSplit/>
        </w:trPr>
        <w:tc>
          <w:tcPr>
            <w:tcW w:w="2115" w:type="dxa"/>
          </w:tcPr>
          <w:p>
            <w:pPr>
              <w:pStyle w:val="Compact"/>
              <w:jc w:val="left"/>
            </w:pPr>
            <w:r>
              <w:rPr>
                <w:sz w:val="18"/>
              </w:rPr>
              <w:t xml:space="preserve">Benchmark methodology</w:t>
            </w:r>
          </w:p>
        </w:tc>
        <w:tc>
          <w:tcPr>
            <w:tcW w:w="694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115" w:type="dxa"/>
          </w:tcPr>
          <w:p>
            <w:pPr>
              <w:pStyle w:val="Compact"/>
              <w:jc w:val="left"/>
            </w:pPr>
            <w:r>
              <w:rPr>
                <w:sz w:val="18"/>
              </w:rPr>
              <w:t xml:space="preserve">Attribution methodology</w:t>
            </w:r>
          </w:p>
        </w:tc>
        <w:tc>
          <w:tcPr>
            <w:tcW w:w="694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115" w:type="dxa"/>
          </w:tcPr>
          <w:p>
            <w:pPr>
              <w:pStyle w:val="Compact"/>
              <w:jc w:val="left"/>
            </w:pPr>
            <w:r>
              <w:rPr>
                <w:sz w:val="18"/>
              </w:rPr>
              <w:t xml:space="preserve">Quality withhold</w:t>
            </w:r>
          </w:p>
        </w:tc>
        <w:tc>
          <w:tcPr>
            <w:tcW w:w="694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115" w:type="dxa"/>
          </w:tcPr>
          <w:p>
            <w:pPr>
              <w:pStyle w:val="Compact"/>
              <w:jc w:val="left"/>
            </w:pPr>
            <w:r>
              <w:rPr>
                <w:sz w:val="18"/>
              </w:rPr>
              <w:t xml:space="preserve">Risk corridors and stop-loss</w:t>
            </w:r>
          </w:p>
        </w:tc>
        <w:tc>
          <w:tcPr>
            <w:tcW w:w="694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115" w:type="dxa"/>
          </w:tcPr>
          <w:p>
            <w:pPr>
              <w:pStyle w:val="Compact"/>
              <w:jc w:val="left"/>
            </w:pPr>
            <w:r>
              <w:rPr>
                <w:sz w:val="18"/>
              </w:rPr>
              <w:t xml:space="preserve">Carve-outs</w:t>
            </w:r>
          </w:p>
        </w:tc>
        <w:tc>
          <w:tcPr>
            <w:tcW w:w="694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115" w:type="dxa"/>
          </w:tcPr>
          <w:p>
            <w:pPr>
              <w:pStyle w:val="Compact"/>
              <w:jc w:val="left"/>
            </w:pPr>
            <w:r>
              <w:rPr>
                <w:sz w:val="18"/>
              </w:rPr>
              <w:t xml:space="preserve">Reconciliation timing</w:t>
            </w:r>
          </w:p>
        </w:tc>
        <w:tc>
          <w:tcPr>
            <w:tcW w:w="694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Figure 7.4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3930"/>
        <w:gridCol w:w="5145"/>
      </w:tblGrid>
      <w:tr>
        <w:trPr>
          <w:tblHeader w:val="on"/>
          <w:cantSplit/>
        </w:trPr>
        <w:tc>
          <w:tcPr>
            <w:shd w:val="clear" w:color="auto" w:fill="1B3A6B"/>
            <w:tcW w:w="3930" w:type="dxa"/>
          </w:tcPr>
          <w:p>
            <w:pPr>
              <w:pStyle w:val="Compact"/>
              <w:jc w:val="left"/>
            </w:pPr>
            <w:r>
              <w:rPr>
                <w:b/>
                <w:color w:val="FFFFFF"/>
                <w:sz w:val="18"/>
              </w:rPr>
              <w:t xml:space="preserve">Under FFS — optimize these metrics</w:t>
            </w:r>
          </w:p>
        </w:tc>
        <w:tc>
          <w:tcPr>
            <w:shd w:val="clear" w:color="auto" w:fill="1B3A6B"/>
            <w:tcW w:w="5145" w:type="dxa"/>
          </w:tcPr>
          <w:p>
            <w:pPr>
              <w:pStyle w:val="Compact"/>
              <w:jc w:val="left"/>
            </w:pPr>
            <w:r>
              <w:rPr>
                <w:b/>
                <w:color w:val="FFFFFF"/>
                <w:sz w:val="18"/>
              </w:rPr>
              <w:t xml:space="preserve">Under global budget — optimize these metrics</w:t>
            </w:r>
          </w:p>
        </w:tc>
      </w:tr>
      <w:tr>
        <w:trPr>
          <w:cantSplit/>
        </w:trPr>
        <w:tc>
          <w:tcPr>
            <w:tcW w:w="3930" w:type="dxa"/>
          </w:tcPr>
          <w:p>
            <w:pPr>
              <w:pStyle w:val="Compact"/>
              <w:jc w:val="left"/>
            </w:pPr>
            <w:r>
              <w:rPr>
                <w:sz w:val="18"/>
              </w:rPr>
              <w:t xml:space="preserve">Revenue per discharge — maximize reimbursement per case</w:t>
            </w:r>
          </w:p>
        </w:tc>
        <w:tc>
          <w:tcPr>
            <w:tcW w:w="5145" w:type="dxa"/>
          </w:tcPr>
          <w:p>
            <w:pPr>
              <w:pStyle w:val="Compact"/>
              <w:jc w:val="left"/>
            </w:pPr>
            <w:r>
              <w:rPr>
                <w:sz w:val="18"/>
              </w:rPr>
              <w:t xml:space="preserve">Cost per discharge — minimize unnecessary cost while maintaining quality</w:t>
            </w:r>
          </w:p>
        </w:tc>
      </w:tr>
      <w:tr>
        <w:trPr/>
        <w:tc>
          <w:tcPr>
            <w:tcW w:w="3930" w:type="dxa"/>
          </w:tcPr>
          <w:p>
            <w:pPr>
              <w:pStyle w:val="Compact"/>
              <w:jc w:val="left"/>
            </w:pPr>
            <w:r>
              <w:rPr>
                <w:sz w:val="18"/>
              </w:rPr>
              <w:t xml:space="preserve">Admission volume — more admissions = more revenue</w:t>
            </w:r>
          </w:p>
        </w:tc>
        <w:tc>
          <w:tcPr>
            <w:tcW w:w="5145" w:type="dxa"/>
          </w:tcPr>
          <w:p>
            <w:pPr>
              <w:pStyle w:val="Compact"/>
              <w:jc w:val="left"/>
            </w:pPr>
            <w:r>
              <w:rPr>
                <w:sz w:val="18"/>
              </w:rPr>
              <w:t xml:space="preserve">Avoidable admission rate — every preventable admission is a cost, not revenue</w:t>
            </w:r>
          </w:p>
        </w:tc>
      </w:tr>
      <w:tr>
        <w:trPr/>
        <w:tc>
          <w:tcPr>
            <w:tcW w:w="3930" w:type="dxa"/>
          </w:tcPr>
          <w:p>
            <w:pPr>
              <w:pStyle w:val="Compact"/>
              <w:jc w:val="left"/>
            </w:pPr>
            <w:r>
              <w:rPr>
                <w:sz w:val="18"/>
              </w:rPr>
              <w:t xml:space="preserve">Length of stay — maximize revenue per stay</w:t>
            </w:r>
          </w:p>
        </w:tc>
        <w:tc>
          <w:tcPr>
            <w:tcW w:w="5145" w:type="dxa"/>
          </w:tcPr>
          <w:p>
            <w:pPr>
              <w:pStyle w:val="Compact"/>
              <w:jc w:val="left"/>
            </w:pPr>
            <w:r>
              <w:rPr>
                <w:sz w:val="18"/>
              </w:rPr>
              <w:t xml:space="preserve">Efficient length of stay — unnecessary days are costs without revenue offset</w:t>
            </w:r>
          </w:p>
        </w:tc>
      </w:tr>
      <w:tr>
        <w:trPr/>
        <w:tc>
          <w:tcPr>
            <w:tcW w:w="3930" w:type="dxa"/>
          </w:tcPr>
          <w:p>
            <w:pPr>
              <w:pStyle w:val="Compact"/>
              <w:jc w:val="left"/>
            </w:pPr>
            <w:r>
              <w:rPr>
                <w:sz w:val="18"/>
              </w:rPr>
              <w:t xml:space="preserve">Service line volume — grow profitable service lines</w:t>
            </w:r>
          </w:p>
        </w:tc>
        <w:tc>
          <w:tcPr>
            <w:tcW w:w="5145" w:type="dxa"/>
          </w:tcPr>
          <w:p>
            <w:pPr>
              <w:pStyle w:val="Compact"/>
              <w:jc w:val="left"/>
            </w:pPr>
            <w:r>
              <w:rPr>
                <w:sz w:val="18"/>
              </w:rPr>
              <w:t xml:space="preserve">PMPM population health cost — manage population health to stay within budget</w:t>
            </w:r>
          </w:p>
        </w:tc>
      </w:tr>
      <w:tr>
        <w:trPr/>
        <w:tc>
          <w:tcPr>
            <w:tcW w:w="3930" w:type="dxa"/>
          </w:tcPr>
          <w:p>
            <w:pPr>
              <w:pStyle w:val="Compact"/>
              <w:jc w:val="left"/>
            </w:pPr>
            <w:r>
              <w:rPr>
                <w:sz w:val="18"/>
              </w:rPr>
              <w:t xml:space="preserve">Payer mix — maximize commercially insured cases</w:t>
            </w:r>
          </w:p>
        </w:tc>
        <w:tc>
          <w:tcPr>
            <w:tcW w:w="5145" w:type="dxa"/>
          </w:tcPr>
          <w:p>
            <w:pPr>
              <w:pStyle w:val="Compact"/>
              <w:jc w:val="left"/>
            </w:pPr>
            <w:r>
              <w:rPr>
                <w:sz w:val="18"/>
              </w:rPr>
              <w:t xml:space="preserve">Quality performance — quality metrics determine budget adjustments and AHEAD performance</w:t>
            </w:r>
          </w:p>
        </w:tc>
      </w:tr>
      <w:tr>
        <w:trPr/>
        <w:tc>
          <w:tcPr>
            <w:tcW w:w="3930" w:type="dxa"/>
          </w:tcPr>
          <w:p>
            <w:pPr>
              <w:pStyle w:val="Compact"/>
              <w:jc w:val="left"/>
            </w:pPr>
            <w:r>
              <w:rPr>
                <w:sz w:val="18"/>
              </w:rPr>
              <w:t xml:space="preserve">Denials management — recover denied claims</w:t>
            </w:r>
          </w:p>
        </w:tc>
        <w:tc>
          <w:tcPr>
            <w:tcW w:w="5145" w:type="dxa"/>
          </w:tcPr>
          <w:p>
            <w:pPr>
              <w:pStyle w:val="Compact"/>
              <w:jc w:val="left"/>
            </w:pPr>
            <w:r>
              <w:rPr>
                <w:sz w:val="18"/>
              </w:rPr>
              <w:t xml:space="preserve">Potentially avoidable utilization — prevent the ED visits and admissions that waste budget</w:t>
            </w:r>
          </w:p>
        </w:tc>
      </w:tr>
      <w:tr>
        <w:trPr/>
        <w:tc>
          <w:tcPr>
            <w:tcW w:w="3930" w:type="dxa"/>
          </w:tcPr>
          <w:p>
            <w:pPr>
              <w:pStyle w:val="Compact"/>
              <w:jc w:val="left"/>
            </w:pPr>
            <w:r>
              <w:rPr>
                <w:sz w:val="18"/>
              </w:rPr>
              <w:t xml:space="preserve">Case mix index — capture higher-acuity cases</w:t>
            </w:r>
          </w:p>
        </w:tc>
        <w:tc>
          <w:tcPr>
            <w:tcW w:w="5145" w:type="dxa"/>
          </w:tcPr>
          <w:p>
            <w:pPr>
              <w:pStyle w:val="Compact"/>
              <w:jc w:val="left"/>
            </w:pPr>
            <w:r>
              <w:rPr>
                <w:sz w:val="18"/>
              </w:rPr>
              <w:t xml:space="preserve">Community investment ROI — SDOH programs that reduce utilization have direct financial return</w:t>
            </w:r>
          </w:p>
        </w:tc>
      </w:tr>
      <w:tr>
        <w:trPr>
          <w:cantSplit/>
        </w:trPr>
        <w:tc>
          <w:tcPr>
            <w:tcW w:w="3930" w:type="dxa"/>
          </w:tcPr>
          <w:p>
            <w:pPr>
              <w:pStyle w:val="Compact"/>
              <w:jc w:val="left"/>
            </w:pPr>
            <w:r>
              <w:rPr>
                <w:sz w:val="18"/>
              </w:rPr>
              <w:t xml:space="preserve">Operating margin per adjusted discharge</w:t>
            </w:r>
          </w:p>
        </w:tc>
        <w:tc>
          <w:tcPr>
            <w:tcW w:w="5145"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7.5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470"/>
        <w:gridCol w:w="2085"/>
        <w:gridCol w:w="2475"/>
        <w:gridCol w:w="3030"/>
      </w:tblGrid>
      <w:tr>
        <w:trPr>
          <w:tblHeader w:val="on"/>
          <w:cantSplit/>
        </w:trPr>
        <w:tc>
          <w:tcPr>
            <w:shd w:val="clear" w:color="auto" w:fill="1B3A6B"/>
            <w:tcW w:w="1470" w:type="dxa"/>
          </w:tcPr>
          <w:p>
            <w:pPr>
              <w:pStyle w:val="Compact"/>
              <w:jc w:val="left"/>
            </w:pPr>
            <w:r>
              <w:rPr>
                <w:b/>
                <w:color w:val="FFFFFF"/>
                <w:sz w:val="18"/>
              </w:rPr>
              <w:t xml:space="preserve">Investment type</w:t>
            </w:r>
          </w:p>
        </w:tc>
        <w:tc>
          <w:tcPr>
            <w:shd w:val="clear" w:color="auto" w:fill="1B3A6B"/>
            <w:tcW w:w="2085" w:type="dxa"/>
          </w:tcPr>
          <w:p>
            <w:pPr>
              <w:pStyle w:val="Compact"/>
              <w:jc w:val="left"/>
            </w:pPr>
            <w:r>
              <w:rPr>
                <w:b/>
                <w:color w:val="FFFFFF"/>
                <w:sz w:val="18"/>
              </w:rPr>
              <w:t xml:space="preserve">Revenue/savings mechanism</w:t>
            </w:r>
          </w:p>
        </w:tc>
        <w:tc>
          <w:tcPr>
            <w:shd w:val="clear" w:color="auto" w:fill="1B3A6B"/>
            <w:tcW w:w="2475" w:type="dxa"/>
          </w:tcPr>
          <w:p>
            <w:pPr>
              <w:pStyle w:val="Compact"/>
              <w:jc w:val="left"/>
            </w:pPr>
            <w:r>
              <w:rPr>
                <w:b/>
                <w:color w:val="FFFFFF"/>
                <w:sz w:val="18"/>
              </w:rPr>
              <w:t xml:space="preserve">Calculation approach</w:t>
            </w:r>
          </w:p>
        </w:tc>
        <w:tc>
          <w:tcPr>
            <w:shd w:val="clear" w:color="auto" w:fill="1B3A6B"/>
            <w:tcW w:w="3030" w:type="dxa"/>
          </w:tcPr>
          <w:p>
            <w:pPr>
              <w:pStyle w:val="Compact"/>
              <w:jc w:val="left"/>
            </w:pPr>
            <w:r>
              <w:rPr>
                <w:b/>
                <w:color w:val="FFFFFF"/>
                <w:sz w:val="18"/>
              </w:rPr>
              <w:t xml:space="preserve">Vermont example</w:t>
            </w:r>
          </w:p>
        </w:tc>
      </w:tr>
      <w:tr>
        <w:trPr>
          <w:cantSplit/>
        </w:trPr>
        <w:tc>
          <w:tcPr>
            <w:tcW w:w="1470" w:type="dxa"/>
          </w:tcPr>
          <w:p>
            <w:pPr>
              <w:pStyle w:val="Compact"/>
              <w:jc w:val="left"/>
            </w:pPr>
            <w:r>
              <w:rPr>
                <w:sz w:val="18"/>
              </w:rPr>
              <w:t xml:space="preserve">Care management program</w:t>
            </w:r>
          </w:p>
        </w:tc>
        <w:tc>
          <w:tcPr>
            <w:tcW w:w="2085" w:type="dxa"/>
          </w:tcPr>
          <w:p>
            <w:pPr>
              <w:pStyle w:val="Compact"/>
              <w:jc w:val="left"/>
            </w:pPr>
            <w:r>
              <w:rPr>
                <w:sz w:val="18"/>
              </w:rPr>
              <w:t xml:space="preserve">Prevents hospitalizations and ED visits that, under VBC, are costs without offsetting revenue</w:t>
            </w:r>
          </w:p>
        </w:tc>
        <w:tc>
          <w:tcPr>
            <w:tcW w:w="2475" w:type="dxa"/>
          </w:tcPr>
          <w:p>
            <w:pPr>
              <w:pStyle w:val="Compact"/>
              <w:jc w:val="left"/>
            </w:pPr>
            <w:r>
              <w:rPr>
                <w:sz w:val="18"/>
              </w:rPr>
              <w:t xml:space="preserve">(Prevented events) × (average cost per event) - (program operating cost) = Net savings. Divide by program cost for ROI.</w:t>
            </w:r>
          </w:p>
        </w:tc>
        <w:tc>
          <w:tcPr>
            <w:tcW w:w="3030"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470" w:type="dxa"/>
          </w:tcPr>
          <w:p>
            <w:pPr>
              <w:pStyle w:val="Compact"/>
              <w:jc w:val="left"/>
            </w:pPr>
            <w:r>
              <w:rPr>
                <w:sz w:val="18"/>
              </w:rPr>
              <w:t xml:space="preserve">Behavioral health integration (CoCM)</w:t>
            </w:r>
          </w:p>
        </w:tc>
        <w:tc>
          <w:tcPr>
            <w:tcW w:w="2085" w:type="dxa"/>
          </w:tcPr>
          <w:p>
            <w:pPr>
              <w:pStyle w:val="Compact"/>
              <w:jc w:val="left"/>
            </w:pPr>
            <w:r>
              <w:rPr>
                <w:sz w:val="18"/>
              </w:rPr>
              <w:t xml:space="preserve">Reduces downstream high-cost utilization — hospitalizations, ED visits for MH crisis — for patients receiving earlier MH intervention</w:t>
            </w:r>
          </w:p>
        </w:tc>
        <w:tc>
          <w:tcPr>
            <w:tcW w:w="2475"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3030"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470" w:type="dxa"/>
          </w:tcPr>
          <w:p>
            <w:pPr>
              <w:pStyle w:val="Compact"/>
              <w:jc w:val="left"/>
            </w:pPr>
            <w:r>
              <w:rPr>
                <w:sz w:val="18"/>
              </w:rPr>
              <w:t xml:space="preserve">SDOH program investment</w:t>
            </w:r>
          </w:p>
        </w:tc>
        <w:tc>
          <w:tcPr>
            <w:tcW w:w="2085"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475"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3030"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470" w:type="dxa"/>
          </w:tcPr>
          <w:p>
            <w:pPr>
              <w:pStyle w:val="Compact"/>
              <w:jc w:val="left"/>
            </w:pPr>
            <w:r>
              <w:rPr>
                <w:sz w:val="18"/>
              </w:rPr>
              <w:t xml:space="preserve">Primary care investment (PCMH enhanced payments)</w:t>
            </w:r>
          </w:p>
        </w:tc>
        <w:tc>
          <w:tcPr>
            <w:tcW w:w="2085" w:type="dxa"/>
          </w:tcPr>
          <w:p>
            <w:pPr>
              <w:pStyle w:val="Compact"/>
              <w:jc w:val="left"/>
            </w:pPr>
            <w:r>
              <w:rPr>
                <w:sz w:val="18"/>
              </w:rPr>
              <w:t xml:space="preserve">Reduces hospitalizations and specialty care through better chronic disease management and early intervention</w:t>
            </w:r>
          </w:p>
        </w:tc>
        <w:tc>
          <w:tcPr>
            <w:tcW w:w="2475"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3030"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470" w:type="dxa"/>
          </w:tcPr>
          <w:p>
            <w:pPr>
              <w:pStyle w:val="Compact"/>
              <w:jc w:val="left"/>
            </w:pPr>
            <w:r>
              <w:rPr>
                <w:sz w:val="18"/>
              </w:rPr>
              <w:t xml:space="preserve">Telehealth for rural access</w:t>
            </w:r>
          </w:p>
        </w:tc>
        <w:tc>
          <w:tcPr>
            <w:tcW w:w="2085"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475"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3030"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7.6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620"/>
        <w:gridCol w:w="1125"/>
        <w:gridCol w:w="2970"/>
        <w:gridCol w:w="3345"/>
      </w:tblGrid>
      <w:tr>
        <w:trPr>
          <w:tblHeader w:val="on"/>
          <w:cantSplit/>
        </w:trPr>
        <w:tc>
          <w:tcPr>
            <w:shd w:val="clear" w:color="auto" w:fill="1B3A6B"/>
            <w:tcW w:w="1620" w:type="dxa"/>
          </w:tcPr>
          <w:p>
            <w:pPr>
              <w:pStyle w:val="Compact"/>
              <w:jc w:val="left"/>
            </w:pPr>
            <w:r>
              <w:rPr>
                <w:b/>
                <w:color w:val="FFFFFF"/>
                <w:sz w:val="18"/>
              </w:rPr>
              <w:t xml:space="preserve">CoCM component</w:t>
            </w:r>
          </w:p>
        </w:tc>
        <w:tc>
          <w:tcPr>
            <w:shd w:val="clear" w:color="auto" w:fill="1B3A6B"/>
            <w:tcW w:w="1125" w:type="dxa"/>
          </w:tcPr>
          <w:p>
            <w:pPr>
              <w:pStyle w:val="Compact"/>
              <w:jc w:val="left"/>
            </w:pPr>
            <w:r>
              <w:rPr>
                <w:b/>
                <w:color w:val="FFFFFF"/>
                <w:sz w:val="18"/>
              </w:rPr>
              <w:t xml:space="preserve">Role</w:t>
            </w:r>
          </w:p>
        </w:tc>
        <w:tc>
          <w:tcPr>
            <w:shd w:val="clear" w:color="auto" w:fill="1B3A6B"/>
            <w:tcW w:w="2970" w:type="dxa"/>
          </w:tcPr>
          <w:p>
            <w:pPr>
              <w:pStyle w:val="Compact"/>
              <w:jc w:val="left"/>
            </w:pPr>
            <w:r>
              <w:rPr>
                <w:b/>
                <w:color w:val="FFFFFF"/>
                <w:sz w:val="18"/>
              </w:rPr>
              <w:t xml:space="preserve">What they do</w:t>
            </w:r>
          </w:p>
        </w:tc>
        <w:tc>
          <w:tcPr>
            <w:shd w:val="clear" w:color="auto" w:fill="1B3A6B"/>
            <w:tcW w:w="3345" w:type="dxa"/>
          </w:tcPr>
          <w:p>
            <w:pPr>
              <w:pStyle w:val="Compact"/>
              <w:jc w:val="left"/>
            </w:pPr>
            <w:r>
              <w:rPr>
                <w:b/>
                <w:color w:val="FFFFFF"/>
                <w:sz w:val="18"/>
              </w:rPr>
              <w:t xml:space="preserve">Vermont application</w:t>
            </w:r>
          </w:p>
        </w:tc>
      </w:tr>
      <w:tr>
        <w:trPr>
          <w:cantSplit/>
        </w:trPr>
        <w:tc>
          <w:tcPr>
            <w:tcW w:w="1620" w:type="dxa"/>
          </w:tcPr>
          <w:p>
            <w:pPr>
              <w:pStyle w:val="Compact"/>
              <w:jc w:val="left"/>
            </w:pPr>
            <w:r>
              <w:rPr>
                <w:sz w:val="18"/>
              </w:rPr>
              <w:t xml:space="preserve">Primary Care Provider (PCP)</w:t>
            </w:r>
          </w:p>
        </w:tc>
        <w:tc>
          <w:tcPr>
            <w:tcW w:w="1125" w:type="dxa"/>
          </w:tcPr>
          <w:p>
            <w:pPr>
              <w:pStyle w:val="Compact"/>
              <w:jc w:val="left"/>
            </w:pPr>
            <w:r>
              <w:rPr>
                <w:sz w:val="18"/>
              </w:rPr>
              <w:t xml:space="preserve">Treating and billing provider</w:t>
            </w:r>
          </w:p>
        </w:tc>
        <w:tc>
          <w:tcPr>
            <w:tcW w:w="2970"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334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20" w:type="dxa"/>
          </w:tcPr>
          <w:p>
            <w:pPr>
              <w:pStyle w:val="Compact"/>
              <w:jc w:val="left"/>
            </w:pPr>
            <w:r>
              <w:rPr>
                <w:sz w:val="18"/>
              </w:rPr>
              <w:t xml:space="preserve">Behavioral Health Care Manager (BHCM)</w:t>
            </w:r>
          </w:p>
        </w:tc>
        <w:tc>
          <w:tcPr>
            <w:tcW w:w="1125" w:type="dxa"/>
          </w:tcPr>
          <w:p>
            <w:pPr>
              <w:pStyle w:val="Compact"/>
              <w:jc w:val="left"/>
            </w:pPr>
            <w:r>
              <w:rPr>
                <w:sz w:val="18"/>
              </w:rPr>
              <w:t xml:space="preserve">Day-to-day care coordinator</w:t>
            </w:r>
          </w:p>
        </w:tc>
        <w:tc>
          <w:tcPr>
            <w:tcW w:w="2970"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34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20" w:type="dxa"/>
          </w:tcPr>
          <w:p>
            <w:pPr>
              <w:pStyle w:val="Compact"/>
              <w:jc w:val="left"/>
            </w:pPr>
            <w:r>
              <w:rPr>
                <w:sz w:val="18"/>
              </w:rPr>
              <w:t xml:space="preserve">Psychiatric Consultant</w:t>
            </w:r>
          </w:p>
        </w:tc>
        <w:tc>
          <w:tcPr>
            <w:tcW w:w="1125" w:type="dxa"/>
          </w:tcPr>
          <w:p>
            <w:pPr>
              <w:pStyle w:val="Compact"/>
              <w:jc w:val="left"/>
            </w:pPr>
            <w:r>
              <w:rPr>
                <w:sz w:val="18"/>
              </w:rPr>
              <w:t xml:space="preserve">Clinical supervision</w:t>
            </w:r>
          </w:p>
        </w:tc>
        <w:tc>
          <w:tcPr>
            <w:tcW w:w="2970"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334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1710"/>
        <w:gridCol w:w="4260"/>
        <w:gridCol w:w="3105"/>
      </w:tblGrid>
      <w:tr>
        <w:trPr>
          <w:tblHeader w:val="on"/>
          <w:cantSplit/>
        </w:trPr>
        <w:tc>
          <w:tcPr>
            <w:shd w:val="clear" w:color="auto" w:fill="1B3A6B"/>
            <w:tcW w:w="1710" w:type="dxa"/>
          </w:tcPr>
          <w:p>
            <w:pPr>
              <w:pStyle w:val="Compact"/>
              <w:jc w:val="left"/>
            </w:pPr>
            <w:r>
              <w:rPr>
                <w:b/>
                <w:color w:val="FFFFFF"/>
                <w:sz w:val="18"/>
              </w:rPr>
              <w:t xml:space="preserve">Component</w:t>
            </w:r>
          </w:p>
        </w:tc>
        <w:tc>
          <w:tcPr>
            <w:shd w:val="clear" w:color="auto" w:fill="1B3A6B"/>
            <w:tcW w:w="4260" w:type="dxa"/>
          </w:tcPr>
          <w:p>
            <w:pPr>
              <w:pStyle w:val="Compact"/>
              <w:jc w:val="left"/>
            </w:pPr>
            <w:r>
              <w:rPr>
                <w:b/>
                <w:color w:val="FFFFFF"/>
                <w:sz w:val="18"/>
              </w:rPr>
              <w:t xml:space="preserve">What it means in practice</w:t>
            </w:r>
          </w:p>
        </w:tc>
        <w:tc>
          <w:tcPr>
            <w:shd w:val="clear" w:color="auto" w:fill="1B3A6B"/>
            <w:tcW w:w="3105" w:type="dxa"/>
          </w:tcPr>
          <w:p>
            <w:pPr>
              <w:pStyle w:val="Compact"/>
              <w:jc w:val="left"/>
            </w:pPr>
            <w:r>
              <w:rPr>
                <w:b/>
                <w:color w:val="FFFFFF"/>
                <w:sz w:val="18"/>
              </w:rPr>
              <w:t xml:space="preserve">Vermont investment vehicle</w:t>
            </w:r>
          </w:p>
        </w:tc>
      </w:tr>
      <w:tr>
        <w:trPr>
          <w:cantSplit/>
        </w:trPr>
        <w:tc>
          <w:tcPr>
            <w:tcW w:w="1710" w:type="dxa"/>
          </w:tcPr>
          <w:p>
            <w:pPr>
              <w:pStyle w:val="Compact"/>
              <w:jc w:val="left"/>
            </w:pPr>
            <w:r>
              <w:rPr>
                <w:sz w:val="18"/>
              </w:rPr>
              <w:t xml:space="preserve">Team-based care</w:t>
            </w:r>
          </w:p>
        </w:tc>
        <w:tc>
          <w:tcPr>
            <w:tcW w:w="4260"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10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1710" w:type="dxa"/>
          </w:tcPr>
          <w:p>
            <w:pPr>
              <w:pStyle w:val="Compact"/>
              <w:jc w:val="left"/>
            </w:pPr>
            <w:r>
              <w:rPr>
                <w:sz w:val="18"/>
              </w:rPr>
              <w:t xml:space="preserve">Population health management</w:t>
            </w:r>
          </w:p>
        </w:tc>
        <w:tc>
          <w:tcPr>
            <w:tcW w:w="4260"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105" w:type="dxa"/>
          </w:tcPr>
          <w:p>
            <w:pPr>
              <w:pStyle w:val="Compact"/>
              <w:jc w:val="left"/>
            </w:pPr>
            <w:r>
              <w:rPr>
                <w:sz w:val="18"/>
              </w:rPr>
              <w:t xml:space="preserve">Blueprint data infrastructure; VHCURES linkage; GMCB analytics vendor procurement</w:t>
            </w:r>
          </w:p>
        </w:tc>
      </w:tr>
      <w:tr>
        <w:trPr/>
        <w:tc>
          <w:tcPr>
            <w:tcW w:w="1710" w:type="dxa"/>
          </w:tcPr>
          <w:p>
            <w:pPr>
              <w:pStyle w:val="Compact"/>
              <w:jc w:val="left"/>
            </w:pPr>
            <w:r>
              <w:rPr>
                <w:sz w:val="18"/>
              </w:rPr>
              <w:t xml:space="preserve">SDOH screening and navigation</w:t>
            </w:r>
          </w:p>
        </w:tc>
        <w:tc>
          <w:tcPr>
            <w:tcW w:w="4260"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105" w:type="dxa"/>
          </w:tcPr>
          <w:p>
            <w:pPr>
              <w:pStyle w:val="Compact"/>
              <w:jc w:val="left"/>
            </w:pPr>
            <w:r>
              <w:rPr>
                <w:sz w:val="18"/>
              </w:rPr>
              <w:t xml:space="preserve">Blueprint HRSN screening expansion; AHEAD EAST Fund SDOH investments; RHT Program community health worker deployment</w:t>
            </w:r>
          </w:p>
        </w:tc>
      </w:tr>
      <w:tr>
        <w:trPr/>
        <w:tc>
          <w:tcPr>
            <w:tcW w:w="1710" w:type="dxa"/>
          </w:tcPr>
          <w:p>
            <w:pPr>
              <w:pStyle w:val="Compact"/>
              <w:jc w:val="left"/>
            </w:pPr>
            <w:r>
              <w:rPr>
                <w:sz w:val="18"/>
              </w:rPr>
              <w:t xml:space="preserve">Behavioral health integration</w:t>
            </w:r>
          </w:p>
        </w:tc>
        <w:tc>
          <w:tcPr>
            <w:tcW w:w="4260"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105" w:type="dxa"/>
          </w:tcPr>
          <w:p>
            <w:pPr>
              <w:pStyle w:val="Compact"/>
              <w:jc w:val="left"/>
            </w:pPr>
            <w:r>
              <w:rPr>
                <w:sz w:val="18"/>
              </w:rPr>
              <w:t xml:space="preserve">MHI pilot expansion through AHEAD and EAST Fund; CCBHC partnerships with primary care</w:t>
            </w:r>
          </w:p>
        </w:tc>
      </w:tr>
      <w:tr>
        <w:trPr>
          <w:cantSplit/>
        </w:trPr>
        <w:tc>
          <w:tcPr>
            <w:tcW w:w="1710" w:type="dxa"/>
          </w:tcPr>
          <w:p>
            <w:pPr>
              <w:pStyle w:val="Compact"/>
              <w:jc w:val="left"/>
            </w:pPr>
            <w:r>
              <w:rPr>
                <w:sz w:val="18"/>
              </w:rPr>
              <w:t xml:space="preserve">Care coordination for complex patients</w:t>
            </w:r>
          </w:p>
        </w:tc>
        <w:tc>
          <w:tcPr>
            <w:tcW w:w="4260"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10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560"/>
        <w:gridCol w:w="3570"/>
        <w:gridCol w:w="1365"/>
        <w:gridCol w:w="2565"/>
      </w:tblGrid>
      <w:tr>
        <w:trPr>
          <w:tblHeader w:val="on"/>
          <w:cantSplit/>
        </w:trPr>
        <w:tc>
          <w:tcPr>
            <w:shd w:val="clear" w:color="auto" w:fill="1B3A6B"/>
            <w:tcW w:w="1560" w:type="dxa"/>
          </w:tcPr>
          <w:p>
            <w:pPr>
              <w:pStyle w:val="Compact"/>
              <w:jc w:val="left"/>
            </w:pPr>
            <w:r>
              <w:rPr>
                <w:b/>
                <w:color w:val="FFFFFF"/>
                <w:sz w:val="18"/>
              </w:rPr>
              <w:t xml:space="preserve">Commitment</w:t>
            </w:r>
          </w:p>
        </w:tc>
        <w:tc>
          <w:tcPr>
            <w:shd w:val="clear" w:color="auto" w:fill="1B3A6B"/>
            <w:tcW w:w="3570" w:type="dxa"/>
          </w:tcPr>
          <w:p>
            <w:pPr>
              <w:pStyle w:val="Compact"/>
              <w:jc w:val="left"/>
            </w:pPr>
            <w:r>
              <w:rPr>
                <w:b/>
                <w:color w:val="FFFFFF"/>
                <w:sz w:val="18"/>
              </w:rPr>
              <w:t xml:space="preserve">What it requires</w:t>
            </w:r>
          </w:p>
        </w:tc>
        <w:tc>
          <w:tcPr>
            <w:shd w:val="clear" w:color="auto" w:fill="1B3A6B"/>
            <w:tcW w:w="1365" w:type="dxa"/>
          </w:tcPr>
          <w:p>
            <w:pPr>
              <w:pStyle w:val="Compact"/>
              <w:jc w:val="left"/>
            </w:pPr>
            <w:r>
              <w:rPr>
                <w:b/>
                <w:color w:val="FFFFFF"/>
                <w:sz w:val="18"/>
              </w:rPr>
              <w:t xml:space="preserve">Timeline</w:t>
            </w:r>
          </w:p>
        </w:tc>
        <w:tc>
          <w:tcPr>
            <w:shd w:val="clear" w:color="auto" w:fill="1B3A6B"/>
            <w:tcW w:w="2565" w:type="dxa"/>
          </w:tcPr>
          <w:p>
            <w:pPr>
              <w:pStyle w:val="Compact"/>
              <w:jc w:val="left"/>
            </w:pPr>
            <w:r>
              <w:rPr>
                <w:b/>
                <w:color w:val="FFFFFF"/>
                <w:sz w:val="18"/>
              </w:rPr>
              <w:t xml:space="preserve">Primary vehicle</w:t>
            </w:r>
          </w:p>
        </w:tc>
      </w:tr>
      <w:tr>
        <w:trPr>
          <w:cantSplit/>
        </w:trPr>
        <w:tc>
          <w:tcPr>
            <w:tcW w:w="1560" w:type="dxa"/>
          </w:tcPr>
          <w:p>
            <w:pPr>
              <w:pStyle w:val="Compact"/>
              <w:jc w:val="left"/>
            </w:pPr>
            <w:r>
              <w:rPr>
                <w:sz w:val="18"/>
              </w:rPr>
              <w:t xml:space="preserve">Universal Blueprint PCMH coverage</w:t>
            </w:r>
          </w:p>
        </w:tc>
        <w:tc>
          <w:tcPr>
            <w:tcW w:w="3570"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Blueprint expansion; AHEAD PC primary care recruitment; RHT workforce investment</w:t>
            </w:r>
          </w:p>
        </w:tc>
      </w:tr>
      <w:tr>
        <w:trPr/>
        <w:tc>
          <w:tcPr>
            <w:tcW w:w="1560" w:type="dxa"/>
          </w:tcPr>
          <w:p>
            <w:pPr>
              <w:pStyle w:val="Compact"/>
              <w:jc w:val="left"/>
            </w:pPr>
            <w:r>
              <w:rPr>
                <w:sz w:val="18"/>
              </w:rPr>
              <w:t xml:space="preserve">Behavioral health integration at every PCMH</w:t>
            </w:r>
          </w:p>
        </w:tc>
        <w:tc>
          <w:tcPr>
            <w:tcW w:w="3570"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MHI permanent funding through AHEAD EAST Fund; CCBHC partnerships; BHCM workforce training through RHT Program</w:t>
            </w:r>
          </w:p>
        </w:tc>
      </w:tr>
      <w:tr>
        <w:trPr/>
        <w:tc>
          <w:tcPr>
            <w:tcW w:w="1560" w:type="dxa"/>
          </w:tcPr>
          <w:p>
            <w:pPr>
              <w:pStyle w:val="Compact"/>
              <w:jc w:val="left"/>
            </w:pPr>
            <w:r>
              <w:rPr>
                <w:sz w:val="18"/>
              </w:rPr>
              <w:t xml:space="preserve">CCBHC network covering all HSAs</w:t>
            </w:r>
          </w:p>
        </w:tc>
        <w:tc>
          <w:tcPr>
            <w:tcW w:w="3570"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365" w:type="dxa"/>
          </w:tcPr>
          <w:p>
            <w:pPr>
              <w:pStyle w:val="Compact"/>
              <w:jc w:val="left"/>
            </w:pPr>
            <w:r>
              <w:rPr>
                <w:sz w:val="18"/>
              </w:rPr>
              <w:t xml:space="preserve">2026 (5 new CCBHCs) through 2028</w:t>
            </w:r>
          </w:p>
        </w:tc>
        <w:tc>
          <w:tcPr>
            <w:tcW w:w="2565" w:type="dxa"/>
          </w:tcPr>
          <w:p>
            <w:pPr>
              <w:pStyle w:val="Compact"/>
              <w:jc w:val="left"/>
            </w:pPr>
            <w:r>
              <w:rPr>
                <w:sz w:val="18"/>
              </w:rPr>
              <w:t xml:space="preserve">CCBHC Demonstration State enhanced Medicaid; RHT Program funding; Act 68 grants</w:t>
            </w:r>
          </w:p>
        </w:tc>
      </w:tr>
      <w:tr>
        <w:trPr/>
        <w:tc>
          <w:tcPr>
            <w:tcW w:w="1560" w:type="dxa"/>
          </w:tcPr>
          <w:p>
            <w:pPr>
              <w:pStyle w:val="Compact"/>
              <w:jc w:val="left"/>
            </w:pPr>
            <w:r>
              <w:rPr>
                <w:sz w:val="18"/>
              </w:rPr>
              <w:t xml:space="preserve">PACE program development</w:t>
            </w:r>
          </w:p>
        </w:tc>
        <w:tc>
          <w:tcPr>
            <w:tcW w:w="3570"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365" w:type="dxa"/>
          </w:tcPr>
          <w:p>
            <w:pPr>
              <w:pStyle w:val="Compact"/>
              <w:jc w:val="left"/>
            </w:pPr>
            <w:r>
              <w:rPr>
                <w:sz w:val="18"/>
              </w:rPr>
              <w:t xml:space="preserve">2026-2028 (feasibility and launch)</w:t>
            </w:r>
          </w:p>
        </w:tc>
        <w:tc>
          <w:tcPr>
            <w:tcW w:w="2565" w:type="dxa"/>
          </w:tcPr>
          <w:p>
            <w:pPr>
              <w:pStyle w:val="Compact"/>
              <w:jc w:val="left"/>
            </w:pPr>
            <w:r>
              <w:rPr>
                <w:sz w:val="18"/>
              </w:rPr>
              <w:t xml:space="preserve">AHEAD EAST Fund; RHT long-term care infrastructure investment; Medicaid PACE program rules</w:t>
            </w:r>
          </w:p>
        </w:tc>
      </w:tr>
      <w:tr>
        <w:trPr>
          <w:cantSplit/>
        </w:trPr>
        <w:tc>
          <w:tcPr>
            <w:tcW w:w="1560" w:type="dxa"/>
          </w:tcPr>
          <w:p>
            <w:pPr>
              <w:pStyle w:val="Compact"/>
              <w:jc w:val="left"/>
            </w:pPr>
            <w:r>
              <w:rPr>
                <w:sz w:val="18"/>
              </w:rPr>
              <w:t xml:space="preserve">Dementia care infrastructure</w:t>
            </w:r>
          </w:p>
        </w:tc>
        <w:tc>
          <w:tcPr>
            <w:tcW w:w="3570"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365" w:type="dxa"/>
          </w:tcPr>
          <w:p>
            <w:pPr>
              <w:pStyle w:val="Compact"/>
              <w:jc w:val="left"/>
            </w:pPr>
            <w:r>
              <w:rPr>
                <w:sz w:val="18"/>
              </w:rPr>
              <w:t xml:space="preserve">2026-2030</w:t>
            </w:r>
          </w:p>
        </w:tc>
        <w:tc>
          <w:tcPr>
            <w:tcW w:w="2565"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1905"/>
        <w:gridCol w:w="3465"/>
        <w:gridCol w:w="3690"/>
      </w:tblGrid>
      <w:tr>
        <w:trPr>
          <w:tblHeader w:val="on"/>
          <w:cantSplit/>
        </w:trPr>
        <w:tc>
          <w:tcPr>
            <w:shd w:val="clear" w:color="auto" w:fill="1B3A6B"/>
            <w:tcW w:w="1905" w:type="dxa"/>
          </w:tcPr>
          <w:p>
            <w:pPr>
              <w:pStyle w:val="Compact"/>
              <w:jc w:val="left"/>
            </w:pPr>
            <w:r>
              <w:rPr>
                <w:b/>
                <w:color w:val="FFFFFF"/>
                <w:sz w:val="18"/>
              </w:rPr>
              <w:t xml:space="preserve">Concept Area</w:t>
            </w:r>
          </w:p>
        </w:tc>
        <w:tc>
          <w:tcPr>
            <w:shd w:val="clear" w:color="auto" w:fill="1B3A6B"/>
            <w:tcW w:w="3465" w:type="dxa"/>
          </w:tcPr>
          <w:p>
            <w:pPr>
              <w:pStyle w:val="Compact"/>
              <w:jc w:val="left"/>
            </w:pPr>
            <w:r>
              <w:rPr>
                <w:b/>
                <w:color w:val="FFFFFF"/>
                <w:sz w:val="18"/>
              </w:rPr>
              <w:t xml:space="preserve">What it requires operationally</w:t>
            </w:r>
          </w:p>
        </w:tc>
        <w:tc>
          <w:tcPr>
            <w:shd w:val="clear" w:color="auto" w:fill="1B3A6B"/>
            <w:tcW w:w="3690" w:type="dxa"/>
          </w:tcPr>
          <w:p>
            <w:pPr>
              <w:pStyle w:val="Compact"/>
              <w:jc w:val="left"/>
            </w:pPr>
            <w:r>
              <w:rPr>
                <w:b/>
                <w:color w:val="FFFFFF"/>
                <w:sz w:val="18"/>
              </w:rPr>
              <w:t xml:space="preserve">Vermont implementation challenge</w:t>
            </w:r>
          </w:p>
        </w:tc>
      </w:tr>
      <w:tr>
        <w:trPr>
          <w:cantSplit/>
        </w:trPr>
        <w:tc>
          <w:tcPr>
            <w:tcW w:w="1905" w:type="dxa"/>
          </w:tcPr>
          <w:p>
            <w:pPr>
              <w:pStyle w:val="Compact"/>
              <w:jc w:val="left"/>
            </w:pPr>
            <w:r>
              <w:rPr>
                <w:sz w:val="18"/>
              </w:rPr>
              <w:t xml:space="preserve">Team-Based Care and Practice Organization</w:t>
            </w:r>
          </w:p>
        </w:tc>
        <w:tc>
          <w:tcPr>
            <w:tcW w:w="3465"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690"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1905" w:type="dxa"/>
          </w:tcPr>
          <w:p>
            <w:pPr>
              <w:pStyle w:val="Compact"/>
              <w:jc w:val="left"/>
            </w:pPr>
            <w:r>
              <w:rPr>
                <w:sz w:val="18"/>
              </w:rPr>
              <w:t xml:space="preserve">Knowing and Managing Your Patients</w:t>
            </w:r>
          </w:p>
        </w:tc>
        <w:tc>
          <w:tcPr>
            <w:tcW w:w="3465"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690"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1905" w:type="dxa"/>
          </w:tcPr>
          <w:p>
            <w:pPr>
              <w:pStyle w:val="Compact"/>
              <w:jc w:val="left"/>
            </w:pPr>
            <w:r>
              <w:rPr>
                <w:sz w:val="18"/>
              </w:rPr>
              <w:t xml:space="preserve">Patient-Centered Access and Continuity</w:t>
            </w:r>
          </w:p>
        </w:tc>
        <w:tc>
          <w:tcPr>
            <w:tcW w:w="3465" w:type="dxa"/>
          </w:tcPr>
          <w:p>
            <w:pPr>
              <w:pStyle w:val="Compact"/>
              <w:jc w:val="left"/>
            </w:pPr>
            <w:r>
              <w:rPr>
                <w:sz w:val="18"/>
              </w:rPr>
              <w:t xml:space="preserve">Same-day appointments for urgent needs; 24/7 access for patient advice; continuity with personal physician; timely communication response</w:t>
            </w:r>
          </w:p>
        </w:tc>
        <w:tc>
          <w:tcPr>
            <w:tcW w:w="3690"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1905" w:type="dxa"/>
          </w:tcPr>
          <w:p>
            <w:pPr>
              <w:pStyle w:val="Compact"/>
              <w:jc w:val="left"/>
            </w:pPr>
            <w:r>
              <w:rPr>
                <w:sz w:val="18"/>
              </w:rPr>
              <w:t xml:space="preserve">Care Management and Support</w:t>
            </w:r>
          </w:p>
        </w:tc>
        <w:tc>
          <w:tcPr>
            <w:tcW w:w="3465"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690"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1905" w:type="dxa"/>
          </w:tcPr>
          <w:p>
            <w:pPr>
              <w:pStyle w:val="Compact"/>
              <w:jc w:val="left"/>
            </w:pPr>
            <w:r>
              <w:rPr>
                <w:sz w:val="18"/>
              </w:rPr>
              <w:t xml:space="preserve">Care Coordination and Care Transitions</w:t>
            </w:r>
          </w:p>
        </w:tc>
        <w:tc>
          <w:tcPr>
            <w:tcW w:w="3465"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690"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1905" w:type="dxa"/>
          </w:tcPr>
          <w:p>
            <w:pPr>
              <w:pStyle w:val="Compact"/>
              <w:jc w:val="left"/>
            </w:pPr>
            <w:r>
              <w:rPr>
                <w:sz w:val="18"/>
              </w:rPr>
              <w:t xml:space="preserve">Performance Measurement and Quality Improvement</w:t>
            </w:r>
          </w:p>
        </w:tc>
        <w:tc>
          <w:tcPr>
            <w:tcW w:w="3465"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690"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990"/>
        <w:gridCol w:w="750"/>
        <w:gridCol w:w="3435"/>
        <w:gridCol w:w="3915"/>
      </w:tblGrid>
      <w:tr>
        <w:trPr>
          <w:tblHeader w:val="on"/>
          <w:cantSplit/>
        </w:trPr>
        <w:tc>
          <w:tcPr>
            <w:shd w:val="clear" w:color="auto" w:fill="1B3A6B"/>
            <w:tcW w:w="990" w:type="dxa"/>
          </w:tcPr>
          <w:p>
            <w:pPr>
              <w:pStyle w:val="Compact"/>
              <w:jc w:val="left"/>
            </w:pPr>
            <w:r>
              <w:rPr>
                <w:b/>
                <w:color w:val="FFFFFF"/>
                <w:sz w:val="18"/>
              </w:rPr>
              <w:t xml:space="preserve">Tier</w:t>
            </w:r>
          </w:p>
        </w:tc>
        <w:tc>
          <w:tcPr>
            <w:shd w:val="clear" w:color="auto" w:fill="1B3A6B"/>
            <w:tcW w:w="750" w:type="dxa"/>
          </w:tcPr>
          <w:p>
            <w:pPr>
              <w:pStyle w:val="Compact"/>
              <w:jc w:val="left"/>
            </w:pPr>
            <w:r>
              <w:rPr>
                <w:b/>
                <w:color w:val="FFFFFF"/>
                <w:sz w:val="18"/>
              </w:rPr>
              <w:t xml:space="preserve">% of Panel</w:t>
            </w:r>
          </w:p>
        </w:tc>
        <w:tc>
          <w:tcPr>
            <w:shd w:val="clear" w:color="auto" w:fill="1B3A6B"/>
            <w:tcW w:w="3435" w:type="dxa"/>
          </w:tcPr>
          <w:p>
            <w:pPr>
              <w:pStyle w:val="Compact"/>
              <w:jc w:val="left"/>
            </w:pPr>
            <w:r>
              <w:rPr>
                <w:b/>
                <w:color w:val="FFFFFF"/>
                <w:sz w:val="18"/>
              </w:rPr>
              <w:t xml:space="preserve">Characteristics</w:t>
            </w:r>
          </w:p>
        </w:tc>
        <w:tc>
          <w:tcPr>
            <w:shd w:val="clear" w:color="auto" w:fill="1B3A6B"/>
            <w:tcW w:w="3915" w:type="dxa"/>
          </w:tcPr>
          <w:p>
            <w:pPr>
              <w:pStyle w:val="Compact"/>
              <w:jc w:val="left"/>
            </w:pPr>
            <w:r>
              <w:rPr>
                <w:b/>
                <w:color w:val="FFFFFF"/>
                <w:sz w:val="18"/>
              </w:rPr>
              <w:t xml:space="preserve">Care Model</w:t>
            </w:r>
          </w:p>
        </w:tc>
      </w:tr>
      <w:tr>
        <w:trPr>
          <w:cantSplit/>
        </w:trPr>
        <w:tc>
          <w:tcPr>
            <w:tcW w:w="990" w:type="dxa"/>
          </w:tcPr>
          <w:p>
            <w:pPr>
              <w:pStyle w:val="Compact"/>
              <w:jc w:val="left"/>
            </w:pPr>
            <w:r>
              <w:rPr>
                <w:sz w:val="18"/>
              </w:rPr>
              <w:t xml:space="preserve">Tier 1 — Complex</w:t>
            </w:r>
          </w:p>
        </w:tc>
        <w:tc>
          <w:tcPr>
            <w:tcW w:w="750" w:type="dxa"/>
          </w:tcPr>
          <w:p>
            <w:pPr>
              <w:pStyle w:val="Compact"/>
              <w:jc w:val="left"/>
            </w:pPr>
            <w:r>
              <w:rPr>
                <w:sz w:val="18"/>
              </w:rPr>
              <w:t xml:space="preserve">3-5%</w:t>
            </w:r>
          </w:p>
        </w:tc>
        <w:tc>
          <w:tcPr>
            <w:tcW w:w="3435" w:type="dxa"/>
          </w:tcPr>
          <w:p>
            <w:pPr>
              <w:pStyle w:val="Compact"/>
              <w:jc w:val="left"/>
            </w:pPr>
            <w:r>
              <w:rPr>
                <w:sz w:val="18"/>
              </w:rPr>
              <w:t xml:space="preserve">Multiple chronic conditions, high prior utilization, behavioral health and SDOH needs, frailty</w:t>
            </w:r>
          </w:p>
        </w:tc>
        <w:tc>
          <w:tcPr>
            <w:tcW w:w="3915" w:type="dxa"/>
          </w:tcPr>
          <w:p>
            <w:pPr>
              <w:pStyle w:val="Compact"/>
              <w:jc w:val="left"/>
            </w:pPr>
            <w:r>
              <w:rPr>
                <w:sz w:val="18"/>
              </w:rPr>
              <w:t xml:space="preserve">Intensive care management: CHT assignment, care plan, regular outreach, direct care manager relationship</w:t>
            </w:r>
          </w:p>
        </w:tc>
      </w:tr>
      <w:tr>
        <w:trPr/>
        <w:tc>
          <w:tcPr>
            <w:tcW w:w="990" w:type="dxa"/>
          </w:tcPr>
          <w:p>
            <w:pPr>
              <w:pStyle w:val="Compact"/>
              <w:jc w:val="left"/>
            </w:pPr>
            <w:r>
              <w:rPr>
                <w:sz w:val="18"/>
              </w:rPr>
              <w:t xml:space="preserve">Tier 2 — Moderate Risk</w:t>
            </w:r>
          </w:p>
        </w:tc>
        <w:tc>
          <w:tcPr>
            <w:tcW w:w="750" w:type="dxa"/>
          </w:tcPr>
          <w:p>
            <w:pPr>
              <w:pStyle w:val="Compact"/>
              <w:jc w:val="left"/>
            </w:pPr>
            <w:r>
              <w:rPr>
                <w:sz w:val="18"/>
              </w:rPr>
              <w:t xml:space="preserve">15-20%</w:t>
            </w:r>
          </w:p>
        </w:tc>
        <w:tc>
          <w:tcPr>
            <w:tcW w:w="3435" w:type="dxa"/>
          </w:tcPr>
          <w:p>
            <w:pPr>
              <w:pStyle w:val="Compact"/>
              <w:jc w:val="left"/>
            </w:pPr>
            <w:r>
              <w:rPr>
                <w:sz w:val="18"/>
              </w:rPr>
              <w:t xml:space="preserve">One or two chronic conditions with management challenges, behavioral health needs, recent hospitalization or ED visit</w:t>
            </w:r>
          </w:p>
        </w:tc>
        <w:tc>
          <w:tcPr>
            <w:tcW w:w="3915" w:type="dxa"/>
          </w:tcPr>
          <w:p>
            <w:pPr>
              <w:pStyle w:val="Compact"/>
              <w:jc w:val="left"/>
            </w:pPr>
            <w:r>
              <w:rPr>
                <w:sz w:val="18"/>
              </w:rPr>
              <w:t xml:space="preserve">Proactive chronic disease management: care gap outreach, behavioral health integration, medication management</w:t>
            </w:r>
          </w:p>
        </w:tc>
      </w:tr>
      <w:tr>
        <w:trPr/>
        <w:tc>
          <w:tcPr>
            <w:tcW w:w="990" w:type="dxa"/>
          </w:tcPr>
          <w:p>
            <w:pPr>
              <w:pStyle w:val="Compact"/>
              <w:jc w:val="left"/>
            </w:pPr>
            <w:r>
              <w:rPr>
                <w:sz w:val="18"/>
              </w:rPr>
              <w:t xml:space="preserve">Tier 3 — Standard</w:t>
            </w:r>
          </w:p>
        </w:tc>
        <w:tc>
          <w:tcPr>
            <w:tcW w:w="750" w:type="dxa"/>
          </w:tcPr>
          <w:p>
            <w:pPr>
              <w:pStyle w:val="Compact"/>
              <w:jc w:val="left"/>
            </w:pPr>
            <w:r>
              <w:rPr>
                <w:sz w:val="18"/>
              </w:rPr>
              <w:t xml:space="preserve">50-60%</w:t>
            </w:r>
          </w:p>
        </w:tc>
        <w:tc>
          <w:tcPr>
            <w:tcW w:w="3435" w:type="dxa"/>
          </w:tcPr>
          <w:p>
            <w:pPr>
              <w:pStyle w:val="Compact"/>
              <w:jc w:val="left"/>
            </w:pPr>
            <w:r>
              <w:rPr>
                <w:sz w:val="18"/>
              </w:rPr>
              <w:t xml:space="preserve">Healthy or stable chronic conditions, routine preventive needs</w:t>
            </w:r>
          </w:p>
        </w:tc>
        <w:tc>
          <w:tcPr>
            <w:tcW w:w="3915" w:type="dxa"/>
          </w:tcPr>
          <w:p>
            <w:pPr>
              <w:pStyle w:val="Compact"/>
              <w:jc w:val="left"/>
            </w:pPr>
            <w:r>
              <w:rPr>
                <w:sz w:val="18"/>
              </w:rPr>
              <w:t xml:space="preserve">Preventive care: annual wellness visit, immunizations, screening, health coaching</w:t>
            </w:r>
          </w:p>
        </w:tc>
      </w:tr>
      <w:tr>
        <w:trPr>
          <w:cantSplit/>
        </w:trPr>
        <w:tc>
          <w:tcPr>
            <w:tcW w:w="990" w:type="dxa"/>
          </w:tcPr>
          <w:p>
            <w:pPr>
              <w:pStyle w:val="Compact"/>
              <w:jc w:val="left"/>
            </w:pPr>
            <w:r>
              <w:rPr>
                <w:sz w:val="18"/>
              </w:rPr>
              <w:t xml:space="preserve">Tier 4 — Inactive</w:t>
            </w:r>
          </w:p>
        </w:tc>
        <w:tc>
          <w:tcPr>
            <w:tcW w:w="750" w:type="dxa"/>
          </w:tcPr>
          <w:p>
            <w:pPr>
              <w:pStyle w:val="Compact"/>
              <w:jc w:val="left"/>
            </w:pPr>
            <w:r>
              <w:rPr>
                <w:sz w:val="18"/>
              </w:rPr>
              <w:t xml:space="preserve">20-30%</w:t>
            </w:r>
          </w:p>
        </w:tc>
        <w:tc>
          <w:tcPr>
            <w:tcW w:w="3435" w:type="dxa"/>
          </w:tcPr>
          <w:p>
            <w:pPr>
              <w:pStyle w:val="Compact"/>
              <w:jc w:val="left"/>
            </w:pPr>
            <w:r>
              <w:rPr>
                <w:sz w:val="18"/>
              </w:rPr>
              <w:t xml:space="preserve">Attributed but not engaged with practice; may be accessing care elsewhere or not at all</w:t>
            </w:r>
          </w:p>
        </w:tc>
        <w:tc>
          <w:tcPr>
            <w:tcW w:w="3915"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650"/>
        <w:gridCol w:w="1260"/>
        <w:gridCol w:w="2925"/>
        <w:gridCol w:w="3225"/>
      </w:tblGrid>
      <w:tr>
        <w:trPr>
          <w:tblHeader w:val="on"/>
          <w:cantSplit/>
        </w:trPr>
        <w:tc>
          <w:tcPr>
            <w:shd w:val="clear" w:color="auto" w:fill="1B3A6B"/>
            <w:tcW w:w="1650" w:type="dxa"/>
          </w:tcPr>
          <w:p>
            <w:pPr>
              <w:pStyle w:val="Compact"/>
              <w:jc w:val="left"/>
            </w:pPr>
            <w:r>
              <w:rPr>
                <w:b/>
                <w:color w:val="FFFFFF"/>
                <w:sz w:val="18"/>
              </w:rPr>
              <w:t xml:space="preserve">CoCM Component</w:t>
            </w:r>
          </w:p>
        </w:tc>
        <w:tc>
          <w:tcPr>
            <w:shd w:val="clear" w:color="auto" w:fill="1B3A6B"/>
            <w:tcW w:w="1260" w:type="dxa"/>
          </w:tcPr>
          <w:p>
            <w:pPr>
              <w:pStyle w:val="Compact"/>
              <w:jc w:val="left"/>
            </w:pPr>
            <w:r>
              <w:rPr>
                <w:b/>
                <w:color w:val="FFFFFF"/>
                <w:sz w:val="18"/>
              </w:rPr>
              <w:t xml:space="preserve">Role</w:t>
            </w:r>
          </w:p>
        </w:tc>
        <w:tc>
          <w:tcPr>
            <w:shd w:val="clear" w:color="auto" w:fill="1B3A6B"/>
            <w:tcW w:w="2925" w:type="dxa"/>
          </w:tcPr>
          <w:p>
            <w:pPr>
              <w:pStyle w:val="Compact"/>
              <w:jc w:val="left"/>
            </w:pPr>
            <w:r>
              <w:rPr>
                <w:b/>
                <w:color w:val="FFFFFF"/>
                <w:sz w:val="18"/>
              </w:rPr>
              <w:t xml:space="preserve">What they do</w:t>
            </w:r>
          </w:p>
        </w:tc>
        <w:tc>
          <w:tcPr>
            <w:shd w:val="clear" w:color="auto" w:fill="1B3A6B"/>
            <w:tcW w:w="3225" w:type="dxa"/>
          </w:tcPr>
          <w:p>
            <w:pPr>
              <w:pStyle w:val="Compact"/>
              <w:jc w:val="left"/>
            </w:pPr>
            <w:r>
              <w:rPr>
                <w:b/>
                <w:color w:val="FFFFFF"/>
                <w:sz w:val="18"/>
              </w:rPr>
              <w:t xml:space="preserve">Vermont application</w:t>
            </w:r>
          </w:p>
        </w:tc>
      </w:tr>
      <w:tr>
        <w:trPr>
          <w:cantSplit/>
        </w:trPr>
        <w:tc>
          <w:tcPr>
            <w:tcW w:w="1650" w:type="dxa"/>
          </w:tcPr>
          <w:p>
            <w:pPr>
              <w:pStyle w:val="Compact"/>
              <w:jc w:val="left"/>
            </w:pPr>
            <w:r>
              <w:rPr>
                <w:sz w:val="18"/>
              </w:rPr>
              <w:t xml:space="preserve">Primary Care Provider (PCP)</w:t>
            </w:r>
          </w:p>
        </w:tc>
        <w:tc>
          <w:tcPr>
            <w:tcW w:w="1260" w:type="dxa"/>
          </w:tcPr>
          <w:p>
            <w:pPr>
              <w:pStyle w:val="Compact"/>
              <w:jc w:val="left"/>
            </w:pPr>
            <w:r>
              <w:rPr>
                <w:sz w:val="18"/>
              </w:rPr>
              <w:t xml:space="preserve">Treating and billing provider</w:t>
            </w:r>
          </w:p>
        </w:tc>
        <w:tc>
          <w:tcPr>
            <w:tcW w:w="2925" w:type="dxa"/>
          </w:tcPr>
          <w:p>
            <w:pPr>
              <w:pStyle w:val="Compact"/>
              <w:jc w:val="left"/>
            </w:pPr>
            <w:r>
              <w:rPr>
                <w:sz w:val="18"/>
              </w:rPr>
              <w:t xml:space="preserve">Identifies patients through validated screening (PHQ-9, GAD-7); refers to BHCM; provides warm handoffs; bills CoCM codes monthly</w:t>
            </w:r>
          </w:p>
        </w:tc>
        <w:tc>
          <w:tcPr>
            <w:tcW w:w="322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50" w:type="dxa"/>
          </w:tcPr>
          <w:p>
            <w:pPr>
              <w:pStyle w:val="Compact"/>
              <w:jc w:val="left"/>
            </w:pPr>
            <w:r>
              <w:rPr>
                <w:sz w:val="18"/>
              </w:rPr>
              <w:t xml:space="preserve">Behavioral Health Care Manager (BHCM)</w:t>
            </w:r>
          </w:p>
        </w:tc>
        <w:tc>
          <w:tcPr>
            <w:tcW w:w="1260" w:type="dxa"/>
          </w:tcPr>
          <w:p>
            <w:pPr>
              <w:pStyle w:val="Compact"/>
              <w:jc w:val="left"/>
            </w:pPr>
            <w:r>
              <w:rPr>
                <w:sz w:val="18"/>
              </w:rPr>
              <w:t xml:space="preserve">Day-to-day care coordinator</w:t>
            </w:r>
          </w:p>
        </w:tc>
        <w:tc>
          <w:tcPr>
            <w:tcW w:w="2925"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22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50" w:type="dxa"/>
          </w:tcPr>
          <w:p>
            <w:pPr>
              <w:pStyle w:val="Compact"/>
              <w:jc w:val="left"/>
            </w:pPr>
            <w:r>
              <w:rPr>
                <w:sz w:val="18"/>
              </w:rPr>
              <w:t xml:space="preserve">Psychiatric Consultant</w:t>
            </w:r>
          </w:p>
        </w:tc>
        <w:tc>
          <w:tcPr>
            <w:tcW w:w="1260" w:type="dxa"/>
          </w:tcPr>
          <w:p>
            <w:pPr>
              <w:pStyle w:val="Compact"/>
              <w:jc w:val="left"/>
            </w:pPr>
            <w:r>
              <w:rPr>
                <w:sz w:val="18"/>
              </w:rPr>
              <w:t xml:space="preserve">Clinical supervision</w:t>
            </w:r>
          </w:p>
        </w:tc>
        <w:tc>
          <w:tcPr>
            <w:tcW w:w="2925"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322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025"/>
        <w:gridCol w:w="3840"/>
        <w:gridCol w:w="1245"/>
        <w:gridCol w:w="1965"/>
      </w:tblGrid>
      <w:tr>
        <w:trPr>
          <w:tblHeader w:val="on"/>
          <w:cantSplit/>
        </w:trPr>
        <w:tc>
          <w:tcPr>
            <w:shd w:val="clear" w:color="auto" w:fill="1B3A6B"/>
            <w:tcW w:w="2025" w:type="dxa"/>
          </w:tcPr>
          <w:p>
            <w:pPr>
              <w:pStyle w:val="Compact"/>
              <w:jc w:val="left"/>
            </w:pPr>
            <w:r>
              <w:rPr>
                <w:b/>
                <w:color w:val="FFFFFF"/>
                <w:sz w:val="18"/>
              </w:rPr>
              <w:t xml:space="preserve">Commitment</w:t>
            </w:r>
          </w:p>
        </w:tc>
        <w:tc>
          <w:tcPr>
            <w:shd w:val="clear" w:color="auto" w:fill="1B3A6B"/>
            <w:tcW w:w="3840" w:type="dxa"/>
          </w:tcPr>
          <w:p>
            <w:pPr>
              <w:pStyle w:val="Compact"/>
              <w:jc w:val="left"/>
            </w:pPr>
            <w:r>
              <w:rPr>
                <w:b/>
                <w:color w:val="FFFFFF"/>
                <w:sz w:val="18"/>
              </w:rPr>
              <w:t xml:space="preserve">Operational Requirement</w:t>
            </w:r>
          </w:p>
        </w:tc>
        <w:tc>
          <w:tcPr>
            <w:shd w:val="clear" w:color="auto" w:fill="1B3A6B"/>
            <w:tcW w:w="1245" w:type="dxa"/>
          </w:tcPr>
          <w:p>
            <w:pPr>
              <w:pStyle w:val="Compact"/>
              <w:jc w:val="left"/>
            </w:pPr>
            <w:r>
              <w:rPr>
                <w:b/>
                <w:color w:val="FFFFFF"/>
                <w:sz w:val="18"/>
              </w:rPr>
              <w:t xml:space="preserve">Timeline</w:t>
            </w:r>
          </w:p>
        </w:tc>
        <w:tc>
          <w:tcPr>
            <w:shd w:val="clear" w:color="auto" w:fill="1B3A6B"/>
            <w:tcW w:w="1965" w:type="dxa"/>
          </w:tcPr>
          <w:p>
            <w:pPr>
              <w:pStyle w:val="Compact"/>
              <w:jc w:val="left"/>
            </w:pPr>
            <w:r>
              <w:rPr>
                <w:b/>
                <w:color w:val="FFFFFF"/>
                <w:sz w:val="18"/>
              </w:rPr>
              <w:t xml:space="preserve">Primary Vehicle</w:t>
            </w:r>
          </w:p>
        </w:tc>
      </w:tr>
      <w:tr>
        <w:trPr>
          <w:cantSplit/>
        </w:trPr>
        <w:tc>
          <w:tcPr>
            <w:tcW w:w="2025" w:type="dxa"/>
          </w:tcPr>
          <w:p>
            <w:pPr>
              <w:pStyle w:val="Compact"/>
              <w:jc w:val="left"/>
            </w:pPr>
            <w:r>
              <w:rPr>
                <w:sz w:val="18"/>
              </w:rPr>
              <w:t xml:space="preserve">PCMH transformation support for all Vermont primary care practices</w:t>
            </w:r>
          </w:p>
        </w:tc>
        <w:tc>
          <w:tcPr>
            <w:tcW w:w="384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Blueprint program; DVHA; AHEAD implementation team</w:t>
            </w:r>
          </w:p>
        </w:tc>
      </w:tr>
      <w:tr>
        <w:trPr/>
        <w:tc>
          <w:tcPr>
            <w:tcW w:w="2025" w:type="dxa"/>
          </w:tcPr>
          <w:p>
            <w:pPr>
              <w:pStyle w:val="Compact"/>
              <w:jc w:val="left"/>
            </w:pPr>
            <w:r>
              <w:rPr>
                <w:sz w:val="18"/>
              </w:rPr>
              <w:t xml:space="preserve">CoCM deployment at every PCMH practice</w:t>
            </w:r>
          </w:p>
        </w:tc>
        <w:tc>
          <w:tcPr>
            <w:tcW w:w="3840" w:type="dxa"/>
          </w:tcPr>
          <w:p>
            <w:pPr>
              <w:pStyle w:val="Compact"/>
              <w:jc w:val="left"/>
            </w:pPr>
            <w:r>
              <w:rPr>
                <w:sz w:val="18"/>
              </w:rPr>
              <w:t xml:space="preserve">BHCM workforce training funded; telepsychiatry consultation network established; CoCM billing infrastructure in place at all Blueprint practices</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MHI permanent funding through AHEAD EAST Fund; RHT Program; CCBHC partnerships</w:t>
            </w:r>
          </w:p>
        </w:tc>
      </w:tr>
      <w:tr>
        <w:trPr/>
        <w:tc>
          <w:tcPr>
            <w:tcW w:w="2025" w:type="dxa"/>
          </w:tcPr>
          <w:p>
            <w:pPr>
              <w:pStyle w:val="Compact"/>
              <w:jc w:val="left"/>
            </w:pPr>
            <w:r>
              <w:rPr>
                <w:sz w:val="18"/>
              </w:rPr>
              <w:t xml:space="preserve">Structured data capture standards across all Vermont primary care</w:t>
            </w:r>
          </w:p>
        </w:tc>
        <w:tc>
          <w:tcPr>
            <w:tcW w:w="384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data infrastructure; GMCB analytics vendor; VITL</w:t>
            </w:r>
          </w:p>
        </w:tc>
      </w:tr>
      <w:tr>
        <w:trPr/>
        <w:tc>
          <w:tcPr>
            <w:tcW w:w="2025" w:type="dxa"/>
          </w:tcPr>
          <w:p>
            <w:pPr>
              <w:pStyle w:val="Compact"/>
              <w:jc w:val="left"/>
            </w:pPr>
            <w:r>
              <w:rPr>
                <w:sz w:val="18"/>
              </w:rPr>
              <w:t xml:space="preserve">Care transition protocols at all Vermont hospitals for Blueprint-attributed patients</w:t>
            </w:r>
          </w:p>
        </w:tc>
        <w:tc>
          <w:tcPr>
            <w:tcW w:w="384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CHT model; VITL infrastructure; DVHA quality targets</w:t>
            </w:r>
          </w:p>
        </w:tc>
      </w:tr>
      <w:tr>
        <w:trPr>
          <w:cantSplit/>
        </w:trPr>
        <w:tc>
          <w:tcPr>
            <w:tcW w:w="2025" w:type="dxa"/>
          </w:tcPr>
          <w:p>
            <w:pPr>
              <w:pStyle w:val="Compact"/>
              <w:jc w:val="left"/>
            </w:pPr>
            <w:r>
              <w:rPr>
                <w:sz w:val="18"/>
              </w:rPr>
              <w:t xml:space="preserve">Clinical leader engagement in AHEAD governance and Statewide Strategic Plan development</w:t>
            </w:r>
          </w:p>
        </w:tc>
        <w:tc>
          <w:tcPr>
            <w:tcW w:w="384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Caption"/>
        <w:spacing w:before="120"/>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keepNext w:val="false"/>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275"/>
        <w:gridCol w:w="3795"/>
        <w:gridCol w:w="4005"/>
      </w:tblGrid>
      <w:tr>
        <w:trPr>
          <w:tblHeader w:val="on"/>
          <w:cantSplit/>
        </w:trPr>
        <w:tc>
          <w:tcPr>
            <w:shd w:val="clear" w:color="auto" w:fill="1B3A6B"/>
            <w:tcW w:w="1275" w:type="dxa"/>
          </w:tcPr>
          <w:p>
            <w:pPr>
              <w:pStyle w:val="Compact"/>
              <w:jc w:val="left"/>
            </w:pPr>
            <w:r>
              <w:rPr>
                <w:b/>
                <w:color w:val="FFFFFF"/>
                <w:sz w:val="18"/>
              </w:rPr>
              <w:t xml:space="preserve">SDOH domain</w:t>
            </w:r>
          </w:p>
        </w:tc>
        <w:tc>
          <w:tcPr>
            <w:shd w:val="clear" w:color="auto" w:fill="1B3A6B"/>
            <w:tcW w:w="3795" w:type="dxa"/>
          </w:tcPr>
          <w:p>
            <w:pPr>
              <w:pStyle w:val="Compact"/>
              <w:jc w:val="left"/>
            </w:pPr>
            <w:r>
              <w:rPr>
                <w:b/>
                <w:color w:val="FFFFFF"/>
                <w:sz w:val="18"/>
              </w:rPr>
              <w:t xml:space="preserve">Vermont statistic</w:t>
            </w:r>
          </w:p>
        </w:tc>
        <w:tc>
          <w:tcPr>
            <w:shd w:val="clear" w:color="auto" w:fill="1B3A6B"/>
            <w:tcW w:w="4005" w:type="dxa"/>
          </w:tcPr>
          <w:p>
            <w:pPr>
              <w:pStyle w:val="Compact"/>
              <w:jc w:val="left"/>
            </w:pPr>
            <w:r>
              <w:rPr>
                <w:b/>
                <w:color w:val="FFFFFF"/>
                <w:sz w:val="18"/>
              </w:rPr>
              <w:t xml:space="preserve">Equity implication</w:t>
            </w:r>
          </w:p>
        </w:tc>
      </w:tr>
      <w:tr>
        <w:trPr>
          <w:cantSplit/>
        </w:trPr>
        <w:tc>
          <w:tcPr>
            <w:tcW w:w="1275" w:type="dxa"/>
          </w:tcPr>
          <w:p>
            <w:pPr>
              <w:pStyle w:val="Compact"/>
              <w:jc w:val="left"/>
            </w:pPr>
            <w:r>
              <w:rPr>
                <w:sz w:val="18"/>
              </w:rPr>
              <w:t xml:space="preserve">Housing</w:t>
            </w:r>
          </w:p>
        </w:tc>
        <w:tc>
          <w:tcPr>
            <w:tcW w:w="3795" w:type="dxa"/>
          </w:tcPr>
          <w:p>
            <w:pPr>
              <w:pStyle w:val="Compact"/>
              <w:jc w:val="left"/>
            </w:pPr>
            <w:r>
              <w:rPr>
                <w:sz w:val="18"/>
              </w:rPr>
              <w:t xml:space="preserve">Rental vacancy rate 3% (healthy market = 5%); half of Vermont renters cost-burdened; per capita homelessness rate second highest nationally</w:t>
            </w:r>
          </w:p>
        </w:tc>
        <w:tc>
          <w:tcPr>
            <w:tcW w:w="4005"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275" w:type="dxa"/>
          </w:tcPr>
          <w:p>
            <w:pPr>
              <w:pStyle w:val="Compact"/>
              <w:jc w:val="left"/>
            </w:pPr>
            <w:r>
              <w:rPr>
                <w:sz w:val="18"/>
              </w:rPr>
              <w:t xml:space="preserve">Broadband access</w:t>
            </w:r>
          </w:p>
        </w:tc>
        <w:tc>
          <w:tcPr>
            <w:tcW w:w="3795" w:type="dxa"/>
          </w:tcPr>
          <w:p>
            <w:pPr>
              <w:pStyle w:val="Compact"/>
              <w:jc w:val="left"/>
            </w:pPr>
            <w:r>
              <w:rPr>
                <w:sz w:val="18"/>
              </w:rPr>
              <w:t xml:space="preserve">80% of rural Vermonters have broadband; 14% of all Vermonters lack access</w:t>
            </w:r>
          </w:p>
        </w:tc>
        <w:tc>
          <w:tcPr>
            <w:tcW w:w="4005"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275" w:type="dxa"/>
          </w:tcPr>
          <w:p>
            <w:pPr>
              <w:pStyle w:val="Compact"/>
              <w:jc w:val="left"/>
            </w:pPr>
            <w:r>
              <w:rPr>
                <w:sz w:val="18"/>
              </w:rPr>
              <w:t xml:space="preserve">Food insecurity</w:t>
            </w:r>
          </w:p>
        </w:tc>
        <w:tc>
          <w:tcPr>
            <w:tcW w:w="3795" w:type="dxa"/>
          </w:tcPr>
          <w:p>
            <w:pPr>
              <w:pStyle w:val="Compact"/>
              <w:jc w:val="left"/>
            </w:pPr>
            <w:r>
              <w:rPr>
                <w:sz w:val="18"/>
              </w:rPr>
              <w:t xml:space="preserve">9% of Vermonters are food insecure</w:t>
            </w:r>
          </w:p>
        </w:tc>
        <w:tc>
          <w:tcPr>
            <w:tcW w:w="4005"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275" w:type="dxa"/>
          </w:tcPr>
          <w:p>
            <w:pPr>
              <w:pStyle w:val="Compact"/>
              <w:jc w:val="left"/>
            </w:pPr>
            <w:r>
              <w:rPr>
                <w:sz w:val="18"/>
              </w:rPr>
              <w:t xml:space="preserve">Transportation</w:t>
            </w:r>
          </w:p>
        </w:tc>
        <w:tc>
          <w:tcPr>
            <w:tcW w:w="3795" w:type="dxa"/>
          </w:tcPr>
          <w:p>
            <w:pPr>
              <w:pStyle w:val="Compact"/>
              <w:jc w:val="left"/>
            </w:pPr>
            <w:r>
              <w:rPr>
                <w:sz w:val="18"/>
              </w:rPr>
              <w:t xml:space="preserve">Public transportation limited or unreliable in most rural counties, particularly Northeast Kingdom and Rutland County</w:t>
            </w:r>
          </w:p>
        </w:tc>
        <w:tc>
          <w:tcPr>
            <w:tcW w:w="4005"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275" w:type="dxa"/>
          </w:tcPr>
          <w:p>
            <w:pPr>
              <w:pStyle w:val="Compact"/>
              <w:jc w:val="left"/>
            </w:pPr>
            <w:r>
              <w:rPr>
                <w:sz w:val="18"/>
              </w:rPr>
              <w:t xml:space="preserve">Income</w:t>
            </w:r>
          </w:p>
        </w:tc>
        <w:tc>
          <w:tcPr>
            <w:tcW w:w="3795" w:type="dxa"/>
          </w:tcPr>
          <w:p>
            <w:pPr>
              <w:pStyle w:val="Compact"/>
              <w:jc w:val="left"/>
            </w:pPr>
            <w:r>
              <w:rPr>
                <w:sz w:val="18"/>
              </w:rPr>
              <w:t xml:space="preserve">Rural counties (Essex, Windham, Orleans) report higher poverty rates; Northeast Kingdom has highest unemployment</w:t>
            </w:r>
          </w:p>
        </w:tc>
        <w:tc>
          <w:tcPr>
            <w:tcW w:w="4005"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spacing w:before="0" w:after="0" w:line="240" w:lineRule="auto"/>
              <w:jc w:val="left"/>
            </w:pPr>
            <w:r>
              <w:rPr>
                <w:b/>
                <w:color w:val="FFFFFF"/>
                <w:sz w:val="17"/>
              </w:rPr>
              <w:t xml:space="preserve">Root cause category</w:t>
            </w:r>
          </w:p>
        </w:tc>
        <w:tc>
          <w:tcPr>
            <w:shd w:val="clear" w:color="auto" w:fill="1B3A6B"/>
            <w:tcW w:w="5852" w:type="dxa"/>
          </w:tcPr>
          <w:p>
            <w:pPr>
              <w:pStyle w:val="Compact"/>
              <w:spacing w:before="0" w:after="0" w:line="240" w:lineRule="auto"/>
              <w:jc w:val="left"/>
            </w:pPr>
            <w:r>
              <w:rPr>
                <w:b/>
                <w:color w:val="FFFFFF"/>
                <w:sz w:val="17"/>
              </w:rPr>
              <w:t xml:space="preserve">Mechanisms and Vermont interventions</w:t>
            </w:r>
          </w:p>
        </w:tc>
      </w:tr>
      <w:tr>
        <w:trPr>
          <w:cantSplit/>
        </w:trPr>
        <w:tc>
          <w:tcPr>
            <w:tcW w:w="3219" w:type="dxa"/>
          </w:tcPr>
          <w:p>
            <w:pPr>
              <w:pStyle w:val="Compact"/>
              <w:spacing w:before="0" w:after="0" w:line="240" w:lineRule="auto"/>
              <w:jc w:val="left"/>
            </w:pPr>
            <w:r>
              <w:rPr>
                <w:sz w:val="17"/>
              </w:rPr>
              <w:t xml:space="preserve">1 Geographic Access Barriers</w:t>
            </w:r>
          </w:p>
        </w:tc>
        <w:tc>
          <w:tcPr>
            <w:tcW w:w="5852" w:type="dxa"/>
          </w:tcPr>
          <w:p>
            <w:pPr>
              <w:pStyle w:val="Compact"/>
              <w:spacing w:before="0" w:after="0" w:line="240" w:lineRule="auto"/>
              <w:jc w:val="left"/>
            </w:pPr>
            <w:r>
              <w:rPr>
                <w:sz w:val="17"/>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r>
        <w:trPr/>
        <w:tc>
          <w:tcPr>
            <w:tcW w:w="3219" w:type="dxa"/>
          </w:tcPr>
          <w:p>
            <w:pPr>
              <w:pStyle w:val="Compact"/>
              <w:spacing w:before="0" w:after="0" w:line="240" w:lineRule="auto"/>
              <w:jc w:val="left"/>
            </w:pPr>
            <w:r>
              <w:rPr>
                <w:sz w:val="17"/>
              </w:rPr>
              <w:t xml:space="preserve">2 Social Needs Barriers</w:t>
            </w:r>
          </w:p>
        </w:tc>
        <w:tc>
          <w:tcPr>
            <w:tcW w:w="5852" w:type="dxa"/>
          </w:tcPr>
          <w:p>
            <w:pPr>
              <w:pStyle w:val="Compact"/>
              <w:spacing w:before="0" w:after="0" w:line="240" w:lineRule="auto"/>
              <w:jc w:val="left"/>
            </w:pPr>
            <w:r>
              <w:rPr>
                <w:sz w:val="17"/>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r>
        <w:trPr/>
        <w:tc>
          <w:tcPr>
            <w:tcW w:w="3219" w:type="dxa"/>
          </w:tcPr>
          <w:p>
            <w:pPr>
              <w:pStyle w:val="Compact"/>
              <w:spacing w:before="0" w:after="0" w:line="240" w:lineRule="auto"/>
              <w:jc w:val="left"/>
            </w:pPr>
            <w:r>
              <w:rPr>
                <w:sz w:val="17"/>
              </w:rPr>
              <w:t xml:space="preserve">3 Clinical Practice Variation</w:t>
            </w:r>
          </w:p>
        </w:tc>
        <w:tc>
          <w:tcPr>
            <w:tcW w:w="5852" w:type="dxa"/>
          </w:tcPr>
          <w:p>
            <w:pPr>
              <w:pStyle w:val="Compact"/>
              <w:spacing w:before="0" w:after="0" w:line="240" w:lineRule="auto"/>
              <w:jc w:val="left"/>
            </w:pPr>
            <w:r>
              <w:rPr>
                <w:sz w:val="17"/>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r>
        <w:trPr/>
        <w:tc>
          <w:tcPr>
            <w:tcW w:w="3219" w:type="dxa"/>
          </w:tcPr>
          <w:p>
            <w:pPr>
              <w:pStyle w:val="Compact"/>
              <w:spacing w:before="0" w:after="0" w:line="240" w:lineRule="auto"/>
              <w:jc w:val="left"/>
            </w:pPr>
            <w:r>
              <w:rPr>
                <w:sz w:val="17"/>
              </w:rPr>
              <w:t xml:space="preserve">4 Insurance and Coverage Barriers</w:t>
            </w:r>
          </w:p>
        </w:tc>
        <w:tc>
          <w:tcPr>
            <w:tcW w:w="5852" w:type="dxa"/>
          </w:tcPr>
          <w:p>
            <w:pPr>
              <w:pStyle w:val="Compact"/>
              <w:spacing w:before="0" w:after="0" w:line="240" w:lineRule="auto"/>
              <w:jc w:val="left"/>
            </w:pPr>
            <w:r>
              <w:rPr>
                <w:sz w:val="17"/>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r>
        <w:trPr>
          <w:cantSplit/>
        </w:trPr>
        <w:tc>
          <w:tcPr>
            <w:tcW w:w="3219" w:type="dxa"/>
          </w:tcPr>
          <w:p>
            <w:pPr>
              <w:pStyle w:val="Compact"/>
              <w:spacing w:before="0" w:after="0" w:line="240" w:lineRule="auto"/>
              <w:jc w:val="left"/>
            </w:pPr>
            <w:r>
              <w:rPr>
                <w:sz w:val="17"/>
              </w:rPr>
              <w:t xml:space="preserve">5 Trust and Engagement Barriers</w:t>
            </w:r>
          </w:p>
        </w:tc>
        <w:tc>
          <w:tcPr>
            <w:tcW w:w="5852" w:type="dxa"/>
          </w:tcPr>
          <w:p>
            <w:pPr>
              <w:pStyle w:val="Compact"/>
              <w:spacing w:before="0" w:after="0" w:line="240" w:lineRule="auto"/>
              <w:jc w:val="left"/>
            </w:pPr>
            <w:r>
              <w:rPr>
                <w:sz w:val="17"/>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Caption"/>
        <w:spacing w:before="120"/>
      </w:pPr>
      <w:r>
        <w:rPr>
          <w:i/>
          <w:iCs/>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10.4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10.5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10.6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Figure 10.7 — Vermont HEDIS equity stratification framework. Sources: NCQA HEDIS Technical Specifications; AHS Health Equity Data Report (January 2025); Blueprint for Health data.</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Equity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10.8 — Equity pillar implementation matrix. Sources: Vermont Department of Health Health Equity Data Report (January 2025); Act 68 of 2025.</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10.9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Figure 10.10 — Vermont equity analytics: current data sources by equity dimension. Sources: GMCB; VDH; Blueprint for Health; DVHA; AHS.</w:t>
      </w:r>
    </w:p>
    <w:p>
      <w:pPr>
        <w:pStyle w:val="Heading2"/>
        <w:pBdr>
          <w:top w:val="single" w:sz="6" w:space="10" w:color="C9D2DF"/>
        </w:pBdr>
      </w:pPr>
      <w:r>
        <w:rPr>
          <w:color w:val="161B22"/>
        </w:rPr>
        <w:t xml:space="preserve">10.19  </w:t>
      </w:r>
      <w:bookmarkStart w:id="1310" w:name="_Toc1309"/>
      <w:r>
        <w:rPr>
          <w:b/>
          <w:bCs/>
          <w:color w:val="161B22"/>
        </w:rPr>
        <w:t xml:space="preserve">Implications for You — Equity Measurement</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Caption"/>
        <w:spacing w:before="120"/>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11.19  </w:t>
      </w:r>
      <w:bookmarkStart w:id="1354" w:name="_Toc1353"/>
      <w:r>
        <w:rPr>
          <w:b/>
          <w:bCs/>
          <w:color w:val="161B22"/>
        </w:rPr>
        <w:t xml:space="preserve">Implications for You — Revenue Cycle and Coding</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407">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8">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27">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62">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9">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Figure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B.2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Figure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T.1 — Vermont Healthcare Transformation Timeline: 2022–2035. Sources: Vermont Legislature, CMS, AHS, GMCB.</w:t>
      </w:r>
    </w:p>
    <w:p>
      <w:pPr>
        <w:pStyle w:val="Caption"/>
      </w:pPr>
      <w:r>
        <w:t xml:space="preserve">Figure 2.1 — Common perceptions of Vermont’s health system versus the data. Source: Oliver Wyman Act 167 Report; GMCB.</w:t>
      </w:r>
    </w:p>
    <w:p>
      <w:pPr>
        <w:pStyle w:val="Caption"/>
      </w:pPr>
      <w:r>
        <w:t xml:space="preserve">Figure 2.2 — Proposed Centers of Excellence assignments by hospital. Source: Oliver Wyman regionalization blueprint.</w:t>
      </w:r>
    </w:p>
    <w:p>
      <w:pPr>
        <w:pStyle w:val="Caption"/>
      </w:pPr>
      <w:r>
        <w:t xml:space="preserve">Figure 2.3 — Act 68 statutory implementation timeline. Source: Act 68 of 2025.</w:t>
      </w:r>
    </w:p>
    <w:p>
      <w:pPr>
        <w:pStyle w:val="Caption"/>
      </w:pPr>
      <w:r>
        <w:t xml:space="preserve">Figure 2.4 — State reference-based pricing and rate-setting programs compared. Sources: state program documentation; RAND; GMCB.</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CMMI models most relevant to Vermont’s transformation. Source: CMS Innovation Center.</w:t>
      </w:r>
    </w:p>
    <w:p>
      <w:pPr>
        <w:pStyle w:val="Caption"/>
      </w:pPr>
      <w:r>
        <w:t xml:space="preserve">Figure 3.3 — Policy strategy functions for healthcare organizations. Source: HTR Advisory framework.</w:t>
      </w:r>
    </w:p>
    <w:p>
      <w:pPr>
        <w:pStyle w:val="Caption"/>
      </w:pPr>
      <w:r>
        <w:t xml:space="preserve">Figure 3.4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5.3 — Technology pillar implementation matrix. Sources: HTR Advisory; Vermont RHT Program (2025); CMS interoperability rule.</w:t>
      </w:r>
    </w:p>
    <w:p>
      <w:pPr>
        <w:pStyle w:val="Caption"/>
      </w:pPr>
      <w:r>
        <w:t xml:space="preserve">Figure 5.H — Hands-on platform tools for the Technology Pillar in practice.</w:t>
      </w:r>
    </w:p>
    <w:p>
      <w:pPr>
        <w:pStyle w:val="Caption"/>
      </w:pPr>
      <w:r>
        <w:t xml:space="preserve">Figure 6.1 — Vermont hospital commercial pricing vs. Medicare and break-even benchmarks. Sources: GMCB Act 68 RBP Update (February 2026); RAND Hospital Price Transparency Study.</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6.3 — Cross-state reference-based pricing and rate regulation: design and outcomes. Sources: GMCB Act 68 Update (February 2026); Health Affairs; Commonwealth Fund; CMS.</w:t>
      </w:r>
    </w:p>
    <w:p>
      <w:pPr>
        <w:pStyle w:val="Caption"/>
      </w:pPr>
      <w:r>
        <w:t xml:space="preserve">Figure 6.4 — Vermont RBP and global budget implementation phases. Source: GMCB Act 68 Update, February 2026.</w:t>
      </w:r>
    </w:p>
    <w:p>
      <w:pPr>
        <w:pStyle w:val="Caption"/>
      </w:pPr>
      <w:r>
        <w:t xml:space="preserve">Figure 6.5 — Five dimensions of global budget design with Vermont’s current direction. Source: GMCB Act 68 Update (February 2026); Act 68 of 2025.</w:t>
      </w:r>
    </w:p>
    <w:p>
      <w:pPr>
        <w:pStyle w:val="Caption"/>
      </w:pPr>
      <w:r>
        <w:t xml:space="preserve">Figure 6.6 — Vermont global budget history: four attempts and the central lesson. Sources: GMCB Act 68 Update (February 2026); Oliver Wyman Act 167 Report.</w:t>
      </w:r>
    </w:p>
    <w:p>
      <w:pPr>
        <w:pStyle w:val="Caption"/>
      </w:pPr>
      <w:r>
        <w:t xml:space="preserve">Figure 6.7 — Maryland All-Payer Global Budget Model results summary. Sources: HSCRC; CMS; Commonwealth Fund; Milbank Memorial Fund.</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The economics of prevention under value-based payment. Inpatient and ED costs are approximate averages and vary by DRG and acuity; the ROI range reflects well-designed ACO care-management programs. Sources: CMS; GMCB; HTR analysis.</w:t>
      </w:r>
    </w:p>
    <w:p>
      <w:pPr>
        <w:pStyle w:val="Caption"/>
      </w:pPr>
      <w:r>
        <w:t xml:space="preserve">Figure 7.3 — Economics pillar implementation matrix. Sources: HTR Research Lab; Oliver Wyman Act 167 Report; Vermont AHEAD documentation.</w:t>
      </w:r>
    </w:p>
    <w:p>
      <w:pPr>
        <w:pStyle w:val="Caption"/>
      </w:pPr>
      <w:r>
        <w:t xml:space="preserve">Figure 7.4 — APM contract review framework: provisions and key questions. Source: HTR Advisory framework.</w:t>
      </w:r>
    </w:p>
    <w:p>
      <w:pPr>
        <w:pStyle w:val="Caption"/>
      </w:pPr>
      <w:r>
        <w:t xml:space="preserve">Figure 7.5 — Financial metrics transformation: FFS versus global budget environment. Source: HTR’s Economics pillar framework.</w:t>
      </w:r>
    </w:p>
    <w:p>
      <w:pPr>
        <w:pStyle w:val="Caption"/>
      </w:pPr>
      <w:r>
        <w:t xml:space="preserve">Figure 7.6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8.H — Hands-on platform tools for the Clinical Pillar.</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9.H — Hands-on platform tools for the Clinical Pillar in practice.</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Caption"/>
      </w:pPr>
      <w:r>
        <w:t xml:space="preserve">Figure 10.4 — Vermont equity gaps and required investments. Sources: Vermont Department of Health Health Equity Data Report (January 2025); Oliver Wyman Act 167 Report; AHS Transformation Reports; KFF GLP-1 coverage analysis.</w:t>
      </w:r>
    </w:p>
    <w:p>
      <w:pPr>
        <w:pStyle w:val="Caption"/>
      </w:pPr>
      <w:r>
        <w:t xml:space="preserve">Figure 10.5 — Equity as a cross-cutting dimension of all six pillars. Sources: Act 67 of 2025; Oliver Wyman Act 167 Report; six-pillar framework.</w:t>
      </w:r>
    </w:p>
    <w:p>
      <w:pPr>
        <w:pStyle w:val="Caption"/>
      </w:pPr>
      <w:r>
        <w:t xml:space="preserve">Figure 10.6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Equity pillar implementation matrix. Sources: Vermont Department of Health Health Equity Data Report (January 2025); Act 68 of 2025.</w:t>
      </w:r>
    </w:p>
    <w:p>
      <w:pPr>
        <w:pStyle w:val="Caption"/>
      </w:pPr>
      <w:r>
        <w:t xml:space="preserve">Figure 10.9 — Five-step disparity closure process with Vermont applications. Source: HTR’s Health Equity Studio methodology.</w:t>
      </w:r>
    </w:p>
    <w:p>
      <w:pPr>
        <w:pStyle w:val="Caption"/>
      </w:pPr>
      <w:r>
        <w:t xml:space="preserve">Figure 10.10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Caption"/>
      </w:pPr>
      <w:r>
        <w:t xml:space="preserve">Figure A.1 — Vermont demographic transformation. Sources: Oliver Wyman Act 167 Report (2024); Vermont RHT Program Application; KFF.</w:t>
      </w:r>
    </w:p>
    <w:p>
      <w:pPr>
        <w:pStyle w:val="Caption"/>
      </w:pPr>
      <w:r>
        <w:t xml:space="preserve">Figure A.2 — GMCB regulatory functions. Sources: GMCB Hospital Budget Review Guide; Acts 167 and 68; GMCB Annual Report 2024.</w:t>
      </w:r>
    </w:p>
    <w:p>
      <w:pPr>
        <w:pStyle w:val="Caption"/>
      </w:pPr>
      <w:r>
        <w:t xml:space="preserve">Figure A.3 — Vermont’s 14 hospitals: typology, grant status, focus, and challenges. Sources: AHS Hospital Tracking data (January 2026); individual transformation plans (January 15, 2026); GMCB FY26 Budget Orders.</w:t>
      </w:r>
    </w:p>
    <w:p>
      <w:pPr>
        <w:pStyle w:val="Caption"/>
      </w:pPr>
      <w:r>
        <w:t xml:space="preserve">Figure A.4 — Vermont hospital transformation initiative themes, January 2026 (148 initiatives). Source: AHS Transformation Plans Analysis (January 2026).</w:t>
      </w:r>
    </w:p>
    <w:p>
      <w:pPr>
        <w:pStyle w:val="Caption"/>
      </w:pPr>
      <w:r>
        <w:t xml:space="preserve">Figure B.1 — Act 68 statutory timeline and milestones. Source: Act 68 of 2025.</w:t>
      </w:r>
    </w:p>
    <w:p>
      <w:pPr>
        <w:pStyle w:val="Caption"/>
      </w:pPr>
      <w:r>
        <w:t xml:space="preserve">Figure B.2 — Policy-pillar implementation matrix. Sources: HTR Advisory methodology; Vermont RHT Program Application (2025); GMCB rate-setting documentation.</w:t>
      </w:r>
    </w:p>
    <w:p>
      <w:pPr>
        <w:pStyle w:val="Caption"/>
      </w:pPr>
      <w:r>
        <w:t xml:space="preserve">Figure D.1 — AHEAD State Agreement key terms and Vermont-specific provisions. Source: Vermont AHEAD State Agreement (January 2025).</w:t>
      </w:r>
    </w:p>
    <w:p>
      <w:pPr>
        <w:pStyle w:val="Caption"/>
      </w:pPr>
      <w:r>
        <w:t xml:space="preserve">Figure F.1 — Policy-pillar scorecard. Sources: Act 68 of 2025; Oliver Wyman Act 167 Report; CMS AHEAD documentation; Vermont RHT Program Application.</w:t>
      </w:r>
    </w:p>
    <w:p>
      <w:pPr>
        <w:pStyle w:val="Caption"/>
      </w:pPr>
      <w:r>
        <w:t xml:space="preserve">Figure F.2 — Technology-pillar scorecard. Sources: GMCB VHCURES; VITL; Vermont DOH Health Equity Data Report (January 2025); Vermont RHT Application.</w:t>
      </w:r>
    </w:p>
    <w:p>
      <w:pPr>
        <w:pStyle w:val="Caption"/>
      </w:pPr>
      <w:r>
        <w:t xml:space="preserve">Figure F.3 — Economics-pillar scorecard. Sources: Oliver Wyman Act 167 Report; AHS November 2025 Report; GMCB price-transparency data; CMS AHEAD.</w:t>
      </w:r>
    </w:p>
    <w:p>
      <w:pPr>
        <w:pStyle w:val="Caption"/>
      </w:pPr>
      <w:r>
        <w:t xml:space="preserve">Figure F.4 — Clinical-pillar scorecard. Sources: Vermont Blueprint Annual Report 2024; Vermont AHS; GMCB quality reporting; Oliver Wyman workforce analysis.</w:t>
      </w:r>
    </w:p>
    <w:p>
      <w:pPr>
        <w:pStyle w:val="Caption"/>
      </w:pPr>
      <w:r>
        <w:t xml:space="preserve">Figure F.5 — Equity-pillar scorecard. Sources: Vermont DOH Health Equity Data Report (January 2025); Act 68; GMCB equity reporting; HTR HEROI framework.</w:t>
      </w:r>
    </w:p>
    <w:p>
      <w:pPr>
        <w:pStyle w:val="Caption"/>
      </w:pPr>
      <w:r>
        <w:t xml:space="preserve">Figure F.6 — Operations-pillar scorecard. Sources: AHS Transformation Reports (August, November 2025); RHRC; Vermont RHT Program Application; Act 68.</w:t>
      </w:r>
    </w:p>
    <w:p>
      <w:pPr>
        <w:pStyle w:val="Caption"/>
      </w:pPr>
      <w:r>
        <w:t xml:space="preserve">Figure I.1 — The HTR Lab Workbook maps each of the six pillars to a working platform tool, in the book’s execution sequence.</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2026-08-04T22:56:18Z</dcterms:created>
  <dcterms:modified xsi:type="dcterms:W3CDTF">2026-08-04T22:56:18Z</dcterms:modified>
</cp:coreProperties>
</file>

<file path=docProps/custom.xml><?xml version="1.0" encoding="utf-8"?>
<Properties xmlns="http://schemas.openxmlformats.org/officeDocument/2006/custom-properties" xmlns:vt="http://schemas.openxmlformats.org/officeDocument/2006/docPropsVTypes"/>
</file>