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31785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3178522"/>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90"/>
        <w:gridCol w:w="1485"/>
        <w:gridCol w:w="2430"/>
        <w:gridCol w:w="2970"/>
      </w:tblGrid>
      <w:tr>
        <w:trPr>
          <w:tblHeader w:val="on"/>
          <w:cantSplit/>
        </w:trPr>
        <w:tc>
          <w:tcPr>
            <w:shd w:val="clear" w:color="auto" w:fill="1B3A6B"/>
            <w:tcW w:w="2190" w:type="dxa"/>
          </w:tcPr>
          <w:p>
            <w:pPr>
              <w:pStyle w:val="Compact"/>
              <w:jc w:val="left"/>
            </w:pPr>
            <w:r>
              <w:rPr>
                <w:b/>
                <w:color w:val="FFFFFF"/>
                <w:sz w:val="18"/>
              </w:rPr>
              <w:t xml:space="preserve">H.R. 1 Medicaid provision</w:t>
            </w:r>
          </w:p>
        </w:tc>
        <w:tc>
          <w:tcPr>
            <w:shd w:val="clear" w:color="auto" w:fill="1B3A6B"/>
            <w:tcW w:w="1485" w:type="dxa"/>
          </w:tcPr>
          <w:p>
            <w:pPr>
              <w:pStyle w:val="Compact"/>
              <w:jc w:val="left"/>
            </w:pPr>
            <w:r>
              <w:rPr>
                <w:b/>
                <w:color w:val="FFFFFF"/>
                <w:sz w:val="18"/>
              </w:rPr>
              <w:t xml:space="preserve">When it takes effect</w:t>
            </w:r>
          </w:p>
        </w:tc>
        <w:tc>
          <w:tcPr>
            <w:shd w:val="clear" w:color="auto" w:fill="1B3A6B"/>
            <w:tcW w:w="2430" w:type="dxa"/>
          </w:tcPr>
          <w:p>
            <w:pPr>
              <w:pStyle w:val="Compact"/>
              <w:jc w:val="left"/>
            </w:pPr>
            <w:r>
              <w:rPr>
                <w:b/>
                <w:color w:val="FFFFFF"/>
                <w:sz w:val="18"/>
              </w:rPr>
              <w:t xml:space="preserve">Financial impact</w:t>
            </w:r>
          </w:p>
        </w:tc>
        <w:tc>
          <w:tcPr>
            <w:shd w:val="clear" w:color="auto" w:fill="1B3A6B"/>
            <w:tcW w:w="2970" w:type="dxa"/>
          </w:tcPr>
          <w:p>
            <w:pPr>
              <w:pStyle w:val="Compact"/>
              <w:jc w:val="left"/>
            </w:pPr>
            <w:r>
              <w:rPr>
                <w:b/>
                <w:color w:val="FFFFFF"/>
                <w:sz w:val="18"/>
              </w:rPr>
              <w:t xml:space="preserve">Vermont-specific implications</w:t>
            </w:r>
          </w:p>
        </w:tc>
      </w:tr>
      <w:tr>
        <w:trPr>
          <w:cantSplit/>
        </w:trPr>
        <w:tc>
          <w:tcPr>
            <w:tcW w:w="2190" w:type="dxa"/>
          </w:tcPr>
          <w:p>
            <w:pPr>
              <w:pStyle w:val="Compact"/>
              <w:jc w:val="left"/>
            </w:pPr>
            <w:r>
              <w:rPr>
                <w:sz w:val="18"/>
              </w:rPr>
              <w:t xml:space="preserve">Provider tax restrictions: ban on new or higher provider taxes in expansion states; phase-down of existing taxes</w:t>
            </w:r>
          </w:p>
        </w:tc>
        <w:tc>
          <w:tcPr>
            <w:tcW w:w="1485" w:type="dxa"/>
          </w:tcPr>
          <w:p>
            <w:pPr>
              <w:pStyle w:val="Compact"/>
              <w:jc w:val="left"/>
            </w:pPr>
            <w:r>
              <w:rPr>
                <w:sz w:val="18"/>
              </w:rPr>
              <w:t xml:space="preserve">In effect for new taxes; phase-down beginning 2027</w:t>
            </w:r>
          </w:p>
        </w:tc>
        <w:tc>
          <w:tcPr>
            <w:tcW w:w="2430" w:type="dxa"/>
          </w:tcPr>
          <w:p>
            <w:pPr>
              <w:pStyle w:val="Compact"/>
              <w:jc w:val="left"/>
            </w:pPr>
            <w:r>
              <w:rPr>
                <w:sz w:val="18"/>
              </w:rPr>
              <w:t xml:space="preserve">Reduces states’ ability to finance their Medicaid matching share; intensifies pressure on state Medicaid budgets</w:t>
            </w:r>
          </w:p>
        </w:tc>
        <w:tc>
          <w:tcPr>
            <w:tcW w:w="2970" w:type="dxa"/>
          </w:tcPr>
          <w:p>
            <w:pPr>
              <w:pStyle w:val="Compact"/>
              <w:jc w:val="left"/>
            </w:pPr>
            <w:r>
              <w:rPr>
                <w:sz w:val="18"/>
              </w:rPr>
              <w:t xml:space="preserve">Vermont’s financing mechanisms will need review; state budget implications require modeling through 2031</w:t>
            </w:r>
          </w:p>
        </w:tc>
      </w:tr>
      <w:tr>
        <w:trPr/>
        <w:tc>
          <w:tcPr>
            <w:tcW w:w="2190" w:type="dxa"/>
          </w:tcPr>
          <w:p>
            <w:pPr>
              <w:pStyle w:val="Compact"/>
              <w:jc w:val="left"/>
            </w:pPr>
            <w:r>
              <w:rPr>
                <w:sz w:val="18"/>
              </w:rPr>
              <w:t xml:space="preserve">State-directed payment caps at 100% of Medicare (expansion states)</w:t>
            </w:r>
          </w:p>
        </w:tc>
        <w:tc>
          <w:tcPr>
            <w:tcW w:w="1485" w:type="dxa"/>
          </w:tcPr>
          <w:p>
            <w:pPr>
              <w:pStyle w:val="Compact"/>
              <w:jc w:val="left"/>
            </w:pPr>
            <w:r>
              <w:rPr>
                <w:sz w:val="18"/>
              </w:rPr>
              <w:t xml:space="preserve">2027</w:t>
            </w:r>
          </w:p>
        </w:tc>
        <w:tc>
          <w:tcPr>
            <w:tcW w:w="2430"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970"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90" w:type="dxa"/>
          </w:tcPr>
          <w:p>
            <w:pPr>
              <w:pStyle w:val="Compact"/>
              <w:jc w:val="left"/>
            </w:pPr>
            <w:r>
              <w:rPr>
                <w:sz w:val="18"/>
              </w:rPr>
              <w:t xml:space="preserve">Work and community engagement requirements (80 hours/month)</w:t>
            </w:r>
          </w:p>
        </w:tc>
        <w:tc>
          <w:tcPr>
            <w:tcW w:w="1485" w:type="dxa"/>
          </w:tcPr>
          <w:p>
            <w:pPr>
              <w:pStyle w:val="Compact"/>
              <w:jc w:val="left"/>
            </w:pPr>
            <w:r>
              <w:rPr>
                <w:sz w:val="18"/>
              </w:rPr>
              <w:t xml:space="preserve">Late 2026 (states must implement by December 31, 2026)</w:t>
            </w:r>
          </w:p>
        </w:tc>
        <w:tc>
          <w:tcPr>
            <w:tcW w:w="2430"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970"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90" w:type="dxa"/>
          </w:tcPr>
          <w:p>
            <w:pPr>
              <w:pStyle w:val="Compact"/>
              <w:jc w:val="left"/>
            </w:pPr>
            <w:r>
              <w:rPr>
                <w:sz w:val="18"/>
              </w:rPr>
              <w:t xml:space="preserve">Eligibility redetermination every 6 months (vs. annual)</w:t>
            </w:r>
          </w:p>
        </w:tc>
        <w:tc>
          <w:tcPr>
            <w:tcW w:w="1485" w:type="dxa"/>
          </w:tcPr>
          <w:p>
            <w:pPr>
              <w:pStyle w:val="Compact"/>
              <w:jc w:val="left"/>
            </w:pPr>
            <w:r>
              <w:rPr>
                <w:sz w:val="18"/>
              </w:rPr>
              <w:t xml:space="preserve">2026</w:t>
            </w:r>
          </w:p>
        </w:tc>
        <w:tc>
          <w:tcPr>
            <w:tcW w:w="2430"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970"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90" w:type="dxa"/>
          </w:tcPr>
          <w:p>
            <w:pPr>
              <w:pStyle w:val="Compact"/>
              <w:jc w:val="left"/>
            </w:pPr>
            <w:r>
              <w:rPr>
                <w:sz w:val="18"/>
              </w:rPr>
              <w:t xml:space="preserve">Medicaid reimbursement reductions (DSH cuts, payment rate changes)</w:t>
            </w:r>
          </w:p>
        </w:tc>
        <w:tc>
          <w:tcPr>
            <w:tcW w:w="1485" w:type="dxa"/>
          </w:tcPr>
          <w:p>
            <w:pPr>
              <w:pStyle w:val="Compact"/>
              <w:jc w:val="left"/>
            </w:pPr>
            <w:r>
              <w:rPr>
                <w:sz w:val="18"/>
              </w:rPr>
              <w:t xml:space="preserve">2026-2031 (phased)</w:t>
            </w:r>
          </w:p>
        </w:tc>
        <w:tc>
          <w:tcPr>
            <w:tcW w:w="2430" w:type="dxa"/>
          </w:tcPr>
          <w:p>
            <w:pPr>
              <w:pStyle w:val="Compact"/>
              <w:jc w:val="left"/>
            </w:pPr>
            <w:r>
              <w:rPr>
                <w:sz w:val="18"/>
              </w:rPr>
              <w:t xml:space="preserve">$911B over 10 years nationally; $137B in rural areas; hospitals will experience revenue reductions</w:t>
            </w:r>
          </w:p>
        </w:tc>
        <w:tc>
          <w:tcPr>
            <w:tcW w:w="2970"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450"/>
        <w:gridCol w:w="5610"/>
      </w:tblGrid>
      <w:tr>
        <w:trPr>
          <w:tblHeader w:val="on"/>
          <w:cantSplit/>
        </w:trPr>
        <w:tc>
          <w:tcPr>
            <w:shd w:val="clear" w:color="auto" w:fill="1B3A6B"/>
            <w:tcW w:w="3450" w:type="dxa"/>
          </w:tcPr>
          <w:p>
            <w:pPr>
              <w:pStyle w:val="Compact"/>
            </w:pPr>
            <w:r>
              <w:rPr>
                <w:b/>
                <w:color w:val="FFFFFF"/>
                <w:sz w:val="18"/>
              </w:rPr>
              <w:t xml:space="preserve">Layer</w:t>
            </w:r>
          </w:p>
        </w:tc>
        <w:tc>
          <w:tcPr>
            <w:shd w:val="clear" w:color="auto" w:fill="1B3A6B"/>
            <w:tcW w:w="5610" w:type="dxa"/>
          </w:tcPr>
          <w:p>
            <w:pPr>
              <w:pStyle w:val="Compact"/>
            </w:pPr>
            <w:r>
              <w:rPr>
                <w:b/>
                <w:color w:val="FFFFFF"/>
                <w:sz w:val="18"/>
              </w:rPr>
              <w:t xml:space="preserve">Role in the data stack</w:t>
            </w:r>
          </w:p>
        </w:tc>
      </w:tr>
      <w:tr>
        <w:trPr>
          <w:cantSplit/>
        </w:trPr>
        <w:tc>
          <w:tcPr>
            <w:tcW w:w="3450"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610"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450"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610"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450"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610"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890"/>
        <w:gridCol w:w="4230"/>
        <w:gridCol w:w="2955"/>
      </w:tblGrid>
      <w:tr>
        <w:trPr>
          <w:tblHeader w:val="on"/>
          <w:cantSplit/>
        </w:trPr>
        <w:tc>
          <w:tcPr>
            <w:shd w:val="clear" w:color="auto" w:fill="1B3A6B"/>
            <w:tcW w:w="1890" w:type="dxa"/>
          </w:tcPr>
          <w:p>
            <w:pPr>
              <w:pStyle w:val="Compact"/>
              <w:jc w:val="left"/>
            </w:pPr>
            <w:r>
              <w:rPr>
                <w:b/>
                <w:color w:val="FFFFFF"/>
                <w:sz w:val="18"/>
              </w:rPr>
              <w:t xml:space="preserve">Limitation</w:t>
            </w:r>
          </w:p>
        </w:tc>
        <w:tc>
          <w:tcPr>
            <w:shd w:val="clear" w:color="auto" w:fill="1B3A6B"/>
            <w:tcW w:w="4230" w:type="dxa"/>
          </w:tcPr>
          <w:p>
            <w:pPr>
              <w:pStyle w:val="Compact"/>
              <w:jc w:val="left"/>
            </w:pPr>
            <w:r>
              <w:rPr>
                <w:b/>
                <w:color w:val="FFFFFF"/>
                <w:sz w:val="18"/>
              </w:rPr>
              <w:t xml:space="preserve">What it means for transformation</w:t>
            </w:r>
          </w:p>
        </w:tc>
        <w:tc>
          <w:tcPr>
            <w:shd w:val="clear" w:color="auto" w:fill="1B3A6B"/>
            <w:tcW w:w="2955" w:type="dxa"/>
          </w:tcPr>
          <w:p>
            <w:pPr>
              <w:pStyle w:val="Compact"/>
              <w:jc w:val="left"/>
            </w:pPr>
            <w:r>
              <w:rPr>
                <w:b/>
                <w:color w:val="FFFFFF"/>
                <w:sz w:val="18"/>
              </w:rPr>
              <w:t xml:space="preserve">Required improvement</w:t>
            </w:r>
          </w:p>
        </w:tc>
      </w:tr>
      <w:tr>
        <w:trPr>
          <w:cantSplit/>
        </w:trPr>
        <w:tc>
          <w:tcPr>
            <w:tcW w:w="1890" w:type="dxa"/>
          </w:tcPr>
          <w:p>
            <w:pPr>
              <w:pStyle w:val="Compact"/>
              <w:jc w:val="left"/>
            </w:pPr>
            <w:r>
              <w:rPr>
                <w:sz w:val="18"/>
              </w:rPr>
              <w:t xml:space="preserve">Incomplete commercial coverage (60%)</w:t>
            </w:r>
          </w:p>
        </w:tc>
        <w:tc>
          <w:tcPr>
            <w:tcW w:w="423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955"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890" w:type="dxa"/>
          </w:tcPr>
          <w:p>
            <w:pPr>
              <w:pStyle w:val="Compact"/>
              <w:jc w:val="left"/>
            </w:pPr>
            <w:r>
              <w:rPr>
                <w:sz w:val="18"/>
              </w:rPr>
              <w:t xml:space="preserve">Data lag of 12-18+ months</w:t>
            </w:r>
          </w:p>
        </w:tc>
        <w:tc>
          <w:tcPr>
            <w:tcW w:w="423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955"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890" w:type="dxa"/>
          </w:tcPr>
          <w:p>
            <w:pPr>
              <w:pStyle w:val="Compact"/>
              <w:jc w:val="left"/>
            </w:pPr>
            <w:r>
              <w:rPr>
                <w:sz w:val="18"/>
              </w:rPr>
              <w:t xml:space="preserve">No behavioral health or SDOH data integration</w:t>
            </w:r>
          </w:p>
        </w:tc>
        <w:tc>
          <w:tcPr>
            <w:tcW w:w="423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955"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890" w:type="dxa"/>
          </w:tcPr>
          <w:p>
            <w:pPr>
              <w:pStyle w:val="Compact"/>
              <w:jc w:val="left"/>
            </w:pPr>
            <w:r>
              <w:rPr>
                <w:sz w:val="18"/>
              </w:rPr>
              <w:t xml:space="preserve">No clinical results, only billing records</w:t>
            </w:r>
          </w:p>
        </w:tc>
        <w:tc>
          <w:tcPr>
            <w:tcW w:w="423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955"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65"/>
        <w:gridCol w:w="3165"/>
        <w:gridCol w:w="1815"/>
        <w:gridCol w:w="2445"/>
      </w:tblGrid>
      <w:tr>
        <w:trPr>
          <w:tblHeader w:val="on"/>
          <w:cantSplit/>
        </w:trPr>
        <w:tc>
          <w:tcPr>
            <w:shd w:val="clear" w:color="auto" w:fill="1B3A6B"/>
            <w:tcW w:w="1665" w:type="dxa"/>
          </w:tcPr>
          <w:p>
            <w:pPr>
              <w:pStyle w:val="Compact"/>
              <w:jc w:val="left"/>
            </w:pPr>
            <w:r>
              <w:rPr>
                <w:b/>
                <w:color w:val="FFFFFF"/>
                <w:sz w:val="18"/>
              </w:rPr>
              <w:t xml:space="preserve">Step</w:t>
            </w:r>
          </w:p>
        </w:tc>
        <w:tc>
          <w:tcPr>
            <w:shd w:val="clear" w:color="auto" w:fill="1B3A6B"/>
            <w:tcW w:w="316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65" w:type="dxa"/>
          </w:tcPr>
          <w:p>
            <w:pPr>
              <w:pStyle w:val="Compact"/>
              <w:jc w:val="left"/>
            </w:pPr>
            <w:r>
              <w:rPr>
                <w:sz w:val="18"/>
              </w:rPr>
              <w:t xml:space="preserve">1. VHCURES-VHIE claims-clinical integration</w:t>
            </w:r>
          </w:p>
        </w:tc>
        <w:tc>
          <w:tcPr>
            <w:tcW w:w="316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65" w:type="dxa"/>
          </w:tcPr>
          <w:p>
            <w:pPr>
              <w:pStyle w:val="Compact"/>
              <w:jc w:val="left"/>
            </w:pPr>
            <w:r>
              <w:rPr>
                <w:sz w:val="18"/>
              </w:rPr>
              <w:t xml:space="preserve">2. Mental health and SUD data integration</w:t>
            </w:r>
          </w:p>
        </w:tc>
        <w:tc>
          <w:tcPr>
            <w:tcW w:w="316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65" w:type="dxa"/>
          </w:tcPr>
          <w:p>
            <w:pPr>
              <w:pStyle w:val="Compact"/>
              <w:jc w:val="left"/>
            </w:pPr>
            <w:r>
              <w:rPr>
                <w:sz w:val="18"/>
              </w:rPr>
              <w:t xml:space="preserve">3. SDOH data integration</w:t>
            </w:r>
          </w:p>
        </w:tc>
        <w:tc>
          <w:tcPr>
            <w:tcW w:w="316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455"/>
        <w:gridCol w:w="2700"/>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455" w:type="dxa"/>
          </w:tcPr>
          <w:p>
            <w:pPr>
              <w:pStyle w:val="Compact"/>
              <w:jc w:val="left"/>
            </w:pPr>
            <w:r>
              <w:rPr>
                <w:b/>
                <w:color w:val="FFFFFF"/>
                <w:sz w:val="18"/>
              </w:rPr>
              <w:t xml:space="preserve">Name</w:t>
            </w:r>
          </w:p>
        </w:tc>
        <w:tc>
          <w:tcPr>
            <w:shd w:val="clear" w:color="auto" w:fill="1B3A6B"/>
            <w:tcW w:w="2700"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455" w:type="dxa"/>
          </w:tcPr>
          <w:p>
            <w:pPr>
              <w:pStyle w:val="Compact"/>
              <w:jc w:val="left"/>
            </w:pPr>
            <w:r>
              <w:rPr>
                <w:sz w:val="18"/>
              </w:rPr>
              <w:t xml:space="preserve">End-User Services</w:t>
            </w:r>
          </w:p>
        </w:tc>
        <w:tc>
          <w:tcPr>
            <w:tcW w:w="2700"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455" w:type="dxa"/>
          </w:tcPr>
          <w:p>
            <w:pPr>
              <w:pStyle w:val="Compact"/>
              <w:jc w:val="left"/>
            </w:pPr>
            <w:r>
              <w:rPr>
                <w:sz w:val="18"/>
              </w:rPr>
              <w:t xml:space="preserve">Exchange Services</w:t>
            </w:r>
          </w:p>
        </w:tc>
        <w:tc>
          <w:tcPr>
            <w:tcW w:w="2700"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455" w:type="dxa"/>
          </w:tcPr>
          <w:p>
            <w:pPr>
              <w:pStyle w:val="Compact"/>
              <w:jc w:val="left"/>
            </w:pPr>
            <w:r>
              <w:rPr>
                <w:sz w:val="18"/>
              </w:rPr>
              <w:t xml:space="preserve">Foundational Services</w:t>
            </w:r>
          </w:p>
        </w:tc>
        <w:tc>
          <w:tcPr>
            <w:tcW w:w="2700"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590"/>
        <w:gridCol w:w="7485"/>
      </w:tblGrid>
      <w:tr>
        <w:trPr>
          <w:tblHeader w:val="on"/>
          <w:cantSplit/>
        </w:trPr>
        <w:tc>
          <w:tcPr>
            <w:shd w:val="clear" w:color="auto" w:fill="1B3A6B"/>
            <w:tcW w:w="1590" w:type="dxa"/>
          </w:tcPr>
          <w:p>
            <w:pPr>
              <w:pStyle w:val="Compact"/>
            </w:pPr>
            <w:r>
              <w:rPr>
                <w:b/>
                <w:color w:val="FFFFFF"/>
                <w:sz w:val="18"/>
              </w:rPr>
              <w:t xml:space="preserve">Layer</w:t>
            </w:r>
          </w:p>
        </w:tc>
        <w:tc>
          <w:tcPr>
            <w:shd w:val="clear" w:color="auto" w:fill="1B3A6B"/>
            <w:tcW w:w="7485" w:type="dxa"/>
          </w:tcPr>
          <w:p>
            <w:pPr>
              <w:pStyle w:val="Compact"/>
            </w:pPr>
            <w:r>
              <w:rPr>
                <w:b/>
                <w:color w:val="FFFFFF"/>
                <w:sz w:val="18"/>
              </w:rPr>
              <w:t xml:space="preserve">Components</w:t>
            </w:r>
          </w:p>
        </w:tc>
      </w:tr>
      <w:tr>
        <w:trPr>
          <w:cantSplit/>
        </w:trPr>
        <w:tc>
          <w:tcPr>
            <w:tcW w:w="1590"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485"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590"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485"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590"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485"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590"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485"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590"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485"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2026-08-03T13:49:50Z</dcterms:created>
  <dcterms:modified xsi:type="dcterms:W3CDTF">2026-08-03T13:49:50Z</dcterms:modified>
</cp:coreProperties>
</file>

<file path=docProps/custom.xml><?xml version="1.0" encoding="utf-8"?>
<Properties xmlns="http://schemas.openxmlformats.org/officeDocument/2006/custom-properties" xmlns:vt="http://schemas.openxmlformats.org/officeDocument/2006/docPropsVTypes"/>
</file>