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second-oldest in the country by median age (43.6), tied with New Hampshire and behind only Maine (44.8); West Virginia (43.0) is next.</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monthly hospital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between 2018 and 2022.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appeal of that enforcement — Vermont’s largest, most powerful hospital system testing GMCB’s authority directly — ended in April 2025, when UVMMC dismissed its appeals under a settlement that left the enforcement order in place.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(4 of 5 planned new entities certified July 1,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at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for the first mandatory all-payer price cap in modern Vermont history;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(10% labor, 7-8%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four of which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order standing.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VUHDDS hospital discharge records);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operates on a 12-to-18-month reporting lag, is de-identified for end users, and — because of ERISA preemption — excludes large segments of the commercially insured population. For retrospective research VHCURES remains serviceable. For intervening in a patient’s care, a 12-month lag is not a data source; it is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released March 2027 for FY2028 rates;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14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(14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The ~$4–6.4M cost of a staffed PMO over four to five years is less than 2% of a single year of the value it protects — $195M a year in RHT funds and $300M+ a year in projected RBP savings.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one year’s value managed: $195M/yr RHT + $300M+/yr projected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Quantified per-capita cost-growth targets, aligned with Act 68’s hospital-spending-reduction requirement.</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A plan to raise primary care as a share of total spend (retained as state policy after the AHEAD withdrawal), including Blueprint expansion, CCBHC development, and CoCM deployment.</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State policy after the AHEAD withdrawal; plan formalizes it</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Establish a Division of Planning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AHEAD wind-down alone requires ongoing withdrawal-condition management, EAST Fund closeout, and negotiation of the terms of any successor federal agreement.</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reports, the January 2028 plan, and the three-year updates. The monthly reporting requirement is a real accountability mechanism, not a formality.</w:t>
      </w:r>
    </w:p>
    <w:p w:rsidR="00000000" w:rsidDel="00000000" w:rsidP="00000000" w:rsidRDefault="00000000" w:rsidRPr="00000000" w14:paraId="000012E2">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Windsor</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~48K, aging, rural, southwest VT</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Tier 2 (COE designations TBD);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TBD tier — among most vulnerable; comprehensive assessment needed; Act 68 CAH global-budget deferral to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wind-down and successor-agreement strategy (EAST Fund closeout, resolving CMS’s July 2026 compliance notice on the Medicaid global budget, terms for any second federal agreement); Act 68 compliance tracking (RBP FY2027, non-CAH global budgets FY2028,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closeout (cut to a cap near $10M, against the ~$138M originally expected, before Vermont’s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Under CMS compliance notice</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Enhanced primary-care payments — state/Medicaid-funded successor to the expired Medicare demo</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barely moves — Operations is last in the sequence, so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Under CMS compliance notice (July 2026)</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All are available to Strategist and Enterprise subscribers at healthtransformationreview.org.</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