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April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April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April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open-source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twelve years, founded in 2013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twelve years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for most participants).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launch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recent 1115 amendment approval authorizes HRSN services — enabling Blueprint’s universal SDOH screening to connect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a January 2025 amendment.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skipping that negotiation: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 The administrative cost of prior authorization nationally is estimated in the tens of billions of dollars annually.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unanimously in 2022 but died in the Senate and never became law. CMS achieved much of its substance through rulemaking instead: 2024 rules require payers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 Vermont’s Health Care Advocate has documented PA denial rates and challenged insurance rate filings that include excessive PA complexity costs.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for FY2027;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 assess AHEAD primary care participation options</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Medicaid cuts over 10 years — the largest reduction in federal health spending in American history.</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expansion states; phase-down of existing taxes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beginning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2031</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Vermont hospitals receiving state-directed supplemental payments face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Medicaid reimbursement reductions (DSH cuts, payment rate changes)</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uses a four-phase engagement structure, but the core analytical logic can be applied internally:</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beginning in hospital FY2028. The single most consequential preparation step is HCC documentation accuracy. Under Act 68’s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 before performance accountability begins. Appropriating for these positions is not optional; it is the enabling condition for the federal investment Vermont has committed to.</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all 14 hospitals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Medicare + Medicaid + Commercial</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Blueprint program funding through DVHA; supplemented by OneCare (now transitioning), Medicaid, and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 — maintained above national average</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operated since 2010 under a CMS Multi-Payer Advanced Primary Care Practice Demonstration that allowed Medicare to participate in PCMH and CHT payments. That Medicare participation ended in December 2025 with the All-Payer ACO Model agreement,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ED visits per 10,000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SUD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the only integrated care model with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80% of administrative entities reporting increased CHT staffing.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six ‘Designated Hospitals’ 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MHI initiative allowed primary care teams to serve more patients and provide more consistent follow-up. Flexible and team-based care models helped patients engage in services, particularly those facing complex medical and social challenges.”</w:t>
      </w:r>
      <w:r w:rsidDel="00000000" w:rsidR="00000000" w:rsidRPr="00000000">
        <w:rPr>
          <w:rtl w:val="0"/>
        </w:rPr>
      </w:r>
    </w:p>
    <w:p w:rsidR="00000000" w:rsidDel="00000000" w:rsidP="00000000" w:rsidRDefault="00000000" w:rsidRPr="00000000" w14:paraId="00000A7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Blueprint Mental Health Integration Pilot Qualitative Outcomes Evaluation, 2025</w:t>
      </w:r>
      <w:r w:rsidDel="00000000" w:rsidR="00000000" w:rsidRPr="00000000">
        <w:rPr>
          <w:rtl w:val="0"/>
        </w:rPr>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substance use disorder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comprehensive primary health care vision, as embedded in Act 68,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community health worker deployment</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59% of primary care practices accepting new Medicaid patients — significant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Northeast Kingdom uninsured 6-8% vs. 3% statewide;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Medicare’s Merit-based Incentive Payment System, which larger Vermont practices must join from 2026,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 RHT Program funding; Act 68 grants</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now universally screened for in Vermont’s Blueprint primary care practices.</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 2023 PCMH Standards represent the current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after Vermont withdrew from AHEAD — is the most operationally significant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found 80% of administrative entities increased CHT staffing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Vermont’s population of approximately 60,000-70,000 adults with type 2 diabetes, applying that Blueprint-measured rate to the statewide population implies on the order of 13,000-15,400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 ‘type 2 diabetes’ without documenting the complications it has caused — diabetic CKD, for example, carries its own HCC — is leaving RAF value uncaptured — which translates directly into a lower global budget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take effect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PCMH investment</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PHQ-9 improvement;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Blueprint: Tier 1 (3-5% of panel) = 30-40% of total cost of care</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most common VT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global budget levels.</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9-to-11-point primary care access gap by race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8% Essex County Uninsured — nearly 3x State Avg</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6-8% NE Kingdom Uninsurance Rate</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8% vs. 3% statewide — nearly 3x the state average despite Vermont’s near-universal coverage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Essex + Windham + Orleans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2024 Vermont Department of Health equity report shows that statewide, 94% of Vermont adults have health insurance (BRFSS self-report)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second highest nationally</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AHS HSA Coordinator model linking health and social services;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no earlier than 2028 (CMS postponed its planned January 2027 start),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the most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AHS HSA Coordinator model linking health and social services at community level;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from 8% toward statewide 3%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BIPOC adult rate: reduce gap from 79-81% toward 90% statewide average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90% statewide access vs. 79-81% BIPOC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HSA Coordinators track progress; GMCB analytics vendor enables 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9-to-11-point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9-to-11-point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Operational throughout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AHS has statutory deadlines — hospital transformation plans by early 2026, RBP by FY2027, global budgets by FY2028, the Statewide Strategic Plan by January 2028. It has a constrained budget ($4.2M in appropriated state funds, plus $195M in RHT Program capital). It had a contracted operational partner in the Rural Health Redesign Center through October 2025.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Act 68 established a four-actor governance architecture for Vermont’s transformation that is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Health Care Reform Office (recently reorganized); contracted RHRC through October 2025; hiring additional staff with RHT Program funds</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Newly established under Act 68; initial composition and operating procedures being developed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develops a written outline of its proposed transformation strategy, mapping short-term (within 1 year), medium-term (1-3 years), and long-term actions to Act 167 outcome objectives</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work is ongoing and evolving. Based on hospital feedback and changes in state and federal policy, AHS is continuing to adapt our approach to ensure planning is coordinated, responsive, and effective.”</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RHRC worked with each of Vermont’s 14 hospitals through four parallel workstreams, adapted to each hospital’s specific position and needs: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59%</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59%</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(4 new entities certified July 1, 2026, of 5 planned)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Oliver Wyman’s regionalization blueprint organized Vermont’s hospital network around three facility types,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and North Country Hospital are among the facilities whose futures require further discussion as part of Vermont’s regionalization planning.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opioid overdose rates.</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Washington County (Barre/Montpelier) is second most populous HSA.</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highest uninsurance rates (6-8%)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(Windsor)</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other primary care (RHT application)</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Physician shortage cited in Oliver Wyman operational challenges for every HSA</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with a substantial share dedicated to workforce — tuition assistance, recruitment,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made a counterintuitive finding that Vermont’s primary care shortage is partly a productivity issue, not purely a headcount problem: only a handful of Vermont areas meet HRSA’s geographic criteria for a primary care Health Professional Shortage Area,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included five workforce investment areas,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and loan forgiveness for nurses, physicians, APRNs, LNAs, home health aides, and other providers, with 5-year service obligations in Vermont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training and support for APRNs, physician assistants, pharmacists, and EMTs — enabling Vermont to use its existing workforce at maximum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health worker training and deployment — building the SDOH navigation and care coordination workforce that population health management requires, drawing from the communities being served</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Interstate Medical Licensure Compact (IMLC) participation — enabling out-of-state providers to practice via telehealth in Vermont, reducing specialist access gaps without requiring physical relocation</w:t>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Oliver Wyman’s five Act 167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59%. Avoidable ED visits: reduce from 32.3%. 30-day MH follow-up: increase from 76%</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and the political will — demonstrated through the extraordinary legislative sequence of Acts 167, 51, 55,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Vermont hospitals entering global budgets under Act 68 in FY2028 will have their budgets set based on historical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reduce credentialing cycle time from 90-120 days to 45-60 days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AHS and GMCB have identified three administrative simplification priorities that must be addressed in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Vermont Act 68 CON streamlining;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RHT-funded; shared analytics, IT, care management for 14 hospitals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regionalizing Vermont’s 31 EMS agencies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Vermont’s Tier 1 hospitals under the Oliver Wyman regionalization blueprint.</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typically 2-3x the cost of permanent hires. Heavy travel nursing dependence is a primary driver of hospital financial distress across Vermont’s system.</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Foundation and advanced courses in APM mechanics, HEDIS, and global budgets,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advisory@healthtransformationreview.org</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HEDIS stratification,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advanced programs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technical infrastructure framework documentation.</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global budgets in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removed the voluntary/optional nature of RBP. The AHS restructuring removes the program silo organizational obstacle. The analytics vendor removes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as mandatory, permanent payment architecture are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stratified HEDIS data.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Readiness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D">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r w:rsidDel="00000000" w:rsidR="00000000" w:rsidRPr="00000000">
        <w:rPr>
          <w:rtl w:val="0"/>
        </w:rPr>
      </w:r>
    </w:p>
    <w:p w:rsidR="00000000" w:rsidDel="00000000" w:rsidP="00000000" w:rsidRDefault="00000000" w:rsidRPr="00000000" w14:paraId="00000F9E">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Composite of client reflections, HTR Advisory engagements, 2022–2026</w:t>
      </w:r>
      <w:r w:rsidDel="00000000" w:rsidR="00000000" w:rsidRPr="00000000">
        <w:rPr>
          <w:rtl w:val="0"/>
        </w:rPr>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this chapter argues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The knowledge transfer infrastructure this chapter calls for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all-payer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foundational and advanced courses in APM mechanics, quality measurement, and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April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April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only; no price regulation; no federal agreement</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(FY2027) and global budgets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All hospitals under Act 68 global budgets;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procurement underway; CIN in development; AI-scribe grants funded; FHIR upgrades in progress</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mandatory FY2027 enacted; global-budget methodology under design; 6 of 14 hospitals in losses (FY2024, improved from 9); five-year deficit trajectory unchanged</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90%+ PCMH; BH follow-up 76% (mental health), 68% (SUD); readmission 14.8%; 370-FTE primary-care gap projected by 2030; zero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5 CCBHCs planned (4 certified July 1, 2026); CoCM pilots underway; team-based care deploying; readmission at 14.8% (minimal change from the 14.8% baseline)</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PMO being established; CIN under development; two AHS transformation reports delivered</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April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front-loaded; does not offset the Medicaid cuts</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covers roughly 19% of the state’s insured population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 Secretary Jenney Samuelson’s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JUNE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the most ambitious federal payment reform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the most complete state reform mandate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IT grants funding FHIR upgrades;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(FY2028). National: VBC ~58% commercial; global budgets rare outside VT/MD.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ACO REACH maturing.</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VBC ~70–75% commercial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strongest in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plans in development; AHS restructuring underway;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plans at varying stages;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joint AHS-GMCB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for the first time in a decade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 for the first time.</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RHT funding is a tool that lets us put affordability plans into action. 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Jenney Samuelson, Vermont AHS Secretary, January 2026</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April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optimistic scenario rather than the pessimistic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optimistic and pessimistic scenario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is usually visible in the operating data a year before it becomes a legislative problem.</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of 5 certified Jul 2026 → fifth pending</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(HSA-coordinator model) (Ch. 16)</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In progress → FY2027 staffed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a year in RHT funds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$195M/yr in RHT capital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$195M/yr RHT capital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(4 of 5 planned new entities certified July 1, 2026,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(4 of 5 planned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fifth pending</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 global budgets take effect in FY2028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Vermont hospitals will begin operating under Act 68 global budgets in FY2028. The AHS-GMCB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procurement is underway as of April 2026. The gap between procurement completion and vendor deployment is typically 12 to 18 months for complex health data systems. FY2028 begins in October 2027, 18 months away.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and reduced ACA premium subsidies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April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left the enforcement order in place. Vermont hospitals have contested RBP methodology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first cohort of transformation plans approved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21.7% in 2020 — a roughly 38% increase in the elderly population</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Including 112 family medicine and 190 other primary-care specialties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approved $3.7B (+3.5% vs. 8% requested).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from FY2027,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FY2028–2030; the analytics-vendor procurement (McKinsey, 2025–2026)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primary-care shortfall by 2030 (including 112 family medicine and 190 other).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implementing -1% commercial-rate benchmark</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approved by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In progress — hospitals in draft-plan phase</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DVHA participation decision pending</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target: five)</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fifth pending</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non-CAH (PPS) hospitals</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October 1, 2032</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All RHT Program funds must be spent</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$195M award; spending window 2026–2032</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APM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annual CMS negotiation</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$48M Vermont savings</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Direct contracting at 110% Medicare; $48M initial savings</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Capital deployment 3–5 yrs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major specialties incl. cardiac surgery, neurosurgery, complex oncology, NICU, transplant, trauma</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Acute general surgery, cardiology, orthopedics, psychiatry (adult &amp; adolescent), rehab, dermatology, endocrinology, GI, pain</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cardiology, OB/high-risk OB, adult psychiatry, outpatient oncology, GI</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Neurology, adult psychiatry, cancer surgery, radiation therapy, orthopedics</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Radiation therapy, neurology, cardiac, general surgery, obstetrics</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Cancer surgery, radiation oncology, orthopedics, cardiology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Cancer surgery, infusion/chemotherapy, orthopedics, general surgery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care/dementia,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Assessment ongoing — UVM-network affiliation</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Palliative-care specialty worth preserving; 19-bed, Vermont’s smallest</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Among most financially vulnerable — comprehensive assessment needed</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Northeast Kingdom anchor; REH candidacy under assessment</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CMS HCC v28 risk adjustment across 20 hierarchical condition categories. Sub-tools: HCC v28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six pre-loaded state scenarios; All-Payer Global Budget Designer; Medicaid Expansion Impact Calculator (KFF/CBO methodology);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10-year projections under three scenarios with sensitivity analysis. Vermont: GMCB FY2026 data and Oliver Wyman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5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(20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early 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only (OneCare ACO)</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Mandatory RBP (FY2027) and global budgets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All hospitals under mandatory global budgets</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No all-payer agreement</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procurement underway</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6 of 14 in losses (FY2024, GMCB);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FY2025 Hospital Budget Review</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Mandatory RBP (FY2027) enacted;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(267%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$3,826 (unchanged); RHRC engagement underway</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AHEAD not launched; commercial VBC minimal</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Act 68 global budgets take effect FY2028; commercial VBC growing</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90% of PCPs participating</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Blueprint 90%+</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BH ED follow-up (mental health, 30-day)</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76% (unchanged);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BH ED follow-up (SUD, 30-day)</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68% (improving slowly);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0 certified</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5 planned by 2026; 4 certified July 1, 2026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Shortage intensifying; 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Blueprint; Oliver Wyman workforce analysis</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14.8% (minimal change)</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GMCB quality data; Blueprint</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BIPOC adults</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79–81% (11–12 pt gap vs. white adults)</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79–81% (gap unchanged)</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BIPOC access</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Vermont DOH Health Equity Data Report 2025</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8% (highest in Vermont)</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8% (unchanged)</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framework developed; scoring underway</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Blueprint HRSN screening: 60%+ of practices</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engaged all 14; plans in development</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with approved plans; RHRC engagement complete</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HSA-coordinator model deploying</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 12+ separate rural agencies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two reports delivered (Aug, Nov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April 2026, and several metrics that show no change in 2026 will shift in 2027–2028 as Act 68 global budgets take effect, RBP takes effect, and the hospital plans move from draft 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Stress Test, Actuarial Lab, Clinical Quality Optimizer); Population &amp; Equity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(five participating states, and why Vermont withdrew), California CalAIM ($6.7B Medi-Cal transformation),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RHTP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RHTP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24 states have one (APCD Council).</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primary ACO under the All-Payer ACO Model (2017–2025), now wound down.</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mandatory reference-based pricing by FY2027, global hospital budgets for non-critical-access hospitals by FY2028 and all hospitals by FY2030,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14 sub-state geographic planning units.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AHS-GMCB analytics platform</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Vermont Clinical Transformation Toolkit</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+ 14-hospital regionalization plan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six of fourteen hospitals reporting operating losses in FY2024, down from nine in FY2023,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per year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5-year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set Stage 1 to </w:t>
            </w:r>
            <w:r w:rsidDel="00000000" w:rsidR="00000000" w:rsidRPr="00000000">
              <w:rPr>
                <w:i w:val="1"/>
                <w:iCs w:val="1"/>
                <w:sz w:val="20"/>
                <w:szCs w:val="20"/>
                <w:rtl w:val="0"/>
              </w:rPr>
              <w:t xml:space="preserve">voluntary</w:t>
            </w:r>
            <w:r w:rsidDel="00000000" w:rsidR="00000000" w:rsidRPr="00000000">
              <w:rPr>
                <w:sz w:val="20"/>
                <w:szCs w:val="20"/>
                <w:rtl w:val="0"/>
              </w:rPr>
              <w:t xml:space="preserve"> and leave Stage 2 unbuilt. Re-run the </w:t>
            </w:r>
            <w:r w:rsidDel="00000000" w:rsidR="00000000" w:rsidRPr="00000000">
              <w:rPr>
                <w:b w:val="1"/>
                <w:bCs w:val="1"/>
                <w:sz w:val="20"/>
                <w:szCs w:val="20"/>
                <w:rtl w:val="0"/>
              </w:rPr>
              <w:t xml:space="preserve">Transformation Scorecard</w:t>
            </w:r>
            <w:r w:rsidDel="00000000" w:rsidR="00000000" w:rsidRPr="00000000">
              <w:rPr>
                <w:sz w:val="20"/>
                <w:szCs w:val="20"/>
                <w:rtl w:val="0"/>
              </w:rPr>
              <w:t xml:space="preserve">. The composite collapses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Pew Charitable Trusts (January 2026).</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2024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April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