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second-oldest in the country by median age (43.6), tied with New Hampshire and behind only Maine (44.8); West Virginia (43.0) is next.</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15 to 25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global budgets take effect in FY2028,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NEJM AI ambient scribe randomized trial (2025); JAMA ambient scribe study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14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Windsor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Tier 2 (COE designations TBD);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closeout (cut to a cap near $10M, against the ~$138M originally expected, before Vermont’s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barely moves — Operations is last in the sequence, so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