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HEALTHCARE</w:t>
      </w:r>
    </w:p>
    <w:p>
      <w:pPr>
        <w:pStyle w:val="BodyText"/>
        <w:spacing w:before="200" w:after="40"/>
        <w:jc w:val="left"/>
      </w:pPr>
      <w:r>
        <w:rPr>
          <w:b w:val="0"/>
          <w:i/>
          <w:iCs/>
          <w:color w:val="1B3A6B"/>
          <w:sz w:val="28"/>
        </w:rPr>
        <w:t xml:space="preserve">A Five-Pillar Framework with Vermont as the National Proving Ground</w:t>
      </w:r>
    </w:p>
    <w:p>
      <w:pPr>
        <w:pStyle w:val="BodyText"/>
        <w:spacing w:before="80" w:after="40"/>
        <w:jc w:val="left"/>
      </w:pPr>
      <w:r>
        <w:rPr>
          <w:b/>
          <w:bCs/>
          <w:i w:val="0"/>
          <w:color w:val="1A1A1A"/>
          <w:sz w:val="24"/>
        </w:rPr>
        <w:t xml:space="preserve">Bechir BenSaid</w:t>
      </w:r>
    </w:p>
    <w:p>
      <w:pPr>
        <w:spacing w:after="280"/>
      </w:pPr>
    </w:p>
    <w:p>
      <w:pPr>
        <w:jc w:val="center"/>
      </w:pPr>
      <w:r>
        <w:drawing>
          <wp:inline>
            <wp:extent cx="4343400" cy="4343400"/>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4343400" cy="4343400"/>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4">
        <w:r>
          <w:t xml:space="preserve">The Five-Pillar Framework and the Equity Imperative: Why They Must Move Together</w:t>
        </w:r>
      </w:hyperlink>
      <w:r>
        <w:tab/>
      </w:r>
      <w:r>
        <w:fldChar w:fldCharType="begin"/>
      </w:r>
      <w:r>
        <w:instrText xml:space="preserve"> PAGEREF _Toc1014 \h </w:instrText>
      </w:r>
      <w:r>
        <w:fldChar w:fldCharType="separate"/>
      </w:r>
      <w:r>
        <w:t>1</w:t>
      </w:r>
      <w:r>
        <w:fldChar w:fldCharType="end"/>
      </w:r>
    </w:p>
    <w:p>
      <w:pPr>
        <w:pStyle w:val="TOC2"/>
      </w:pPr>
      <w:hyperlink w:anchor="_Toc1015">
        <w:r>
          <w:t xml:space="preserve">The HTR Ecosystem: How the Book, the Platform, and the Academy Work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How to Use This Book</w:t>
        </w:r>
      </w:hyperlink>
      <w:r>
        <w:tab/>
      </w:r>
      <w:r>
        <w:fldChar w:fldCharType="begin"/>
      </w:r>
      <w:r>
        <w:instrText xml:space="preserve"> PAGEREF _Toc1016 \h </w:instrText>
      </w:r>
      <w:r>
        <w:fldChar w:fldCharType="separate"/>
      </w:r>
      <w:r>
        <w:t>1</w:t>
      </w:r>
      <w:r>
        <w:fldChar w:fldCharType="end"/>
      </w:r>
    </w:p>
    <w:p>
      <w:pPr>
        <w:pStyle w:val="TOC2"/>
      </w:pPr>
      <w:hyperlink w:anchor="_Toc1021">
        <w:r>
          <w:t xml:space="preserve">What This Book Cannot Do</w:t>
        </w:r>
      </w:hyperlink>
      <w:r>
        <w:tab/>
      </w:r>
      <w:r>
        <w:fldChar w:fldCharType="begin"/>
      </w:r>
      <w:r>
        <w:instrText xml:space="preserve"> PAGEREF _Toc1021 \h </w:instrText>
      </w:r>
      <w:r>
        <w:fldChar w:fldCharType="separate"/>
      </w:r>
      <w:r>
        <w:t>1</w:t>
      </w:r>
      <w:r>
        <w:fldChar w:fldCharType="end"/>
      </w:r>
    </w:p>
    <w:p>
      <w:pPr>
        <w:pStyle w:val="TOC1"/>
      </w:pPr>
      <w:hyperlink w:anchor="_Toc1022">
        <w:r>
          <w:t xml:space="preserve">Chapter 1: The Five-Pillar Framework and the Execution Sequence</w:t>
        </w:r>
      </w:hyperlink>
      <w:r>
        <w:tab/>
      </w:r>
      <w:r>
        <w:fldChar w:fldCharType="begin"/>
      </w:r>
      <w:r>
        <w:instrText xml:space="preserve"> PAGEREF _Toc1022 \h </w:instrText>
      </w:r>
      <w:r>
        <w:fldChar w:fldCharType="separate"/>
      </w:r>
      <w:r>
        <w:t>1</w:t>
      </w:r>
      <w:r>
        <w:fldChar w:fldCharType="end"/>
      </w:r>
    </w:p>
    <w:p>
      <w:pPr>
        <w:pStyle w:val="TOC2"/>
      </w:pPr>
      <w:hyperlink w:anchor="_Toc1023">
        <w:r>
          <w:t xml:space="preserve">The Problem with Single-Pillar Thinking</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OneCare Failure: A Sequencing Autopsy</w:t>
        </w:r>
      </w:hyperlink>
      <w:r>
        <w:tab/>
      </w:r>
      <w:r>
        <w:fldChar w:fldCharType="begin"/>
      </w:r>
      <w:r>
        <w:instrText xml:space="preserve"> PAGEREF _Toc1024 \h </w:instrText>
      </w:r>
      <w:r>
        <w:fldChar w:fldCharType="separate"/>
      </w:r>
      <w:r>
        <w:t>1</w:t>
      </w:r>
      <w:r>
        <w:fldChar w:fldCharType="end"/>
      </w:r>
    </w:p>
    <w:p>
      <w:pPr>
        <w:pStyle w:val="TOC2"/>
      </w:pPr>
      <w:hyperlink w:anchor="_Toc1028">
        <w:r>
          <w:t xml:space="preserve">The Five Pillars and the Equity Imperative</w:t>
        </w:r>
      </w:hyperlink>
      <w:r>
        <w:tab/>
      </w:r>
      <w:r>
        <w:fldChar w:fldCharType="begin"/>
      </w:r>
      <w:r>
        <w:instrText xml:space="preserve"> PAGEREF _Toc1028 \h </w:instrText>
      </w:r>
      <w:r>
        <w:fldChar w:fldCharType="separate"/>
      </w:r>
      <w:r>
        <w:t>1</w:t>
      </w:r>
      <w:r>
        <w:fldChar w:fldCharType="end"/>
      </w:r>
    </w:p>
    <w:p>
      <w:pPr>
        <w:pStyle w:val="TOC2"/>
      </w:pPr>
      <w:hyperlink w:anchor="_Toc1029">
        <w:r>
          <w:t xml:space="preserve">The Architecture of Interdependency: The Dependency Matrix</w:t>
        </w:r>
      </w:hyperlink>
      <w:r>
        <w:tab/>
      </w:r>
      <w:r>
        <w:fldChar w:fldCharType="begin"/>
      </w:r>
      <w:r>
        <w:instrText xml:space="preserve"> PAGEREF _Toc1029 \h </w:instrText>
      </w:r>
      <w:r>
        <w:fldChar w:fldCharType="separate"/>
      </w:r>
      <w:r>
        <w:t>1</w:t>
      </w:r>
      <w:r>
        <w:fldChar w:fldCharType="end"/>
      </w:r>
    </w:p>
    <w:p>
      <w:pPr>
        <w:pStyle w:val="TOC2"/>
      </w:pPr>
      <w:hyperlink w:anchor="_Toc1036">
        <w:r>
          <w:t xml:space="preserve">The Failure Cascade: What Happens When a Pillar Is Missing</w:t>
        </w:r>
      </w:hyperlink>
      <w:r>
        <w:tab/>
      </w:r>
      <w:r>
        <w:fldChar w:fldCharType="begin"/>
      </w:r>
      <w:r>
        <w:instrText xml:space="preserve"> PAGEREF _Toc1036 \h </w:instrText>
      </w:r>
      <w:r>
        <w:fldChar w:fldCharType="separate"/>
      </w:r>
      <w:r>
        <w:t>1</w:t>
      </w:r>
      <w:r>
        <w:fldChar w:fldCharType="end"/>
      </w:r>
    </w:p>
    <w:p>
      <w:pPr>
        <w:pStyle w:val="TOC2"/>
      </w:pPr>
      <w:hyperlink w:anchor="_Toc1037">
        <w:r>
          <w:t xml:space="preserve">Using the Dependency Map as an Analytical Tool</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The Vermont Thread: Five Pillars in One System</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From Framework to Sequence: Why Order Is Not Optional</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The Core Argument: Dependency Logic Determines Sequence</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Critics: Why Sequencing Logic Has Real Opponents</w:t>
        </w:r>
      </w:hyperlink>
      <w:r>
        <w:tab/>
      </w:r>
      <w:r>
        <w:fldChar w:fldCharType="begin"/>
      </w:r>
      <w:r>
        <w:instrText xml:space="preserve"> PAGEREF _Toc1041 \h </w:instrText>
      </w:r>
      <w:r>
        <w:fldChar w:fldCharType="separate"/>
      </w:r>
      <w:r>
        <w:t>1</w:t>
      </w:r>
      <w:r>
        <w:fldChar w:fldCharType="end"/>
      </w:r>
    </w:p>
    <w:p>
      <w:pPr>
        <w:pStyle w:val="TOC2"/>
      </w:pPr>
      <w:hyperlink w:anchor="_Toc1045">
        <w:r>
          <w:t xml:space="preserve">The Five Stages: Resolved</w:t>
        </w:r>
      </w:hyperlink>
      <w:r>
        <w:tab/>
      </w:r>
      <w:r>
        <w:fldChar w:fldCharType="begin"/>
      </w:r>
      <w:r>
        <w:instrText xml:space="preserve"> PAGEREF _Toc1045 \h </w:instrText>
      </w:r>
      <w:r>
        <w:fldChar w:fldCharType="separate"/>
      </w:r>
      <w:r>
        <w:t>1</w:t>
      </w:r>
      <w:r>
        <w:fldChar w:fldCharType="end"/>
      </w:r>
    </w:p>
    <w:p>
      <w:pPr>
        <w:pStyle w:val="TOC2"/>
      </w:pPr>
      <w:hyperlink w:anchor="_Toc1052">
        <w:r>
          <w:t xml:space="preserve">Three Sequencing Principles in Practice</w:t>
        </w:r>
      </w:hyperlink>
      <w:r>
        <w:tab/>
      </w:r>
      <w:r>
        <w:fldChar w:fldCharType="begin"/>
      </w:r>
      <w:r>
        <w:instrText xml:space="preserve"> PAGEREF _Toc1052 \h </w:instrText>
      </w:r>
      <w:r>
        <w:fldChar w:fldCharType="separate"/>
      </w:r>
      <w:r>
        <w:t>1</w:t>
      </w:r>
      <w:r>
        <w:fldChar w:fldCharType="end"/>
      </w:r>
    </w:p>
    <w:p>
      <w:pPr>
        <w:pStyle w:val="TOC2"/>
      </w:pPr>
      <w:hyperlink w:anchor="_Toc1056">
        <w:r>
          <w:t xml:space="preserve">Five Sequencing Decisions That Organizations Get Wrong</w:t>
        </w:r>
      </w:hyperlink>
      <w:r>
        <w:tab/>
      </w:r>
      <w:r>
        <w:fldChar w:fldCharType="begin"/>
      </w:r>
      <w:r>
        <w:instrText xml:space="preserve"> PAGEREF _Toc1056 \h </w:instrText>
      </w:r>
      <w:r>
        <w:fldChar w:fldCharType="separate"/>
      </w:r>
      <w:r>
        <w:t>1</w:t>
      </w:r>
      <w:r>
        <w:fldChar w:fldCharType="end"/>
      </w:r>
    </w:p>
    <w:p>
      <w:pPr>
        <w:pStyle w:val="TOC2"/>
      </w:pPr>
      <w:hyperlink w:anchor="_Toc1057">
        <w:r>
          <w:t xml:space="preserve">Vermont’s Implementation Timeline: Reading the Sequence in Statutory Deadlines</w:t>
        </w:r>
      </w:hyperlink>
      <w:r>
        <w:tab/>
      </w:r>
      <w:r>
        <w:fldChar w:fldCharType="begin"/>
      </w:r>
      <w:r>
        <w:instrText xml:space="preserve"> PAGEREF _Toc1057 \h </w:instrText>
      </w:r>
      <w:r>
        <w:fldChar w:fldCharType="separate"/>
      </w:r>
      <w:r>
        <w:t>1</w:t>
      </w:r>
      <w:r>
        <w:fldChar w:fldCharType="end"/>
      </w:r>
    </w:p>
    <w:p>
      <w:pPr>
        <w:pStyle w:val="TOC2"/>
      </w:pPr>
      <w:hyperlink w:anchor="_Toc1059">
        <w:r>
          <w:t xml:space="preserve">EXPLORE ON THE PLATFORM</w:t>
        </w:r>
      </w:hyperlink>
      <w:r>
        <w:tab/>
      </w:r>
      <w:r>
        <w:fldChar w:fldCharType="begin"/>
      </w:r>
      <w:r>
        <w:instrText xml:space="preserve"> PAGEREF _Toc1059 \h </w:instrText>
      </w:r>
      <w:r>
        <w:fldChar w:fldCharType="separate"/>
      </w:r>
      <w:r>
        <w:t>1</w:t>
      </w:r>
      <w:r>
        <w:fldChar w:fldCharType="end"/>
      </w:r>
    </w:p>
    <w:p>
      <w:pPr>
        <w:pStyle w:val="TOC2"/>
      </w:pPr>
      <w:hyperlink w:anchor="_Toc1060">
        <w:r>
          <w:t xml:space="preserve">GO DEEPER — ACADEMY</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That Vermont Signed, Then Withdrew</w:t>
        </w:r>
      </w:hyperlink>
      <w:r>
        <w:tab/>
      </w:r>
      <w:r>
        <w:fldChar w:fldCharType="begin"/>
      </w:r>
      <w:r>
        <w:instrText xml:space="preserve"> PAGEREF _Toc1190 \h </w:instrText>
      </w:r>
      <w:r>
        <w:fldChar w:fldCharType="separate"/>
      </w:r>
      <w:r>
        <w:t>1</w:t>
      </w:r>
      <w:r>
        <w:fldChar w:fldCharType="end"/>
      </w:r>
    </w:p>
    <w:p>
      <w:pPr>
        <w:pStyle w:val="TOC2"/>
      </w:pPr>
      <w:hyperlink w:anchor="_Toc1191">
        <w:r>
          <w:t xml:space="preserve">Hospital Financial Modeling — Reading the Numbers That Matter</w:t>
        </w:r>
      </w:hyperlink>
      <w:r>
        <w:tab/>
      </w:r>
      <w:r>
        <w:fldChar w:fldCharType="begin"/>
      </w:r>
      <w:r>
        <w:instrText xml:space="preserve"> PAGEREF _Toc1191 \h </w:instrText>
      </w:r>
      <w:r>
        <w:fldChar w:fldCharType="separate"/>
      </w:r>
      <w:r>
        <w:t>1</w:t>
      </w:r>
      <w:r>
        <w:fldChar w:fldCharType="end"/>
      </w:r>
    </w:p>
    <w:p>
      <w:pPr>
        <w:pStyle w:val="TOC2"/>
      </w:pPr>
      <w:hyperlink w:anchor="_Toc1195">
        <w:r>
          <w:t xml:space="preserve">APM Transition Strategy for Vermont Healthcare Organizations</w:t>
        </w:r>
      </w:hyperlink>
      <w:r>
        <w:tab/>
      </w:r>
      <w:r>
        <w:fldChar w:fldCharType="begin"/>
      </w:r>
      <w:r>
        <w:instrText xml:space="preserve"> PAGEREF _Toc1195 \h </w:instrText>
      </w:r>
      <w:r>
        <w:fldChar w:fldCharType="separate"/>
      </w:r>
      <w:r>
        <w:t>1</w:t>
      </w:r>
      <w:r>
        <w:fldChar w:fldCharType="end"/>
      </w:r>
    </w:p>
    <w:p>
      <w:pPr>
        <w:pStyle w:val="TOC2"/>
      </w:pPr>
      <w:hyperlink w:anchor="_Toc1198">
        <w:r>
          <w:t xml:space="preserve">Work This Chapter on the Platform</w:t>
        </w:r>
      </w:hyperlink>
      <w:r>
        <w:tab/>
      </w:r>
      <w:r>
        <w:fldChar w:fldCharType="begin"/>
      </w:r>
      <w:r>
        <w:instrText xml:space="preserve"> PAGEREF _Toc1198 \h </w:instrText>
      </w:r>
      <w:r>
        <w:fldChar w:fldCharType="separate"/>
      </w:r>
      <w:r>
        <w:t>1</w:t>
      </w:r>
      <w:r>
        <w:fldChar w:fldCharType="end"/>
      </w:r>
    </w:p>
    <w:p>
      <w:pPr>
        <w:pStyle w:val="TOC2"/>
      </w:pPr>
      <w:hyperlink w:anchor="_Toc1199">
        <w:r>
          <w:t xml:space="preserve">Implications for You</w:t>
        </w:r>
      </w:hyperlink>
      <w:r>
        <w:tab/>
      </w:r>
      <w:r>
        <w:fldChar w:fldCharType="begin"/>
      </w:r>
      <w:r>
        <w:instrText xml:space="preserve"> PAGEREF _Toc1199 \h </w:instrText>
      </w:r>
      <w:r>
        <w:fldChar w:fldCharType="separate"/>
      </w:r>
      <w:r>
        <w:t>1</w:t>
      </w:r>
      <w:r>
        <w:fldChar w:fldCharType="end"/>
      </w:r>
    </w:p>
    <w:p>
      <w:pPr>
        <w:pStyle w:val="TOC2"/>
      </w:pPr>
      <w:hyperlink w:anchor="_Toc1200">
        <w:r>
          <w:t xml:space="preserve">Key Concepts in This Chapter</w:t>
        </w:r>
      </w:hyperlink>
      <w:r>
        <w:tab/>
      </w:r>
      <w:r>
        <w:fldChar w:fldCharType="begin"/>
      </w:r>
      <w:r>
        <w:instrText xml:space="preserve"> PAGEREF _Toc1200 \h </w:instrText>
      </w:r>
      <w:r>
        <w:fldChar w:fldCharType="separate"/>
      </w:r>
      <w:r>
        <w:t>1</w:t>
      </w:r>
      <w:r>
        <w:fldChar w:fldCharType="end"/>
      </w:r>
    </w:p>
    <w:p>
      <w:pPr>
        <w:pStyle w:val="TOC1"/>
      </w:pPr>
      <w:hyperlink w:anchor="_Toc1201">
        <w:r>
          <w:t xml:space="preserve">Chapter 7: The Economics Pillar in Practice — VBC Financial Modeling and APM Readiness</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From Payment Architecture to Financial Practice</w:t>
        </w:r>
      </w:hyperlink>
      <w:r>
        <w:tab/>
      </w:r>
      <w:r>
        <w:fldChar w:fldCharType="begin"/>
      </w:r>
      <w:r>
        <w:instrText xml:space="preserve"> PAGEREF _Toc1202 \h </w:instrText>
      </w:r>
      <w:r>
        <w:fldChar w:fldCharType="separate"/>
      </w:r>
      <w:r>
        <w:t>1</w:t>
      </w:r>
      <w:r>
        <w:fldChar w:fldCharType="end"/>
      </w:r>
    </w:p>
    <w:p>
      <w:pPr>
        <w:pStyle w:val="TOC2"/>
      </w:pPr>
      <w:hyperlink w:anchor="_Toc1203">
        <w:r>
          <w:t xml:space="preserve">The APM Financial Modeling Framework</w:t>
        </w:r>
      </w:hyperlink>
      <w:r>
        <w:tab/>
      </w:r>
      <w:r>
        <w:fldChar w:fldCharType="begin"/>
      </w:r>
      <w:r>
        <w:instrText xml:space="preserve"> PAGEREF _Toc1203 \h </w:instrText>
      </w:r>
      <w:r>
        <w:fldChar w:fldCharType="separate"/>
      </w:r>
      <w:r>
        <w:t>1</w:t>
      </w:r>
      <w:r>
        <w:fldChar w:fldCharType="end"/>
      </w:r>
    </w:p>
    <w:p>
      <w:pPr>
        <w:pStyle w:val="TOC2"/>
      </w:pPr>
      <w:hyperlink w:anchor="_Toc1211">
        <w:r>
          <w:t xml:space="preserve">Economics Pillar Implementation Matrix</w:t>
        </w:r>
      </w:hyperlink>
      <w:r>
        <w:tab/>
      </w:r>
      <w:r>
        <w:fldChar w:fldCharType="begin"/>
      </w:r>
      <w:r>
        <w:instrText xml:space="preserve"> PAGEREF _Toc1211 \h </w:instrText>
      </w:r>
      <w:r>
        <w:fldChar w:fldCharType="separate"/>
      </w:r>
      <w:r>
        <w:t>1</w:t>
      </w:r>
      <w:r>
        <w:fldChar w:fldCharType="end"/>
      </w:r>
    </w:p>
    <w:p>
      <w:pPr>
        <w:pStyle w:val="TOC2"/>
      </w:pPr>
      <w:hyperlink w:anchor="_Toc1212">
        <w:r>
          <w:t xml:space="preserve">APM Readiness Assessment — The 30-Dimension Framework</w:t>
        </w:r>
      </w:hyperlink>
      <w:r>
        <w:tab/>
      </w:r>
      <w:r>
        <w:fldChar w:fldCharType="begin"/>
      </w:r>
      <w:r>
        <w:instrText xml:space="preserve"> PAGEREF _Toc1212 \h </w:instrText>
      </w:r>
      <w:r>
        <w:fldChar w:fldCharType="separate"/>
      </w:r>
      <w:r>
        <w:t>1</w:t>
      </w:r>
      <w:r>
        <w:fldChar w:fldCharType="end"/>
      </w:r>
    </w:p>
    <w:p>
      <w:pPr>
        <w:pStyle w:val="TOC2"/>
      </w:pPr>
      <w:hyperlink w:anchor="_Toc1215">
        <w:r>
          <w:t xml:space="preserve">Contract Analysis — Reading an APM Contract for Financial Risk</w:t>
        </w:r>
      </w:hyperlink>
      <w:r>
        <w:tab/>
      </w:r>
      <w:r>
        <w:fldChar w:fldCharType="begin"/>
      </w:r>
      <w:r>
        <w:instrText xml:space="preserve"> PAGEREF _Toc1215 \h </w:instrText>
      </w:r>
      <w:r>
        <w:fldChar w:fldCharType="separate"/>
      </w:r>
      <w:r>
        <w:t>1</w:t>
      </w:r>
      <w:r>
        <w:fldChar w:fldCharType="end"/>
      </w:r>
    </w:p>
    <w:p>
      <w:pPr>
        <w:pStyle w:val="TOC2"/>
      </w:pPr>
      <w:hyperlink w:anchor="_Toc1217">
        <w:r>
          <w:t xml:space="preserve">Hospital Financial Modeling Under Global Budgets — The Vermont Framework</w:t>
        </w:r>
      </w:hyperlink>
      <w:r>
        <w:tab/>
      </w:r>
      <w:r>
        <w:fldChar w:fldCharType="begin"/>
      </w:r>
      <w:r>
        <w:instrText xml:space="preserve"> PAGEREF _Toc1217 \h </w:instrText>
      </w:r>
      <w:r>
        <w:fldChar w:fldCharType="separate"/>
      </w:r>
      <w:r>
        <w:t>1</w:t>
      </w:r>
      <w:r>
        <w:fldChar w:fldCharType="end"/>
      </w:r>
    </w:p>
    <w:p>
      <w:pPr>
        <w:pStyle w:val="TOC2"/>
      </w:pPr>
      <w:hyperlink w:anchor="_Toc1220">
        <w:r>
          <w:t xml:space="preserve">The ROI of Transformation — Building the Financial Case</w:t>
        </w:r>
      </w:hyperlink>
      <w:r>
        <w:tab/>
      </w:r>
      <w:r>
        <w:fldChar w:fldCharType="begin"/>
      </w:r>
      <w:r>
        <w:instrText xml:space="preserve"> PAGEREF _Toc1220 \h </w:instrText>
      </w:r>
      <w:r>
        <w:fldChar w:fldCharType="separate"/>
      </w:r>
      <w:r>
        <w:t>1</w:t>
      </w:r>
      <w:r>
        <w:fldChar w:fldCharType="end"/>
      </w:r>
    </w:p>
    <w:p>
      <w:pPr>
        <w:pStyle w:val="TOC2"/>
      </w:pPr>
      <w:hyperlink w:anchor="_Toc1222">
        <w:r>
          <w:t xml:space="preserve">Making Care Primary — Vermont’s Primary Care Economics</w:t>
        </w:r>
      </w:hyperlink>
      <w:r>
        <w:tab/>
      </w:r>
      <w:r>
        <w:fldChar w:fldCharType="begin"/>
      </w:r>
      <w:r>
        <w:instrText xml:space="preserve"> PAGEREF _Toc1222 \h </w:instrText>
      </w:r>
      <w:r>
        <w:fldChar w:fldCharType="separate"/>
      </w:r>
      <w:r>
        <w:t>1</w:t>
      </w:r>
      <w:r>
        <w:fldChar w:fldCharType="end"/>
      </w:r>
    </w:p>
    <w:p>
      <w:pPr>
        <w:pStyle w:val="TOC2"/>
      </w:pPr>
      <w:hyperlink w:anchor="_Toc1223">
        <w:r>
          <w:t xml:space="preserve">Work This Chapter on the Platform</w:t>
        </w:r>
      </w:hyperlink>
      <w:r>
        <w:tab/>
      </w:r>
      <w:r>
        <w:fldChar w:fldCharType="begin"/>
      </w:r>
      <w:r>
        <w:instrText xml:space="preserve"> PAGEREF _Toc1223 \h </w:instrText>
      </w:r>
      <w:r>
        <w:fldChar w:fldCharType="separate"/>
      </w:r>
      <w:r>
        <w:t>1</w:t>
      </w:r>
      <w:r>
        <w:fldChar w:fldCharType="end"/>
      </w:r>
    </w:p>
    <w:p>
      <w:pPr>
        <w:pStyle w:val="TOC2"/>
      </w:pPr>
      <w:hyperlink w:anchor="_Toc1224">
        <w:r>
          <w:t xml:space="preserve">Implications for You</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Key Concepts in This Chapter</w:t>
        </w:r>
      </w:hyperlink>
      <w:r>
        <w:tab/>
      </w:r>
      <w:r>
        <w:fldChar w:fldCharType="begin"/>
      </w:r>
      <w:r>
        <w:instrText xml:space="preserve"> PAGEREF _Toc1225 \h </w:instrText>
      </w:r>
      <w:r>
        <w:fldChar w:fldCharType="separate"/>
      </w:r>
      <w:r>
        <w:t>1</w:t>
      </w:r>
      <w:r>
        <w:fldChar w:fldCharType="end"/>
      </w:r>
    </w:p>
    <w:p>
      <w:pPr>
        <w:pStyle w:val="TOC1"/>
      </w:pPr>
      <w:hyperlink w:anchor="_Toc1226">
        <w:r>
          <w:t xml:space="preserve">Chapter 8: The Clinical Pillar — Redesigning Care Delivery for a Transformed System</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The Clinical Pillar: What It Is and Why It Is Not the Same as Clinical Quality</w:t>
        </w:r>
      </w:hyperlink>
      <w:r>
        <w:tab/>
      </w:r>
      <w:r>
        <w:fldChar w:fldCharType="begin"/>
      </w:r>
      <w:r>
        <w:instrText xml:space="preserve"> PAGEREF _Toc1227 \h </w:instrText>
      </w:r>
      <w:r>
        <w:fldChar w:fldCharType="separate"/>
      </w:r>
      <w:r>
        <w:t>1</w:t>
      </w:r>
      <w:r>
        <w:fldChar w:fldCharType="end"/>
      </w:r>
    </w:p>
    <w:p>
      <w:pPr>
        <w:pStyle w:val="TOC2"/>
      </w:pPr>
      <w:hyperlink w:anchor="_Toc1228">
        <w:r>
          <w:t xml:space="preserve">The Vermont Blueprint for Health — Two Decades of Primary Care Transformation</w:t>
        </w:r>
      </w:hyperlink>
      <w:r>
        <w:tab/>
      </w:r>
      <w:r>
        <w:fldChar w:fldCharType="begin"/>
      </w:r>
      <w:r>
        <w:instrText xml:space="preserve"> PAGEREF _Toc1228 \h </w:instrText>
      </w:r>
      <w:r>
        <w:fldChar w:fldCharType="separate"/>
      </w:r>
      <w:r>
        <w:t>1</w:t>
      </w:r>
      <w:r>
        <w:fldChar w:fldCharType="end"/>
      </w:r>
    </w:p>
    <w:p>
      <w:pPr>
        <w:pStyle w:val="TOC2"/>
      </w:pPr>
      <w:hyperlink w:anchor="_Toc1232">
        <w:r>
          <w:t xml:space="preserve">The Behavioral Health Crisis — Vermont’s Most Urgent Clinical Challenge</w:t>
        </w:r>
      </w:hyperlink>
      <w:r>
        <w:tab/>
      </w:r>
      <w:r>
        <w:fldChar w:fldCharType="begin"/>
      </w:r>
      <w:r>
        <w:instrText xml:space="preserve"> PAGEREF _Toc1232 \h </w:instrText>
      </w:r>
      <w:r>
        <w:fldChar w:fldCharType="separate"/>
      </w:r>
      <w:r>
        <w:t>1</w:t>
      </w:r>
      <w:r>
        <w:fldChar w:fldCharType="end"/>
      </w:r>
    </w:p>
    <w:p>
      <w:pPr>
        <w:pStyle w:val="TOC2"/>
      </w:pPr>
      <w:hyperlink w:anchor="_Toc1236">
        <w:r>
          <w:t xml:space="preserve">Primary Care Redesign — Vermont’s Strategy for the Front Door</w:t>
        </w:r>
      </w:hyperlink>
      <w:r>
        <w:tab/>
      </w:r>
      <w:r>
        <w:fldChar w:fldCharType="begin"/>
      </w:r>
      <w:r>
        <w:instrText xml:space="preserve"> PAGEREF _Toc1236 \h </w:instrText>
      </w:r>
      <w:r>
        <w:fldChar w:fldCharType="separate"/>
      </w:r>
      <w:r>
        <w:t>1</w:t>
      </w:r>
      <w:r>
        <w:fldChar w:fldCharType="end"/>
      </w:r>
    </w:p>
    <w:p>
      <w:pPr>
        <w:pStyle w:val="TOC2"/>
      </w:pPr>
      <w:hyperlink w:anchor="_Toc1239">
        <w:r>
          <w:t xml:space="preserve">Vermont’s Clinical Quality Architecture — Measuring What Matters</w:t>
        </w:r>
      </w:hyperlink>
      <w:r>
        <w:tab/>
      </w:r>
      <w:r>
        <w:fldChar w:fldCharType="begin"/>
      </w:r>
      <w:r>
        <w:instrText xml:space="preserve"> PAGEREF _Toc1239 \h </w:instrText>
      </w:r>
      <w:r>
        <w:fldChar w:fldCharType="separate"/>
      </w:r>
      <w:r>
        <w:t>1</w:t>
      </w:r>
      <w:r>
        <w:fldChar w:fldCharType="end"/>
      </w:r>
    </w:p>
    <w:p>
      <w:pPr>
        <w:pStyle w:val="TOC2"/>
      </w:pPr>
      <w:hyperlink w:anchor="_Toc1241">
        <w:r>
          <w:t xml:space="preserve">Care for Vermont’s Aging Population — The Clinical Imperative</w:t>
        </w:r>
      </w:hyperlink>
      <w:r>
        <w:tab/>
      </w:r>
      <w:r>
        <w:fldChar w:fldCharType="begin"/>
      </w:r>
      <w:r>
        <w:instrText xml:space="preserve"> PAGEREF _Toc1241 \h </w:instrText>
      </w:r>
      <w:r>
        <w:fldChar w:fldCharType="separate"/>
      </w:r>
      <w:r>
        <w:t>1</w:t>
      </w:r>
      <w:r>
        <w:fldChar w:fldCharType="end"/>
      </w:r>
    </w:p>
    <w:p>
      <w:pPr>
        <w:pStyle w:val="TOC2"/>
      </w:pPr>
      <w:hyperlink w:anchor="_Toc1244">
        <w:r>
          <w:t xml:space="preserve">Clinical Pillar Implications for AHS’s Statewide Strategic Plan</w:t>
        </w:r>
      </w:hyperlink>
      <w:r>
        <w:tab/>
      </w:r>
      <w:r>
        <w:fldChar w:fldCharType="begin"/>
      </w:r>
      <w:r>
        <w:instrText xml:space="preserve"> PAGEREF _Toc1244 \h </w:instrText>
      </w:r>
      <w:r>
        <w:fldChar w:fldCharType="separate"/>
      </w:r>
      <w:r>
        <w:t>1</w:t>
      </w:r>
      <w:r>
        <w:fldChar w:fldCharType="end"/>
      </w:r>
    </w:p>
    <w:p>
      <w:pPr>
        <w:pStyle w:val="TOC2"/>
      </w:pPr>
      <w:hyperlink w:anchor="_Toc1245">
        <w:r>
          <w:t xml:space="preserve">Work This Chapter on the Platform</w:t>
        </w:r>
      </w:hyperlink>
      <w:r>
        <w:tab/>
      </w:r>
      <w:r>
        <w:fldChar w:fldCharType="begin"/>
      </w:r>
      <w:r>
        <w:instrText xml:space="preserve"> PAGEREF _Toc1245 \h </w:instrText>
      </w:r>
      <w:r>
        <w:fldChar w:fldCharType="separate"/>
      </w:r>
      <w:r>
        <w:t>1</w:t>
      </w:r>
      <w:r>
        <w:fldChar w:fldCharType="end"/>
      </w:r>
    </w:p>
    <w:p>
      <w:pPr>
        <w:pStyle w:val="TOC2"/>
      </w:pPr>
      <w:hyperlink w:anchor="_Toc1246">
        <w:r>
          <w:t xml:space="preserve">Implications for You</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Key Concepts in This Chapter</w:t>
        </w:r>
      </w:hyperlink>
      <w:r>
        <w:tab/>
      </w:r>
      <w:r>
        <w:fldChar w:fldCharType="begin"/>
      </w:r>
      <w:r>
        <w:instrText xml:space="preserve"> PAGEREF _Toc1247 \h </w:instrText>
      </w:r>
      <w:r>
        <w:fldChar w:fldCharType="separate"/>
      </w:r>
      <w:r>
        <w:t>1</w:t>
      </w:r>
      <w:r>
        <w:fldChar w:fldCharType="end"/>
      </w:r>
    </w:p>
    <w:p>
      <w:pPr>
        <w:pStyle w:val="TOC1"/>
      </w:pPr>
      <w:hyperlink w:anchor="_Toc1248">
        <w:r>
          <w:t xml:space="preserve">Chapter 9: The Clinical Pillar in Practice — Care Model Implementation, Quality Mechanics, and the Vermont Clinical Transformation Toolkit</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From Clinical Architecture to Clinical Practice</w:t>
        </w:r>
      </w:hyperlink>
      <w:r>
        <w:tab/>
      </w:r>
      <w:r>
        <w:fldChar w:fldCharType="begin"/>
      </w:r>
      <w:r>
        <w:instrText xml:space="preserve"> PAGEREF _Toc1249 \h </w:instrText>
      </w:r>
      <w:r>
        <w:fldChar w:fldCharType="separate"/>
      </w:r>
      <w:r>
        <w:t>1</w:t>
      </w:r>
      <w:r>
        <w:fldChar w:fldCharType="end"/>
      </w:r>
    </w:p>
    <w:p>
      <w:pPr>
        <w:pStyle w:val="TOC2"/>
      </w:pPr>
      <w:hyperlink w:anchor="_Toc1250">
        <w:r>
          <w:t xml:space="preserve">PCMH Transformation — The Blueprint Practice Implementation Playbook</w:t>
        </w:r>
      </w:hyperlink>
      <w:r>
        <w:tab/>
      </w:r>
      <w:r>
        <w:fldChar w:fldCharType="begin"/>
      </w:r>
      <w:r>
        <w:instrText xml:space="preserve"> PAGEREF _Toc1250 \h </w:instrText>
      </w:r>
      <w:r>
        <w:fldChar w:fldCharType="separate"/>
      </w:r>
      <w:r>
        <w:t>1</w:t>
      </w:r>
      <w:r>
        <w:fldChar w:fldCharType="end"/>
      </w:r>
    </w:p>
    <w:p>
      <w:pPr>
        <w:pStyle w:val="TOC2"/>
      </w:pPr>
      <w:hyperlink w:anchor="_Toc1254">
        <w:r>
          <w:t xml:space="preserve">Deploying the Collaborative Care Model — Operational Requirements</w:t>
        </w:r>
      </w:hyperlink>
      <w:r>
        <w:tab/>
      </w:r>
      <w:r>
        <w:fldChar w:fldCharType="begin"/>
      </w:r>
      <w:r>
        <w:instrText xml:space="preserve"> PAGEREF _Toc1254 \h </w:instrText>
      </w:r>
      <w:r>
        <w:fldChar w:fldCharType="separate"/>
      </w:r>
      <w:r>
        <w:t>1</w:t>
      </w:r>
      <w:r>
        <w:fldChar w:fldCharType="end"/>
      </w:r>
    </w:p>
    <w:p>
      <w:pPr>
        <w:pStyle w:val="TOC2"/>
      </w:pPr>
      <w:hyperlink w:anchor="_Toc1258">
        <w:r>
          <w:t xml:space="preserve">HEDIS Improvement Methodology — Vermont Context</w:t>
        </w:r>
      </w:hyperlink>
      <w:r>
        <w:tab/>
      </w:r>
      <w:r>
        <w:fldChar w:fldCharType="begin"/>
      </w:r>
      <w:r>
        <w:instrText xml:space="preserve"> PAGEREF _Toc1258 \h </w:instrText>
      </w:r>
      <w:r>
        <w:fldChar w:fldCharType="separate"/>
      </w:r>
      <w:r>
        <w:t>1</w:t>
      </w:r>
      <w:r>
        <w:fldChar w:fldCharType="end"/>
      </w:r>
    </w:p>
    <w:p>
      <w:pPr>
        <w:pStyle w:val="TOC2"/>
      </w:pPr>
      <w:hyperlink w:anchor="_Toc1261">
        <w:r>
          <w:t xml:space="preserve">The Clinical Data Infrastructure — Connecting Care to Population Health Management</w:t>
        </w:r>
      </w:hyperlink>
      <w:r>
        <w:tab/>
      </w:r>
      <w:r>
        <w:fldChar w:fldCharType="begin"/>
      </w:r>
      <w:r>
        <w:instrText xml:space="preserve"> PAGEREF _Toc1261 \h </w:instrText>
      </w:r>
      <w:r>
        <w:fldChar w:fldCharType="separate"/>
      </w:r>
      <w:r>
        <w:t>1</w:t>
      </w:r>
      <w:r>
        <w:fldChar w:fldCharType="end"/>
      </w:r>
    </w:p>
    <w:p>
      <w:pPr>
        <w:pStyle w:val="TOC2"/>
      </w:pPr>
      <w:hyperlink w:anchor="_Toc1264">
        <w:r>
          <w:t xml:space="preserve">The Care Transition Protocol — Closing the Loop Between Hospital and Community</w:t>
        </w:r>
      </w:hyperlink>
      <w:r>
        <w:tab/>
      </w:r>
      <w:r>
        <w:fldChar w:fldCharType="begin"/>
      </w:r>
      <w:r>
        <w:instrText xml:space="preserve"> PAGEREF _Toc1264 \h </w:instrText>
      </w:r>
      <w:r>
        <w:fldChar w:fldCharType="separate"/>
      </w:r>
      <w:r>
        <w:t>1</w:t>
      </w:r>
      <w:r>
        <w:fldChar w:fldCharType="end"/>
      </w:r>
    </w:p>
    <w:p>
      <w:pPr>
        <w:pStyle w:val="TOC2"/>
      </w:pPr>
      <w:hyperlink w:anchor="_Toc1265">
        <w:r>
          <w:t xml:space="preserve">Clinical Leadership in Transformation — The Under-Resourced Pillar</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Clinical Pillar Implementation Commitments for AHS’s Statewide Strategic Plan</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Pillar Implementation Matrix</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Work This Chapter on the Platform</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Implications for You</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Key Concepts in This Chapter</w:t>
        </w:r>
      </w:hyperlink>
      <w:r>
        <w:tab/>
      </w:r>
      <w:r>
        <w:fldChar w:fldCharType="begin"/>
      </w:r>
      <w:r>
        <w:instrText xml:space="preserve"> PAGEREF _Toc1270 \h </w:instrText>
      </w:r>
      <w:r>
        <w:fldChar w:fldCharType="separate"/>
      </w:r>
      <w:r>
        <w:t>1</w:t>
      </w:r>
      <w:r>
        <w:fldChar w:fldCharType="end"/>
      </w:r>
    </w:p>
    <w:p>
      <w:pPr>
        <w:pStyle w:val="TOC1"/>
      </w:pPr>
      <w:hyperlink w:anchor="_Toc1271">
        <w:r>
          <w:t xml:space="preserve">Chapter 10: The Equity Imperative — Closing Gaps, Not Just Averaging Them</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The Equity Imperative: Why Average Outcomes Are the Wrong Target</w:t>
        </w:r>
      </w:hyperlink>
      <w:r>
        <w:tab/>
      </w:r>
      <w:r>
        <w:fldChar w:fldCharType="begin"/>
      </w:r>
      <w:r>
        <w:instrText xml:space="preserve"> PAGEREF _Toc1272 \h </w:instrText>
      </w:r>
      <w:r>
        <w:fldChar w:fldCharType="separate"/>
      </w:r>
      <w:r>
        <w:t>1</w:t>
      </w:r>
      <w:r>
        <w:fldChar w:fldCharType="end"/>
      </w:r>
    </w:p>
    <w:p>
      <w:pPr>
        <w:pStyle w:val="TOC2"/>
      </w:pPr>
      <w:hyperlink w:anchor="_Toc1273">
        <w:r>
          <w:t xml:space="preserve">Vermont’s Equity Landscape — What the Data Shows</w:t>
        </w:r>
      </w:hyperlink>
      <w:r>
        <w:tab/>
      </w:r>
      <w:r>
        <w:fldChar w:fldCharType="begin"/>
      </w:r>
      <w:r>
        <w:instrText xml:space="preserve"> PAGEREF _Toc1273 \h </w:instrText>
      </w:r>
      <w:r>
        <w:fldChar w:fldCharType="separate"/>
      </w:r>
      <w:r>
        <w:t>1</w:t>
      </w:r>
      <w:r>
        <w:fldChar w:fldCharType="end"/>
      </w:r>
    </w:p>
    <w:p>
      <w:pPr>
        <w:pStyle w:val="TOC2"/>
      </w:pPr>
      <w:hyperlink w:anchor="_Toc1277">
        <w:r>
          <w:t xml:space="preserve">The Disparity Root Cause Taxonomy — Why Vermont’s Equity Gaps Exist</w:t>
        </w:r>
      </w:hyperlink>
      <w:r>
        <w:tab/>
      </w:r>
      <w:r>
        <w:fldChar w:fldCharType="begin"/>
      </w:r>
      <w:r>
        <w:instrText xml:space="preserve"> PAGEREF _Toc1277 \h </w:instrText>
      </w:r>
      <w:r>
        <w:fldChar w:fldCharType="separate"/>
      </w:r>
      <w:r>
        <w:t>1</w:t>
      </w:r>
      <w:r>
        <w:fldChar w:fldCharType="end"/>
      </w:r>
    </w:p>
    <w:p>
      <w:pPr>
        <w:pStyle w:val="TOC2"/>
      </w:pPr>
      <w:hyperlink w:anchor="_Toc1278">
        <w:r>
          <w:t xml:space="preserve">Rural Equity — Vermont’s Defining Challenge</w:t>
        </w:r>
      </w:hyperlink>
      <w:r>
        <w:tab/>
      </w:r>
      <w:r>
        <w:fldChar w:fldCharType="begin"/>
      </w:r>
      <w:r>
        <w:instrText xml:space="preserve"> PAGEREF _Toc1278 \h </w:instrText>
      </w:r>
      <w:r>
        <w:fldChar w:fldCharType="separate"/>
      </w:r>
      <w:r>
        <w:t>1</w:t>
      </w:r>
      <w:r>
        <w:fldChar w:fldCharType="end"/>
      </w:r>
    </w:p>
    <w:p>
      <w:pPr>
        <w:pStyle w:val="TOC2"/>
      </w:pPr>
      <w:hyperlink w:anchor="_Toc1280">
        <w:r>
          <w:t xml:space="preserve">The GLP-1 Access Crisis — The Most Important New Equity Issue</w:t>
        </w:r>
      </w:hyperlink>
      <w:r>
        <w:tab/>
      </w:r>
      <w:r>
        <w:fldChar w:fldCharType="begin"/>
      </w:r>
      <w:r>
        <w:instrText xml:space="preserve"> PAGEREF _Toc1280 \h </w:instrText>
      </w:r>
      <w:r>
        <w:fldChar w:fldCharType="separate"/>
      </w:r>
      <w:r>
        <w:t>1</w:t>
      </w:r>
      <w:r>
        <w:fldChar w:fldCharType="end"/>
      </w:r>
    </w:p>
    <w:p>
      <w:pPr>
        <w:pStyle w:val="TOC2"/>
      </w:pPr>
      <w:hyperlink w:anchor="_Toc1284">
        <w:r>
          <w:t xml:space="preserve">Vermont’s Equity Architecture — What Is Already Built and What Remains</w:t>
        </w:r>
      </w:hyperlink>
      <w:r>
        <w:tab/>
      </w:r>
      <w:r>
        <w:fldChar w:fldCharType="begin"/>
      </w:r>
      <w:r>
        <w:instrText xml:space="preserve"> PAGEREF _Toc1284 \h </w:instrText>
      </w:r>
      <w:r>
        <w:fldChar w:fldCharType="separate"/>
      </w:r>
      <w:r>
        <w:t>1</w:t>
      </w:r>
      <w:r>
        <w:fldChar w:fldCharType="end"/>
      </w:r>
    </w:p>
    <w:p>
      <w:pPr>
        <w:pStyle w:val="TOC2"/>
      </w:pPr>
      <w:hyperlink w:anchor="_Toc1287">
        <w:r>
          <w:t xml:space="preserve">Equity and the Five-Pillar Framework — How Every Pillar Has an Equity Dimension</w:t>
        </w:r>
      </w:hyperlink>
      <w:r>
        <w:tab/>
      </w:r>
      <w:r>
        <w:fldChar w:fldCharType="begin"/>
      </w:r>
      <w:r>
        <w:instrText xml:space="preserve"> PAGEREF _Toc1287 \h </w:instrText>
      </w:r>
      <w:r>
        <w:fldChar w:fldCharType="separate"/>
      </w:r>
      <w:r>
        <w:t>1</w:t>
      </w:r>
      <w:r>
        <w:fldChar w:fldCharType="end"/>
      </w:r>
    </w:p>
    <w:p>
      <w:pPr>
        <w:pStyle w:val="TOC2"/>
      </w:pPr>
      <w:hyperlink w:anchor="_Toc1288">
        <w:r>
          <w:t xml:space="preserve">Vermont’s Equity Accountability Framework</w:t>
        </w:r>
      </w:hyperlink>
      <w:r>
        <w:tab/>
      </w:r>
      <w:r>
        <w:fldChar w:fldCharType="begin"/>
      </w:r>
      <w:r>
        <w:instrText xml:space="preserve"> PAGEREF _Toc1288 \h </w:instrText>
      </w:r>
      <w:r>
        <w:fldChar w:fldCharType="separate"/>
      </w:r>
      <w:r>
        <w:t>1</w:t>
      </w:r>
      <w:r>
        <w:fldChar w:fldCharType="end"/>
      </w:r>
    </w:p>
    <w:p>
      <w:pPr>
        <w:pStyle w:val="TOC2"/>
      </w:pPr>
      <w:hyperlink w:anchor="_Toc1289">
        <w:r>
          <w:t xml:space="preserve">Measuring Equity: HEROI, HEDIS Stratification, and VBC Safeguards</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From Identifying Disparities to Eliminating Them</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Stratified HEDIS Measurement — The Foundation of Equity Analytics</w:t>
        </w:r>
      </w:hyperlink>
      <w:r>
        <w:tab/>
      </w:r>
      <w:r>
        <w:fldChar w:fldCharType="begin"/>
      </w:r>
      <w:r>
        <w:instrText xml:space="preserve"> PAGEREF _Toc1291 \h </w:instrText>
      </w:r>
      <w:r>
        <w:fldChar w:fldCharType="separate"/>
      </w:r>
      <w:r>
        <w:t>1</w:t>
      </w:r>
      <w:r>
        <w:fldChar w:fldCharType="end"/>
      </w:r>
    </w:p>
    <w:p>
      <w:pPr>
        <w:pStyle w:val="TOC2"/>
      </w:pPr>
      <w:hyperlink w:anchor="_Toc1293">
        <w:r>
          <w:t xml:space="preserve">Equity Imperative Implementation Matrix</w:t>
        </w:r>
      </w:hyperlink>
      <w:r>
        <w:tab/>
      </w:r>
      <w:r>
        <w:fldChar w:fldCharType="begin"/>
      </w:r>
      <w:r>
        <w:instrText xml:space="preserve"> PAGEREF _Toc1293 \h </w:instrText>
      </w:r>
      <w:r>
        <w:fldChar w:fldCharType="separate"/>
      </w:r>
      <w:r>
        <w:t>1</w:t>
      </w:r>
      <w:r>
        <w:fldChar w:fldCharType="end"/>
      </w:r>
    </w:p>
    <w:p>
      <w:pPr>
        <w:pStyle w:val="TOC2"/>
      </w:pPr>
      <w:hyperlink w:anchor="_Toc1295">
        <w:r>
          <w:t xml:space="preserve">The HEROI Framework — A Composite Equity Score</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Root Cause Analytics — Matching Interventions to Causes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Equity in VBC Contracting — Protecting Against Unintended Consequences</w:t>
        </w:r>
      </w:hyperlink>
      <w:r>
        <w:tab/>
      </w:r>
      <w:r>
        <w:fldChar w:fldCharType="begin"/>
      </w:r>
      <w:r>
        <w:instrText xml:space="preserve"> PAGEREF _Toc1300 \h </w:instrText>
      </w:r>
      <w:r>
        <w:fldChar w:fldCharType="separate"/>
      </w:r>
      <w:r>
        <w:t>1</w:t>
      </w:r>
      <w:r>
        <w:fldChar w:fldCharType="end"/>
      </w:r>
    </w:p>
    <w:p>
      <w:pPr>
        <w:pStyle w:val="TOC2"/>
      </w:pPr>
      <w:hyperlink w:anchor="_Toc1303">
        <w:r>
          <w:t xml:space="preserve">Vermont’s Population Health Equity Analytics Architecture</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Work This Chapter on the Platform</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Implications for You</w:t>
        </w:r>
      </w:hyperlink>
      <w:r>
        <w:tab/>
      </w:r>
      <w:r>
        <w:fldChar w:fldCharType="begin"/>
      </w:r>
      <w:r>
        <w:instrText xml:space="preserve"> PAGEREF _Toc1305 \h </w:instrText>
      </w:r>
      <w:r>
        <w:fldChar w:fldCharType="separate"/>
      </w:r>
      <w:r>
        <w:t>1</w:t>
      </w:r>
      <w:r>
        <w:fldChar w:fldCharType="end"/>
      </w:r>
    </w:p>
    <w:p>
      <w:pPr>
        <w:pStyle w:val="TOC2"/>
      </w:pPr>
      <w:hyperlink w:anchor="_Toc1306">
        <w:r>
          <w:t xml:space="preserve">Key Concepts in This Chapter</w:t>
        </w:r>
      </w:hyperlink>
      <w:r>
        <w:tab/>
      </w:r>
      <w:r>
        <w:fldChar w:fldCharType="begin"/>
      </w:r>
      <w:r>
        <w:instrText xml:space="preserve"> PAGEREF _Toc1306 \h </w:instrText>
      </w:r>
      <w:r>
        <w:fldChar w:fldCharType="separate"/>
      </w:r>
      <w:r>
        <w:t>1</w:t>
      </w:r>
      <w:r>
        <w:fldChar w:fldCharType="end"/>
      </w:r>
    </w:p>
    <w:p>
      <w:pPr>
        <w:pStyle w:val="TOC1"/>
      </w:pPr>
      <w:hyperlink w:anchor="_Toc1307">
        <w:r>
          <w:t xml:space="preserve">Chapter 11: The Operations Pillar — Executing Hospital System Transformation</w:t>
        </w:r>
      </w:hyperlink>
      <w:r>
        <w:tab/>
      </w:r>
      <w:r>
        <w:fldChar w:fldCharType="begin"/>
      </w:r>
      <w:r>
        <w:instrText xml:space="preserve"> PAGEREF _Toc1307 \h </w:instrText>
      </w:r>
      <w:r>
        <w:fldChar w:fldCharType="separate"/>
      </w:r>
      <w:r>
        <w:t>1</w:t>
      </w:r>
      <w:r>
        <w:fldChar w:fldCharType="end"/>
      </w:r>
    </w:p>
    <w:p>
      <w:pPr>
        <w:pStyle w:val="TOC2"/>
      </w:pPr>
      <w:hyperlink w:anchor="_Toc1308">
        <w:r>
          <w:t xml:space="preserve">The Operations Pillar: Where Strategy Meets Reality</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The Vermont Transformation Operating Model</w:t>
        </w:r>
      </w:hyperlink>
      <w:r>
        <w:tab/>
      </w:r>
      <w:r>
        <w:fldChar w:fldCharType="begin"/>
      </w:r>
      <w:r>
        <w:instrText xml:space="preserve"> PAGEREF _Toc1309 \h </w:instrText>
      </w:r>
      <w:r>
        <w:fldChar w:fldCharType="separate"/>
      </w:r>
      <w:r>
        <w:t>1</w:t>
      </w:r>
      <w:r>
        <w:fldChar w:fldCharType="end"/>
      </w:r>
    </w:p>
    <w:p>
      <w:pPr>
        <w:pStyle w:val="TOC2"/>
      </w:pPr>
      <w:hyperlink w:anchor="_Toc1312">
        <w:r>
          <w:t xml:space="preserve">The RHRC Methodology — Technical Assistance for Rural Hospital Transformation</w:t>
        </w:r>
      </w:hyperlink>
      <w:r>
        <w:tab/>
      </w:r>
      <w:r>
        <w:fldChar w:fldCharType="begin"/>
      </w:r>
      <w:r>
        <w:instrText xml:space="preserve"> PAGEREF _Toc1312 \h </w:instrText>
      </w:r>
      <w:r>
        <w:fldChar w:fldCharType="separate"/>
      </w:r>
      <w:r>
        <w:t>1</w:t>
      </w:r>
      <w:r>
        <w:fldChar w:fldCharType="end"/>
      </w:r>
    </w:p>
    <w:p>
      <w:pPr>
        <w:pStyle w:val="TOC2"/>
      </w:pPr>
      <w:hyperlink w:anchor="_Toc1316">
        <w:r>
          <w:t xml:space="preserve">The Vermont Hospital Performance Dashboard — Where Each Hospital Stands</w:t>
        </w:r>
      </w:hyperlink>
      <w:r>
        <w:tab/>
      </w:r>
      <w:r>
        <w:fldChar w:fldCharType="begin"/>
      </w:r>
      <w:r>
        <w:instrText xml:space="preserve"> PAGEREF _Toc1316 \h </w:instrText>
      </w:r>
      <w:r>
        <w:fldChar w:fldCharType="separate"/>
      </w:r>
      <w:r>
        <w:t>1</w:t>
      </w:r>
      <w:r>
        <w:fldChar w:fldCharType="end"/>
      </w:r>
    </w:p>
    <w:p>
      <w:pPr>
        <w:pStyle w:val="TOC2"/>
      </w:pPr>
      <w:hyperlink w:anchor="_Toc1317">
        <w:r>
          <w:t xml:space="preserve">Regionalization — The Operational Logic of Right-Sizing a 14-Hospital System</w:t>
        </w:r>
      </w:hyperlink>
      <w:r>
        <w:tab/>
      </w:r>
      <w:r>
        <w:fldChar w:fldCharType="begin"/>
      </w:r>
      <w:r>
        <w:instrText xml:space="preserve"> PAGEREF _Toc1317 \h </w:instrText>
      </w:r>
      <w:r>
        <w:fldChar w:fldCharType="separate"/>
      </w:r>
      <w:r>
        <w:t>1</w:t>
      </w:r>
      <w:r>
        <w:fldChar w:fldCharType="end"/>
      </w:r>
    </w:p>
    <w:p>
      <w:pPr>
        <w:pStyle w:val="TOC2"/>
      </w:pPr>
      <w:hyperlink w:anchor="_Toc1320">
        <w:r>
          <w:t xml:space="preserve">The Workforce Crisis — Vermont’s Most Binding Operational Constraint</w:t>
        </w:r>
      </w:hyperlink>
      <w:r>
        <w:tab/>
      </w:r>
      <w:r>
        <w:fldChar w:fldCharType="begin"/>
      </w:r>
      <w:r>
        <w:instrText xml:space="preserve"> PAGEREF _Toc1320 \h </w:instrText>
      </w:r>
      <w:r>
        <w:fldChar w:fldCharType="separate"/>
      </w:r>
      <w:r>
        <w:t>1</w:t>
      </w:r>
      <w:r>
        <w:fldChar w:fldCharType="end"/>
      </w:r>
    </w:p>
    <w:p>
      <w:pPr>
        <w:pStyle w:val="TOC2"/>
      </w:pPr>
      <w:hyperlink w:anchor="_Toc1324">
        <w:r>
          <w:t xml:space="preserve">The Operations Metrics Framework — What AHS Must Track</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AHS as System Operator — Organizational Design for the 2028 Mandate</w:t>
        </w:r>
      </w:hyperlink>
      <w:r>
        <w:tab/>
      </w:r>
      <w:r>
        <w:fldChar w:fldCharType="begin"/>
      </w:r>
      <w:r>
        <w:instrText xml:space="preserve"> PAGEREF _Toc1325 \h </w:instrText>
      </w:r>
      <w:r>
        <w:fldChar w:fldCharType="separate"/>
      </w:r>
      <w:r>
        <w:t>1</w:t>
      </w:r>
      <w:r>
        <w:fldChar w:fldCharType="end"/>
      </w:r>
    </w:p>
    <w:p>
      <w:pPr>
        <w:pStyle w:val="TOC2"/>
      </w:pPr>
      <w:hyperlink w:anchor="_Toc1328">
        <w:r>
          <w:t xml:space="preserve">Revenue Cycle, HCC Coding, Credentialing, and Administrative Simplification</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Operations Where Money Actually Lives</w:t>
        </w:r>
      </w:hyperlink>
      <w:r>
        <w:tab/>
      </w:r>
      <w:r>
        <w:fldChar w:fldCharType="begin"/>
      </w:r>
      <w:r>
        <w:instrText xml:space="preserve"> PAGEREF _Toc1329 \h </w:instrText>
      </w:r>
      <w:r>
        <w:fldChar w:fldCharType="separate"/>
      </w:r>
      <w:r>
        <w:t>1</w:t>
      </w:r>
      <w:r>
        <w:fldChar w:fldCharType="end"/>
      </w:r>
    </w:p>
    <w:p>
      <w:pPr>
        <w:pStyle w:val="TOC2"/>
      </w:pPr>
      <w:hyperlink w:anchor="_Toc1330">
        <w:r>
          <w:t xml:space="preserve">Revenue Cycle Transformation — From FFS Optimization to VBC Management</w:t>
        </w:r>
      </w:hyperlink>
      <w:r>
        <w:tab/>
      </w:r>
      <w:r>
        <w:fldChar w:fldCharType="begin"/>
      </w:r>
      <w:r>
        <w:instrText xml:space="preserve"> PAGEREF _Toc1330 \h </w:instrText>
      </w:r>
      <w:r>
        <w:fldChar w:fldCharType="separate"/>
      </w:r>
      <w:r>
        <w:t>1</w:t>
      </w:r>
      <w:r>
        <w:fldChar w:fldCharType="end"/>
      </w:r>
    </w:p>
    <w:p>
      <w:pPr>
        <w:pStyle w:val="TOC2"/>
      </w:pPr>
      <w:hyperlink w:anchor="_Toc1333">
        <w:r>
          <w:t xml:space="preserve">HCC Coding Excellence — The Risk Adjustment Foundation</w:t>
        </w:r>
      </w:hyperlink>
      <w:r>
        <w:tab/>
      </w:r>
      <w:r>
        <w:fldChar w:fldCharType="begin"/>
      </w:r>
      <w:r>
        <w:instrText xml:space="preserve"> PAGEREF _Toc1333 \h </w:instrText>
      </w:r>
      <w:r>
        <w:fldChar w:fldCharType="separate"/>
      </w:r>
      <w:r>
        <w:t>1</w:t>
      </w:r>
      <w:r>
        <w:fldChar w:fldCharType="end"/>
      </w:r>
    </w:p>
    <w:p>
      <w:pPr>
        <w:pStyle w:val="TOC2"/>
      </w:pPr>
      <w:hyperlink w:anchor="_Toc1337">
        <w:r>
          <w:t xml:space="preserve">Credentialing Efficiency — The Hidden Operations Bottleneck</w:t>
        </w:r>
      </w:hyperlink>
      <w:r>
        <w:tab/>
      </w:r>
      <w:r>
        <w:fldChar w:fldCharType="begin"/>
      </w:r>
      <w:r>
        <w:instrText xml:space="preserve"> PAGEREF _Toc1337 \h </w:instrText>
      </w:r>
      <w:r>
        <w:fldChar w:fldCharType="separate"/>
      </w:r>
      <w:r>
        <w:t>1</w:t>
      </w:r>
      <w:r>
        <w:fldChar w:fldCharType="end"/>
      </w:r>
    </w:p>
    <w:p>
      <w:pPr>
        <w:pStyle w:val="TOC2"/>
      </w:pPr>
      <w:hyperlink w:anchor="_Toc1340">
        <w:r>
          <w:t xml:space="preserve">Workforce Operations — Managing the Care Team in a Transformed System</w:t>
        </w:r>
      </w:hyperlink>
      <w:r>
        <w:tab/>
      </w:r>
      <w:r>
        <w:fldChar w:fldCharType="begin"/>
      </w:r>
      <w:r>
        <w:instrText xml:space="preserve"> PAGEREF _Toc1340 \h </w:instrText>
      </w:r>
      <w:r>
        <w:fldChar w:fldCharType="separate"/>
      </w:r>
      <w:r>
        <w:t>1</w:t>
      </w:r>
      <w:r>
        <w:fldChar w:fldCharType="end"/>
      </w:r>
    </w:p>
    <w:p>
      <w:pPr>
        <w:pStyle w:val="TOC2"/>
      </w:pPr>
      <w:hyperlink w:anchor="_Toc1344">
        <w:r>
          <w:t xml:space="preserve">Administrative Simplification — The Vermont Agenda</w:t>
        </w:r>
      </w:hyperlink>
      <w:r>
        <w:tab/>
      </w:r>
      <w:r>
        <w:fldChar w:fldCharType="begin"/>
      </w:r>
      <w:r>
        <w:instrText xml:space="preserve"> PAGEREF _Toc1344 \h </w:instrText>
      </w:r>
      <w:r>
        <w:fldChar w:fldCharType="separate"/>
      </w:r>
      <w:r>
        <w:t>1</w:t>
      </w:r>
      <w:r>
        <w:fldChar w:fldCharType="end"/>
      </w:r>
    </w:p>
    <w:p>
      <w:pPr>
        <w:pStyle w:val="TOC2"/>
      </w:pPr>
      <w:hyperlink w:anchor="_Toc1346">
        <w:r>
          <w:t xml:space="preserve">Operations Pillar Implementation Matrix</w:t>
        </w:r>
      </w:hyperlink>
      <w:r>
        <w:tab/>
      </w:r>
      <w:r>
        <w:fldChar w:fldCharType="begin"/>
      </w:r>
      <w:r>
        <w:instrText xml:space="preserve"> PAGEREF _Toc1346 \h </w:instrText>
      </w:r>
      <w:r>
        <w:fldChar w:fldCharType="separate"/>
      </w:r>
      <w:r>
        <w:t>1</w:t>
      </w:r>
      <w:r>
        <w:fldChar w:fldCharType="end"/>
      </w:r>
    </w:p>
    <w:p>
      <w:pPr>
        <w:pStyle w:val="TOC2"/>
      </w:pPr>
      <w:hyperlink w:anchor="_Toc1347">
        <w:r>
          <w:t xml:space="preserve">Work This Chapter on the Platform</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Implications for You</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Key Concepts in This Chapter</w:t>
        </w:r>
      </w:hyperlink>
      <w:r>
        <w:tab/>
      </w:r>
      <w:r>
        <w:fldChar w:fldCharType="begin"/>
      </w:r>
      <w:r>
        <w:instrText xml:space="preserve"> PAGEREF _Toc1349 \h </w:instrText>
      </w:r>
      <w:r>
        <w:fldChar w:fldCharType="separate"/>
      </w:r>
      <w:r>
        <w:t>1</w:t>
      </w:r>
      <w:r>
        <w:fldChar w:fldCharType="end"/>
      </w:r>
    </w:p>
    <w:p>
      <w:pPr>
        <w:pStyle w:val="TOC1"/>
      </w:pPr>
      <w:hyperlink w:anchor="_Toc1350">
        <w:r>
          <w:t xml:space="preserve">Chapter 12: Infrastructure for Knowledge Transfer and Implementation</w:t>
        </w:r>
      </w:hyperlink>
      <w:r>
        <w:tab/>
      </w:r>
      <w:r>
        <w:fldChar w:fldCharType="begin"/>
      </w:r>
      <w:r>
        <w:instrText xml:space="preserve"> PAGEREF _Toc1350 \h </w:instrText>
      </w:r>
      <w:r>
        <w:fldChar w:fldCharType="separate"/>
      </w:r>
      <w:r>
        <w:t>1</w:t>
      </w:r>
      <w:r>
        <w:fldChar w:fldCharType="end"/>
      </w:r>
    </w:p>
    <w:p>
      <w:pPr>
        <w:pStyle w:val="TOC2"/>
      </w:pPr>
      <w:hyperlink w:anchor="_Toc1351">
        <w:r>
          <w:t xml:space="preserve">The Gap Between Understanding and Doing</w:t>
        </w:r>
      </w:hyperlink>
      <w:r>
        <w:tab/>
      </w:r>
      <w:r>
        <w:fldChar w:fldCharType="begin"/>
      </w:r>
      <w:r>
        <w:instrText xml:space="preserve"> PAGEREF _Toc1351 \h </w:instrText>
      </w:r>
      <w:r>
        <w:fldChar w:fldCharType="separate"/>
      </w:r>
      <w:r>
        <w:t>1</w:t>
      </w:r>
      <w:r>
        <w:fldChar w:fldCharType="end"/>
      </w:r>
    </w:p>
    <w:p>
      <w:pPr>
        <w:pStyle w:val="TOC2"/>
      </w:pPr>
      <w:hyperlink w:anchor="_Toc1352">
        <w:r>
          <w:t xml:space="preserve">The Knowledge and Implementation Infrastructure</w:t>
        </w:r>
      </w:hyperlink>
      <w:r>
        <w:tab/>
      </w:r>
      <w:r>
        <w:fldChar w:fldCharType="begin"/>
      </w:r>
      <w:r>
        <w:instrText xml:space="preserve"> PAGEREF _Toc1352 \h </w:instrText>
      </w:r>
      <w:r>
        <w:fldChar w:fldCharType="separate"/>
      </w:r>
      <w:r>
        <w:t>1</w:t>
      </w:r>
      <w:r>
        <w:fldChar w:fldCharType="end"/>
      </w:r>
    </w:p>
    <w:p>
      <w:pPr>
        <w:pStyle w:val="TOC2"/>
      </w:pPr>
      <w:hyperlink w:anchor="_Toc1355">
        <w:r>
          <w:t xml:space="preserve">The Transformation Advisory Domains — Structured for the Five Pillars</w:t>
        </w:r>
      </w:hyperlink>
      <w:r>
        <w:tab/>
      </w:r>
      <w:r>
        <w:fldChar w:fldCharType="begin"/>
      </w:r>
      <w:r>
        <w:instrText xml:space="preserve"> PAGEREF _Toc1355 \h </w:instrText>
      </w:r>
      <w:r>
        <w:fldChar w:fldCharType="separate"/>
      </w:r>
      <w:r>
        <w:t>1</w:t>
      </w:r>
      <w:r>
        <w:fldChar w:fldCharType="end"/>
      </w:r>
    </w:p>
    <w:p>
      <w:pPr>
        <w:pStyle w:val="TOC2"/>
      </w:pPr>
      <w:hyperlink w:anchor="_Toc1361">
        <w:r>
          <w:t xml:space="preserve">The Change Management Science Behind Healthcare Transformation</w:t>
        </w:r>
      </w:hyperlink>
      <w:r>
        <w:tab/>
      </w:r>
      <w:r>
        <w:fldChar w:fldCharType="begin"/>
      </w:r>
      <w:r>
        <w:instrText xml:space="preserve"> PAGEREF _Toc1361 \h </w:instrText>
      </w:r>
      <w:r>
        <w:fldChar w:fldCharType="separate"/>
      </w:r>
      <w:r>
        <w:t>1</w:t>
      </w:r>
      <w:r>
        <w:fldChar w:fldCharType="end"/>
      </w:r>
    </w:p>
    <w:p>
      <w:pPr>
        <w:pStyle w:val="TOC2"/>
      </w:pPr>
      <w:hyperlink w:anchor="_Toc1364">
        <w:r>
          <w:t xml:space="preserve">The HTR Implementation Toolkit</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A Framework for Selecting Advisory Support</w:t>
        </w:r>
      </w:hyperlink>
      <w:r>
        <w:tab/>
      </w:r>
      <w:r>
        <w:fldChar w:fldCharType="begin"/>
      </w:r>
      <w:r>
        <w:instrText xml:space="preserve"> PAGEREF _Toc1365 \h </w:instrText>
      </w:r>
      <w:r>
        <w:fldChar w:fldCharType="separate"/>
      </w:r>
      <w:r>
        <w:t>1</w:t>
      </w:r>
      <w:r>
        <w:fldChar w:fldCharType="end"/>
      </w:r>
    </w:p>
    <w:p>
      <w:pPr>
        <w:pStyle w:val="TOC2"/>
      </w:pPr>
      <w:hyperlink w:anchor="_Toc1366">
        <w:r>
          <w:t xml:space="preserve">The Role of External Technical Assistance in State-Level Transformation</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Work This Chapter on the Platform</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Implications for You</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Key Concepts in This Chapter</w:t>
        </w:r>
      </w:hyperlink>
      <w:r>
        <w:tab/>
      </w:r>
      <w:r>
        <w:fldChar w:fldCharType="begin"/>
      </w:r>
      <w:r>
        <w:instrText xml:space="preserve"> PAGEREF _Toc1369 \h </w:instrText>
      </w:r>
      <w:r>
        <w:fldChar w:fldCharType="separate"/>
      </w:r>
      <w:r>
        <w:t>1</w:t>
      </w:r>
      <w:r>
        <w:fldChar w:fldCharType="end"/>
      </w:r>
    </w:p>
    <w:p>
      <w:pPr>
        <w:pStyle w:val="TOC1"/>
      </w:pPr>
      <w:hyperlink w:anchor="_Toc1370">
        <w:r>
          <w:t xml:space="preserve">Chapter 13: The Future of Healthcare Transformation — 2026, What Vermont Proves, and What Remains</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Vermont Transformation Scorecard: Five-Pillar Status, April 2026</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Where the System Stands in April 2026 — A Necessary Update</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Five Forces Shaping the Next Decade</w:t>
        </w:r>
      </w:hyperlink>
      <w:r>
        <w:tab/>
      </w:r>
      <w:r>
        <w:fldChar w:fldCharType="begin"/>
      </w:r>
      <w:r>
        <w:instrText xml:space="preserve"> PAGEREF _Toc1373 \h </w:instrText>
      </w:r>
      <w:r>
        <w:fldChar w:fldCharType="separate"/>
      </w:r>
      <w:r>
        <w:t>1</w:t>
      </w:r>
      <w:r>
        <w:fldChar w:fldCharType="end"/>
      </w:r>
    </w:p>
    <w:p>
      <w:pPr>
        <w:pStyle w:val="TOC2"/>
      </w:pPr>
      <w:hyperlink w:anchor="_Toc1379">
        <w:r>
          <w:t xml:space="preserve">The Five-Pillar Forecast: 2026–2035</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Vermont’s Ten-Year Trajectory: Two Scenarios</w:t>
        </w:r>
      </w:hyperlink>
      <w:r>
        <w:tab/>
      </w:r>
      <w:r>
        <w:fldChar w:fldCharType="begin"/>
      </w:r>
      <w:r>
        <w:instrText xml:space="preserve"> PAGEREF _Toc1380 \h </w:instrText>
      </w:r>
      <w:r>
        <w:fldChar w:fldCharType="separate"/>
      </w:r>
      <w:r>
        <w:t>1</w:t>
      </w:r>
      <w:r>
        <w:fldChar w:fldCharType="end"/>
      </w:r>
    </w:p>
    <w:p>
      <w:pPr>
        <w:pStyle w:val="TOC2"/>
      </w:pPr>
      <w:hyperlink w:anchor="_Toc1383">
        <w:r>
          <w:t xml:space="preserve">Vermont as National Template — The Decisions That Will Determine Outcomes</w:t>
        </w:r>
      </w:hyperlink>
      <w:r>
        <w:tab/>
      </w:r>
      <w:r>
        <w:fldChar w:fldCharType="begin"/>
      </w:r>
      <w:r>
        <w:instrText xml:space="preserve"> PAGEREF _Toc1383 \h </w:instrText>
      </w:r>
      <w:r>
        <w:fldChar w:fldCharType="separate"/>
      </w:r>
      <w:r>
        <w:t>1</w:t>
      </w:r>
      <w:r>
        <w:fldChar w:fldCharType="end"/>
      </w:r>
    </w:p>
    <w:p>
      <w:pPr>
        <w:pStyle w:val="TOC2"/>
      </w:pPr>
      <w:hyperlink w:anchor="_Toc1384">
        <w:r>
          <w:t xml:space="preserve">Work This Chapter on the Platform</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Implications for You</w:t>
        </w:r>
      </w:hyperlink>
      <w:r>
        <w:tab/>
      </w:r>
      <w:r>
        <w:fldChar w:fldCharType="begin"/>
      </w:r>
      <w:r>
        <w:instrText xml:space="preserve"> PAGEREF _Toc1385 \h </w:instrText>
      </w:r>
      <w:r>
        <w:fldChar w:fldCharType="separate"/>
      </w:r>
      <w:r>
        <w:t>1</w:t>
      </w:r>
      <w:r>
        <w:fldChar w:fldCharType="end"/>
      </w:r>
    </w:p>
    <w:p>
      <w:pPr>
        <w:pStyle w:val="TOC2"/>
      </w:pPr>
      <w:hyperlink w:anchor="_Toc1386">
        <w:r>
          <w:t xml:space="preserve">Key Concepts in This Chapter</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A Closing Note: What This Book Is Betting On</w:t>
        </w:r>
      </w:hyperlink>
      <w:r>
        <w:tab/>
      </w:r>
      <w:r>
        <w:fldChar w:fldCharType="begin"/>
      </w:r>
      <w:r>
        <w:instrText xml:space="preserve"> PAGEREF _Toc1387 \h </w:instrText>
      </w:r>
      <w:r>
        <w:fldChar w:fldCharType="separate"/>
      </w:r>
      <w:r>
        <w:t>1</w:t>
      </w:r>
      <w:r>
        <w:fldChar w:fldCharType="end"/>
      </w:r>
    </w:p>
    <w:p>
      <w:pPr>
        <w:pStyle w:val="TOC1"/>
      </w:pPr>
      <w:hyperlink w:anchor="_Toc1388">
        <w:r>
          <w:t xml:space="preserve">Chapter 14: Political Sustainability — Protecting Transformation Across Election Cycles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Why Political Sustainability Is an Analytical Problem, Not Only a Political One</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The Structural Durability of Vermont’s Reform Architecture</w:t>
        </w:r>
      </w:hyperlink>
      <w:r>
        <w:tab/>
      </w:r>
      <w:r>
        <w:fldChar w:fldCharType="begin"/>
      </w:r>
      <w:r>
        <w:instrText xml:space="preserve"> PAGEREF _Toc1390 \h </w:instrText>
      </w:r>
      <w:r>
        <w:fldChar w:fldCharType="separate"/>
      </w:r>
      <w:r>
        <w:t>1</w:t>
      </w:r>
      <w:r>
        <w:fldChar w:fldCharType="end"/>
      </w:r>
    </w:p>
    <w:p>
      <w:pPr>
        <w:pStyle w:val="TOC2"/>
      </w:pPr>
      <w:hyperlink w:anchor="_Toc1393">
        <w:r>
          <w:t xml:space="preserve">Early-Warning Signals of Political Risk</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Organizational Strategies for Political Risk Management</w:t>
        </w:r>
      </w:hyperlink>
      <w:r>
        <w:tab/>
      </w:r>
      <w:r>
        <w:fldChar w:fldCharType="begin"/>
      </w:r>
      <w:r>
        <w:instrText xml:space="preserve"> PAGEREF _Toc1394 \h </w:instrText>
      </w:r>
      <w:r>
        <w:fldChar w:fldCharType="separate"/>
      </w:r>
      <w:r>
        <w:t>1</w:t>
      </w:r>
      <w:r>
        <w:fldChar w:fldCharType="end"/>
      </w:r>
    </w:p>
    <w:p>
      <w:pPr>
        <w:pStyle w:val="TOC2"/>
      </w:pPr>
      <w:hyperlink w:anchor="_Toc1399">
        <w:r>
          <w:t xml:space="preserve">Vermont’s Reform Cascade as Political-Sustainability Architecture</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Work This Chapter on the Platform</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Implications for You</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Key Concepts in This Chapter</w:t>
        </w:r>
      </w:hyperlink>
      <w:r>
        <w:tab/>
      </w:r>
      <w:r>
        <w:fldChar w:fldCharType="begin"/>
      </w:r>
      <w:r>
        <w:instrText xml:space="preserve"> PAGEREF _Toc1402 \h </w:instrText>
      </w:r>
      <w:r>
        <w:fldChar w:fldCharType="separate"/>
      </w:r>
      <w:r>
        <w:t>1</w:t>
      </w:r>
      <w:r>
        <w:fldChar w:fldCharType="end"/>
      </w:r>
    </w:p>
    <w:p>
      <w:pPr>
        <w:pStyle w:val="TOC1"/>
      </w:pPr>
      <w:hyperlink w:anchor="_Toc1403">
        <w:r>
          <w:t xml:space="preserve">Chapter 15: Healthcare Transformation as Portfolio Management — Applying PMI Standards to Five-Pillar Reform</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Project-Management Gap in Healthcare Transformation</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Project, Program, and Portfolio: Getting the Levels Right</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Vermont’s Transformation Portfolio: 19 Components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The Case for a Portfolio Manager</w:t>
        </w:r>
      </w:hyperlink>
      <w:r>
        <w:tab/>
      </w:r>
      <w:r>
        <w:fldChar w:fldCharType="begin"/>
      </w:r>
      <w:r>
        <w:instrText xml:space="preserve"> PAGEREF _Toc1407 \h </w:instrText>
      </w:r>
      <w:r>
        <w:fldChar w:fldCharType="separate"/>
      </w:r>
      <w:r>
        <w:t>1</w:t>
      </w:r>
      <w:r>
        <w:fldChar w:fldCharType="end"/>
      </w:r>
    </w:p>
    <w:p>
      <w:pPr>
        <w:pStyle w:val="TOC2"/>
      </w:pPr>
      <w:hyperlink w:anchor="_Toc1408">
        <w:r>
          <w:t xml:space="preserve">Pillar-Level Project Managers: Five Roles, One Framework</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Governance Architecture and the Ten Knowledge Areas</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Portfolio Sequence Is Dependency Sequence</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Predictive vs. Adaptive Approaches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Portfolio Risk Register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Benefits Realization: Connecting the PMO to Act 167’s Five Goals</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The Business Case</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Implementation Roadmap</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Answering the Four Objections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Work This Chapter on the Platform</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Implications for You</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Key Concepts in This Chapter</w:t>
        </w:r>
      </w:hyperlink>
      <w:r>
        <w:tab/>
      </w:r>
      <w:r>
        <w:fldChar w:fldCharType="begin"/>
      </w:r>
      <w:r>
        <w:instrText xml:space="preserve"> PAGEREF _Toc1419 \h </w:instrText>
      </w:r>
      <w:r>
        <w:fldChar w:fldCharType="separate"/>
      </w:r>
      <w:r>
        <w:t>1</w:t>
      </w:r>
      <w:r>
        <w:fldChar w:fldCharType="end"/>
      </w:r>
    </w:p>
    <w:p>
      <w:pPr>
        <w:pStyle w:val="TOC1"/>
      </w:pPr>
      <w:hyperlink w:anchor="_Toc1420">
        <w:r>
          <w:t xml:space="preserve">Chapter 16: The AHS Restructuring Roadmap — A Five-Pillar Framework for System Architects</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The Statutory Mandate — What Act 68 Actually Requires AHS to Do</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The Organizational Diagnosis — Why AHS Must Restructure, Not Just Plan</w:t>
        </w:r>
      </w:hyperlink>
      <w:r>
        <w:tab/>
      </w:r>
      <w:r>
        <w:fldChar w:fldCharType="begin"/>
      </w:r>
      <w:r>
        <w:instrText xml:space="preserve"> PAGEREF _Toc1422 \h </w:instrText>
      </w:r>
      <w:r>
        <w:fldChar w:fldCharType="separate"/>
      </w:r>
      <w:r>
        <w:t>1</w:t>
      </w:r>
      <w:r>
        <w:fldChar w:fldCharType="end"/>
      </w:r>
    </w:p>
    <w:p>
      <w:pPr>
        <w:pStyle w:val="TOC2"/>
      </w:pPr>
      <w:hyperlink w:anchor="_Toc1424">
        <w:r>
          <w:t xml:space="preserve">The Redesigned AHS Operating Model — A Population Health System Operator</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The Five-Pillar Framework Applied to AHS’s Mandate</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AHS Restructuring Implementation Timeline</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A Framework for the 2028 Statewide Strategic Plan</w:t>
        </w:r>
      </w:hyperlink>
      <w:r>
        <w:tab/>
      </w:r>
      <w:r>
        <w:fldChar w:fldCharType="begin"/>
      </w:r>
      <w:r>
        <w:instrText xml:space="preserve"> PAGEREF _Toc1430 \h </w:instrText>
      </w:r>
      <w:r>
        <w:fldChar w:fldCharType="separate"/>
      </w:r>
      <w:r>
        <w:t>1</w:t>
      </w:r>
      <w:r>
        <w:fldChar w:fldCharType="end"/>
      </w:r>
    </w:p>
    <w:p>
      <w:pPr>
        <w:pStyle w:val="TOC2"/>
      </w:pPr>
      <w:hyperlink w:anchor="_Toc1432">
        <w:r>
          <w:t xml:space="preserve">Vermont as National Template — Why This Restructuring Matters Beyond Vermont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Work This Chapter on the Platform</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Implications for You</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Key Concepts in This Chapter</w:t>
        </w:r>
      </w:hyperlink>
      <w:r>
        <w:tab/>
      </w:r>
      <w:r>
        <w:fldChar w:fldCharType="begin"/>
      </w:r>
      <w:r>
        <w:instrText xml:space="preserve"> PAGEREF _Toc1435 \h </w:instrText>
      </w:r>
      <w:r>
        <w:fldChar w:fldCharType="separate"/>
      </w:r>
      <w:r>
        <w:t>1</w:t>
      </w:r>
      <w:r>
        <w:fldChar w:fldCharType="end"/>
      </w:r>
    </w:p>
    <w:p>
      <w:pPr>
        <w:pStyle w:val="TOC1"/>
      </w:pPr>
      <w:hyperlink w:anchor="_Toc1436">
        <w:r>
          <w:t xml:space="preserve">Conclusion — What Vermont Proves, and What Remains to Be Proven</w:t>
        </w:r>
      </w:hyperlink>
      <w:r>
        <w:tab/>
      </w:r>
      <w:r>
        <w:fldChar w:fldCharType="begin"/>
      </w:r>
      <w:r>
        <w:instrText xml:space="preserve"> PAGEREF _Toc1436 \h </w:instrText>
      </w:r>
      <w:r>
        <w:fldChar w:fldCharType="separate"/>
      </w:r>
      <w:r>
        <w:t>1</w:t>
      </w:r>
      <w:r>
        <w:fldChar w:fldCharType="end"/>
      </w:r>
    </w:p>
    <w:p>
      <w:pPr>
        <w:pStyle w:val="TOC2"/>
      </w:pPr>
      <w:hyperlink w:anchor="_Toc1437">
        <w:r>
          <w:t xml:space="preserve">What Failure Actually Looks Like</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The Three Decisions That Are Not Yet Made</w:t>
        </w:r>
      </w:hyperlink>
      <w:r>
        <w:tab/>
      </w:r>
      <w:r>
        <w:fldChar w:fldCharType="begin"/>
      </w:r>
      <w:r>
        <w:instrText xml:space="preserve"> PAGEREF _Toc1438 \h </w:instrText>
      </w:r>
      <w:r>
        <w:fldChar w:fldCharType="separate"/>
      </w:r>
      <w:r>
        <w:t>1</w:t>
      </w:r>
      <w:r>
        <w:fldChar w:fldCharType="end"/>
      </w:r>
    </w:p>
    <w:p>
      <w:pPr>
        <w:pStyle w:val="TOC2"/>
      </w:pPr>
      <w:hyperlink w:anchor="_Toc1442">
        <w:r>
          <w:t xml:space="preserve">What Vermont Has Proved — As of April 2026</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People This Book Cannot Reach</w:t>
        </w:r>
      </w:hyperlink>
      <w:r>
        <w:tab/>
      </w:r>
      <w:r>
        <w:fldChar w:fldCharType="begin"/>
      </w:r>
      <w:r>
        <w:instrText xml:space="preserve"> PAGEREF _Toc1443 \h </w:instrText>
      </w:r>
      <w:r>
        <w:fldChar w:fldCharType="separate"/>
      </w:r>
      <w:r>
        <w:t>1</w:t>
      </w:r>
      <w:r>
        <w:fldChar w:fldCharType="end"/>
      </w:r>
    </w:p>
    <w:p>
      <w:pPr>
        <w:pStyle w:val="TOC2"/>
      </w:pPr>
      <w:hyperlink w:anchor="_Toc1444">
        <w:r>
          <w:t xml:space="preserve">The Call</w:t>
        </w:r>
      </w:hyperlink>
      <w:r>
        <w:tab/>
      </w:r>
      <w:r>
        <w:fldChar w:fldCharType="begin"/>
      </w:r>
      <w:r>
        <w:instrText xml:space="preserve"> PAGEREF _Toc1444 \h </w:instrText>
      </w:r>
      <w:r>
        <w:fldChar w:fldCharType="separate"/>
      </w:r>
      <w:r>
        <w:t>1</w:t>
      </w:r>
      <w:r>
        <w:fldChar w:fldCharType="end"/>
      </w:r>
    </w:p>
    <w:p>
      <w:pPr>
        <w:pStyle w:val="TOC2"/>
      </w:pPr>
      <w:hyperlink w:anchor="_Toc1445">
        <w:r>
          <w:t xml:space="preserve">Key Concepts in This Chapter</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A — Vermont System Portrait</w:t>
        </w:r>
      </w:hyperlink>
      <w:r>
        <w:tab/>
      </w:r>
      <w:r>
        <w:fldChar w:fldCharType="begin"/>
      </w:r>
      <w:r>
        <w:instrText xml:space="preserve"> PAGEREF _Toc1446 \h </w:instrText>
      </w:r>
      <w:r>
        <w:fldChar w:fldCharType="separate"/>
      </w:r>
      <w:r>
        <w:t>1</w:t>
      </w:r>
      <w:r>
        <w:fldChar w:fldCharType="end"/>
      </w:r>
    </w:p>
    <w:p>
      <w:pPr>
        <w:pStyle w:val="TOC2"/>
      </w:pPr>
      <w:hyperlink w:anchor="_Toc1447">
        <w:r>
          <w:t xml:space="preserve">Vermont: The State</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Demographics and Population Projections</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Regulatory Architecture: The Green Mountain Care Board</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The Hospital System</w:t>
        </w:r>
      </w:hyperlink>
      <w:r>
        <w:tab/>
      </w:r>
      <w:r>
        <w:fldChar w:fldCharType="begin"/>
      </w:r>
      <w:r>
        <w:instrText xml:space="preserve"> PAGEREF _Toc1450 \h </w:instrText>
      </w:r>
      <w:r>
        <w:fldChar w:fldCharType="separate"/>
      </w:r>
      <w:r>
        <w:t>1</w:t>
      </w:r>
      <w:r>
        <w:fldChar w:fldCharType="end"/>
      </w:r>
    </w:p>
    <w:p>
      <w:pPr>
        <w:pStyle w:val="TOC2"/>
      </w:pPr>
      <w:hyperlink w:anchor="_Toc1453">
        <w:r>
          <w:t xml:space="preserve">The Transformation Plans: A System in Motion</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The Insurance and Premium Crisis</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Healthcare Workforce</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Clinical Quality Indicators</w:t>
        </w:r>
      </w:hyperlink>
      <w:r>
        <w:tab/>
      </w:r>
      <w:r>
        <w:fldChar w:fldCharType="begin"/>
      </w:r>
      <w:r>
        <w:instrText xml:space="preserve"> PAGEREF _Toc1456 \h </w:instrText>
      </w:r>
      <w:r>
        <w:fldChar w:fldCharType="separate"/>
      </w:r>
      <w:r>
        <w:t>1</w:t>
      </w:r>
      <w:r>
        <w:fldChar w:fldCharType="end"/>
      </w:r>
    </w:p>
    <w:p>
      <w:pPr>
        <w:pStyle w:val="TOC1"/>
      </w:pPr>
      <w:hyperlink w:anchor="_Toc1457">
        <w:r>
          <w:t xml:space="preserve">Appendix B — Act 68 Statutory Timeline and Milestones</w:t>
        </w:r>
      </w:hyperlink>
      <w:r>
        <w:tab/>
      </w:r>
      <w:r>
        <w:fldChar w:fldCharType="begin"/>
      </w:r>
      <w:r>
        <w:instrText xml:space="preserve"> PAGEREF _Toc1457 \h </w:instrText>
      </w:r>
      <w:r>
        <w:fldChar w:fldCharType="separate"/>
      </w:r>
      <w:r>
        <w:t>1</w:t>
      </w:r>
      <w:r>
        <w:fldChar w:fldCharType="end"/>
      </w:r>
    </w:p>
    <w:p>
      <w:pPr>
        <w:pStyle w:val="TOC1"/>
      </w:pPr>
      <w:hyperlink w:anchor="_Toc1459">
        <w:r>
          <w:t xml:space="preserve">Appendix C — The 14-Hospital Centers of Excellence Assignment Framework</w:t>
        </w:r>
      </w:hyperlink>
      <w:r>
        <w:tab/>
      </w:r>
      <w:r>
        <w:fldChar w:fldCharType="begin"/>
      </w:r>
      <w:r>
        <w:instrText xml:space="preserve"> PAGEREF _Toc1459 \h </w:instrText>
      </w:r>
      <w:r>
        <w:fldChar w:fldCharType="separate"/>
      </w:r>
      <w:r>
        <w:t>1</w:t>
      </w:r>
      <w:r>
        <w:fldChar w:fldCharType="end"/>
      </w:r>
    </w:p>
    <w:p>
      <w:pPr>
        <w:pStyle w:val="TOC1"/>
      </w:pPr>
      <w:hyperlink w:anchor="_Toc1460">
        <w:r>
          <w:t xml:space="preserve">Appendix D — HTR Platform Tools and Methodology Overview</w:t>
        </w:r>
      </w:hyperlink>
      <w:r>
        <w:tab/>
      </w:r>
      <w:r>
        <w:fldChar w:fldCharType="begin"/>
      </w:r>
      <w:r>
        <w:instrText xml:space="preserve"> PAGEREF _Toc1460 \h </w:instrText>
      </w:r>
      <w:r>
        <w:fldChar w:fldCharType="separate"/>
      </w:r>
      <w:r>
        <w:t>1</w:t>
      </w:r>
      <w:r>
        <w:fldChar w:fldCharType="end"/>
      </w:r>
    </w:p>
    <w:p>
      <w:pPr>
        <w:pStyle w:val="TOC1"/>
      </w:pPr>
      <w:hyperlink w:anchor="_Toc1461">
        <w:r>
          <w:t xml:space="preserve">Appendix E — Vermont Transformation Scorecard: 2022 Baseline, 2026 Status, 2028 Target</w:t>
        </w:r>
      </w:hyperlink>
      <w:r>
        <w:tab/>
      </w:r>
      <w:r>
        <w:fldChar w:fldCharType="begin"/>
      </w:r>
      <w:r>
        <w:instrText xml:space="preserve"> PAGEREF _Toc1461 \h </w:instrText>
      </w:r>
      <w:r>
        <w:fldChar w:fldCharType="separate"/>
      </w:r>
      <w:r>
        <w:t>1</w:t>
      </w:r>
      <w:r>
        <w:fldChar w:fldCharType="end"/>
      </w:r>
    </w:p>
    <w:p>
      <w:pPr>
        <w:pStyle w:val="TOC1"/>
      </w:pPr>
      <w:hyperlink w:anchor="_Toc1468">
        <w:r>
          <w:t xml:space="preserve">Appendix F — A Reader’s Guide to the Health Transformation Review Platform</w:t>
        </w:r>
      </w:hyperlink>
      <w:r>
        <w:tab/>
      </w:r>
      <w:r>
        <w:fldChar w:fldCharType="begin"/>
      </w:r>
      <w:r>
        <w:instrText xml:space="preserve"> PAGEREF _Toc1468 \h </w:instrText>
      </w:r>
      <w:r>
        <w:fldChar w:fldCharType="separate"/>
      </w:r>
      <w:r>
        <w:t>1</w:t>
      </w:r>
      <w:r>
        <w:fldChar w:fldCharType="end"/>
      </w:r>
    </w:p>
    <w:p>
      <w:pPr>
        <w:pStyle w:val="TOC2"/>
      </w:pPr>
      <w:hyperlink w:anchor="_Toc1469">
        <w:r>
          <w:t xml:space="preserve">What This Platform Is</w:t>
        </w:r>
      </w:hyperlink>
      <w:r>
        <w:tab/>
      </w:r>
      <w:r>
        <w:fldChar w:fldCharType="begin"/>
      </w:r>
      <w:r>
        <w:instrText xml:space="preserve"> PAGEREF _Toc1469 \h </w:instrText>
      </w:r>
      <w:r>
        <w:fldChar w:fldCharType="separate"/>
      </w:r>
      <w:r>
        <w:t>1</w:t>
      </w:r>
      <w:r>
        <w:fldChar w:fldCharType="end"/>
      </w:r>
    </w:p>
    <w:p>
      <w:pPr>
        <w:pStyle w:val="TOC2"/>
      </w:pPr>
      <w:hyperlink w:anchor="_Toc1470">
        <w:r>
          <w:t xml:space="preserve">Navigating the Platform</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The Five Pillars of Intelligence</w:t>
        </w:r>
      </w:hyperlink>
      <w:r>
        <w:tab/>
      </w:r>
      <w:r>
        <w:fldChar w:fldCharType="begin"/>
      </w:r>
      <w:r>
        <w:instrText xml:space="preserve"> PAGEREF _Toc1471 \h </w:instrText>
      </w:r>
      <w:r>
        <w:fldChar w:fldCharType="separate"/>
      </w:r>
      <w:r>
        <w:t>1</w:t>
      </w:r>
      <w:r>
        <w:fldChar w:fldCharType="end"/>
      </w:r>
    </w:p>
    <w:p>
      <w:pPr>
        <w:pStyle w:val="TOC2"/>
      </w:pPr>
      <w:hyperlink w:anchor="_Toc1472">
        <w:r>
          <w:t xml:space="preserve">The Academy</w:t>
        </w:r>
      </w:hyperlink>
      <w:r>
        <w:tab/>
      </w:r>
      <w:r>
        <w:fldChar w:fldCharType="begin"/>
      </w:r>
      <w:r>
        <w:instrText xml:space="preserve"> PAGEREF _Toc1472 \h </w:instrText>
      </w:r>
      <w:r>
        <w:fldChar w:fldCharType="separate"/>
      </w:r>
      <w:r>
        <w:t>1</w:t>
      </w:r>
      <w:r>
        <w:fldChar w:fldCharType="end"/>
      </w:r>
    </w:p>
    <w:p>
      <w:pPr>
        <w:pStyle w:val="TOC2"/>
      </w:pPr>
      <w:hyperlink w:anchor="_Toc1473">
        <w:r>
          <w:t xml:space="preserve">The Research Lab</w:t>
        </w:r>
      </w:hyperlink>
      <w:r>
        <w:tab/>
      </w:r>
      <w:r>
        <w:fldChar w:fldCharType="begin"/>
      </w:r>
      <w:r>
        <w:instrText xml:space="preserve"> PAGEREF _Toc1473 \h </w:instrText>
      </w:r>
      <w:r>
        <w:fldChar w:fldCharType="separate"/>
      </w:r>
      <w:r>
        <w:t>1</w:t>
      </w:r>
      <w:r>
        <w:fldChar w:fldCharType="end"/>
      </w:r>
    </w:p>
    <w:p>
      <w:pPr>
        <w:pStyle w:val="TOC2"/>
      </w:pPr>
      <w:hyperlink w:anchor="_Toc1474">
        <w:r>
          <w:t xml:space="preserve">States &amp; Programs</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Advisory &amp; Services and the AI Analyst</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Reader Profiles and Recommended Paths</w:t>
        </w:r>
      </w:hyperlink>
      <w:r>
        <w:tab/>
      </w:r>
      <w:r>
        <w:fldChar w:fldCharType="begin"/>
      </w:r>
      <w:r>
        <w:instrText xml:space="preserve"> PAGEREF _Toc1476 \h </w:instrText>
      </w:r>
      <w:r>
        <w:fldChar w:fldCharType="separate"/>
      </w:r>
      <w:r>
        <w:t>1</w:t>
      </w:r>
      <w:r>
        <w:fldChar w:fldCharType="end"/>
      </w:r>
    </w:p>
    <w:p>
      <w:pPr>
        <w:pStyle w:val="TOC1"/>
      </w:pPr>
      <w:hyperlink w:anchor="_Toc1477">
        <w:r>
          <w:t xml:space="preserve">Appendix G — Adapting and Stress-Testing the Framework</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Glossary of Vermont-Specific Acronyms and Institutions</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Worksheet — Adapt This Framework to Your State</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The Transition Window — Financing FY2027–2030</w:t>
        </w:r>
      </w:hyperlink>
      <w:r>
        <w:tab/>
      </w:r>
      <w:r>
        <w:fldChar w:fldCharType="begin"/>
      </w:r>
      <w:r>
        <w:instrText xml:space="preserve"> PAGEREF _Toc1480 \h </w:instrText>
      </w:r>
      <w:r>
        <w:fldChar w:fldCharType="separate"/>
      </w:r>
      <w:r>
        <w:t>1</w:t>
      </w:r>
      <w:r>
        <w:fldChar w:fldCharType="end"/>
      </w:r>
    </w:p>
    <w:p>
      <w:pPr>
        <w:pStyle w:val="TOC2"/>
      </w:pPr>
      <w:hyperlink w:anchor="_Toc1483">
        <w:r>
          <w:t xml:space="preserve">Enforcement Mechanics — What “Mandatory” Means in Practice</w:t>
        </w:r>
      </w:hyperlink>
      <w:r>
        <w:tab/>
      </w:r>
      <w:r>
        <w:fldChar w:fldCharType="begin"/>
      </w:r>
      <w:r>
        <w:instrText xml:space="preserve"> PAGEREF _Toc1483 \h </w:instrText>
      </w:r>
      <w:r>
        <w:fldChar w:fldCharType="separate"/>
      </w:r>
      <w:r>
        <w:t>1</w:t>
      </w:r>
      <w:r>
        <w:fldChar w:fldCharType="end"/>
      </w:r>
    </w:p>
    <w:p>
      <w:pPr>
        <w:pStyle w:val="TOC1"/>
      </w:pPr>
      <w:hyperlink w:anchor="_Toc1486">
        <w:r>
          <w:t xml:space="preserve">Appendix H — The HTR Lab Workbook: A Five-Pillar Practicum</w:t>
        </w:r>
      </w:hyperlink>
      <w:r>
        <w:tab/>
      </w:r>
      <w:r>
        <w:fldChar w:fldCharType="begin"/>
      </w:r>
      <w:r>
        <w:instrText xml:space="preserve"> PAGEREF _Toc1486 \h </w:instrText>
      </w:r>
      <w:r>
        <w:fldChar w:fldCharType="separate"/>
      </w:r>
      <w:r>
        <w:t>1</w:t>
      </w:r>
      <w:r>
        <w:fldChar w:fldCharType="end"/>
      </w:r>
    </w:p>
    <w:p>
      <w:pPr>
        <w:pStyle w:val="TOC2"/>
      </w:pPr>
      <w:hyperlink w:anchor="_Toc1487">
        <w:r>
          <w:t xml:space="preserve">How to Use This Workbook</w:t>
        </w:r>
      </w:hyperlink>
      <w:r>
        <w:tab/>
      </w:r>
      <w:r>
        <w:fldChar w:fldCharType="begin"/>
      </w:r>
      <w:r>
        <w:instrText xml:space="preserve"> PAGEREF _Toc1487 \h </w:instrText>
      </w:r>
      <w:r>
        <w:fldChar w:fldCharType="separate"/>
      </w:r>
      <w:r>
        <w:t>1</w:t>
      </w:r>
      <w:r>
        <w:fldChar w:fldCharType="end"/>
      </w:r>
    </w:p>
    <w:p>
      <w:pPr>
        <w:pStyle w:val="TOC2"/>
      </w:pPr>
      <w:hyperlink w:anchor="_Toc1488">
        <w:r>
          <w:t xml:space="preserve">Stage 1 — Policy: Establish the Mandate</w:t>
        </w:r>
      </w:hyperlink>
      <w:r>
        <w:tab/>
      </w:r>
      <w:r>
        <w:fldChar w:fldCharType="begin"/>
      </w:r>
      <w:r>
        <w:instrText xml:space="preserve"> PAGEREF _Toc1488 \h </w:instrText>
      </w:r>
      <w:r>
        <w:fldChar w:fldCharType="separate"/>
      </w:r>
      <w:r>
        <w:t>1</w:t>
      </w:r>
      <w:r>
        <w:fldChar w:fldCharType="end"/>
      </w:r>
    </w:p>
    <w:p>
      <w:pPr>
        <w:pStyle w:val="TOC2"/>
      </w:pPr>
      <w:hyperlink w:anchor="_Toc1489">
        <w:r>
          <w:t xml:space="preserve">Stage 2 — Technology: Build the Substrate</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Stage 3 — Economics: Put Incentives on a Visible System</w:t>
        </w:r>
      </w:hyperlink>
      <w:r>
        <w:tab/>
      </w:r>
      <w:r>
        <w:fldChar w:fldCharType="begin"/>
      </w:r>
      <w:r>
        <w:instrText xml:space="preserve"> PAGEREF _Toc1490 \h </w:instrText>
      </w:r>
      <w:r>
        <w:fldChar w:fldCharType="separate"/>
      </w:r>
      <w:r>
        <w:t>1</w:t>
      </w:r>
      <w:r>
        <w:fldChar w:fldCharType="end"/>
      </w:r>
    </w:p>
    <w:p>
      <w:pPr>
        <w:pStyle w:val="TOC2"/>
      </w:pPr>
      <w:hyperlink w:anchor="_Toc1491">
        <w:r>
          <w:t xml:space="preserve">Stage 4 — Clinical: Redesign Care on Aligned Incentives</w:t>
        </w:r>
      </w:hyperlink>
      <w:r>
        <w:tab/>
      </w:r>
      <w:r>
        <w:fldChar w:fldCharType="begin"/>
      </w:r>
      <w:r>
        <w:instrText xml:space="preserve"> PAGEREF _Toc1491 \h </w:instrText>
      </w:r>
      <w:r>
        <w:fldChar w:fldCharType="separate"/>
      </w:r>
      <w:r>
        <w:t>1</w:t>
      </w:r>
      <w:r>
        <w:fldChar w:fldCharType="end"/>
      </w:r>
    </w:p>
    <w:p>
      <w:pPr>
        <w:pStyle w:val="TOC2"/>
      </w:pPr>
      <w:hyperlink w:anchor="_Toc1492">
        <w:r>
          <w:t xml:space="preserve">The Equity Imperative: Calibrate for the Gap, Not the Average</w:t>
        </w:r>
      </w:hyperlink>
      <w:r>
        <w:tab/>
      </w:r>
      <w:r>
        <w:fldChar w:fldCharType="begin"/>
      </w:r>
      <w:r>
        <w:instrText xml:space="preserve"> PAGEREF _Toc1492 \h </w:instrText>
      </w:r>
      <w:r>
        <w:fldChar w:fldCharType="separate"/>
      </w:r>
      <w:r>
        <w:t>1</w:t>
      </w:r>
      <w:r>
        <w:fldChar w:fldCharType="end"/>
      </w:r>
    </w:p>
    <w:p>
      <w:pPr>
        <w:pStyle w:val="TOC2"/>
      </w:pPr>
      <w:hyperlink w:anchor="_Toc1493">
        <w:r>
          <w:t xml:space="preserve">Stage 5 — Operations: Close the Execution Gap</w:t>
        </w:r>
      </w:hyperlink>
      <w:r>
        <w:tab/>
      </w:r>
      <w:r>
        <w:fldChar w:fldCharType="begin"/>
      </w:r>
      <w:r>
        <w:instrText xml:space="preserve"> PAGEREF _Toc1493 \h </w:instrText>
      </w:r>
      <w:r>
        <w:fldChar w:fldCharType="separate"/>
      </w:r>
      <w:r>
        <w:t>1</w:t>
      </w:r>
      <w:r>
        <w:fldChar w:fldCharType="end"/>
      </w:r>
    </w:p>
    <w:p>
      <w:pPr>
        <w:pStyle w:val="TOC1"/>
      </w:pPr>
      <w:hyperlink w:anchor="_Toc1494">
        <w:r>
          <w:t xml:space="preserve">Figure Index</w:t>
        </w:r>
      </w:hyperlink>
      <w:r>
        <w:tab/>
      </w:r>
      <w:r>
        <w:fldChar w:fldCharType="begin"/>
      </w:r>
      <w:r>
        <w:instrText xml:space="preserve"> PAGEREF _Toc1494 \h </w:instrText>
      </w:r>
      <w:r>
        <w:fldChar w:fldCharType="separate"/>
      </w:r>
      <w:r>
        <w:t>1</w:t>
      </w:r>
      <w:r>
        <w:fldChar w:fldCharType="end"/>
      </w:r>
    </w:p>
    <w:p>
      <w:pPr>
        <w:pStyle w:val="TOC1"/>
      </w:pPr>
      <w:hyperlink w:anchor="_Toc1495">
        <w:r>
          <w:t xml:space="preserve">Bibliography and Source Notes</w:t>
        </w:r>
      </w:hyperlink>
      <w:r>
        <w:tab/>
      </w:r>
      <w:r>
        <w:fldChar w:fldCharType="begin"/>
      </w:r>
      <w:r>
        <w:instrText xml:space="preserve"> PAGEREF _Toc1495 \h </w:instrText>
      </w:r>
      <w:r>
        <w:fldChar w:fldCharType="separate"/>
      </w:r>
      <w:r>
        <w:t>1</w:t>
      </w:r>
      <w:r>
        <w:fldChar w:fldCharType="end"/>
      </w:r>
    </w:p>
    <w:p>
      <w:pPr>
        <w:pStyle w:val="TOC1"/>
      </w:pPr>
      <w:hyperlink w:anchor="_Toc1496">
        <w:r>
          <w:t xml:space="preserve">Index (Selected)</w:t>
        </w:r>
      </w:hyperlink>
      <w:r>
        <w:tab/>
      </w:r>
      <w:r>
        <w:fldChar w:fldCharType="begin"/>
      </w:r>
      <w:r>
        <w:instrText xml:space="preserve"> PAGEREF _Toc1496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keepNext w:val="false"/>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keepNext w:val="false"/>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“On a time delay”</w:t>
            </w:r>
            <w:r>
              <w:rPr>
                <w:sz w:val="20"/>
                <w:szCs w:val="20"/>
              </w:rPr>
              <w:t xml:space="preserve"> </w:t>
            </w:r>
            <w:r>
              <w:rPr>
                <w:sz w:val="20"/>
                <w:szCs w:val="20"/>
              </w:rPr>
              <w:t xml:space="preserve">is measurable, not rhetorical. In 2020, three states had more residents over 65 than under 18: Maine, Vermont, and Florida. By 2024 there were eleven — Delaware, Hawaii, Montana, New Hampshire, Oregon, Pennsylvania, Rhode Island, and West Virginia had joined them. Vermont now ranks fourth-oldest in the country by median age (42.8), behind Maine (45.1), New Hampshire (43.0), and West Virginia (42.9).</w:t>
            </w:r>
          </w:p>
          <w:p>
            <w:pPr>
              <w:spacing w:after="60" w:line="264" w:lineRule="auto"/>
            </w:pPr>
            <w:r>
              <w:rPr>
                <w:sz w:val="20"/>
                <w:szCs w:val="20"/>
              </w:rPr>
              <w:t xml:space="preserve">The financial consequence is arriving on the same delay. Nationally, more than 40% of rural hospitals operate in the red, and Chartis counts 417 as vulnerable to closure (</w:t>
            </w:r>
            <w:r>
              <w:rPr>
                <w:i/>
                <w:iCs/>
                <w:sz w:val="20"/>
                <w:szCs w:val="20"/>
              </w:rPr>
              <w:t xml:space="preserve">2026 State of Rural Health</w:t>
            </w:r>
            <w:r>
              <w:rPr>
                <w:sz w:val="20"/>
                <w:szCs w:val="20"/>
              </w:rPr>
              <w:t xml:space="preserve">). Vermont’s nine-of-fourteen — 64% — is not a different problem from the national one. It is the national problem, further along. The states listed above are the ones for whom this book is least hypothetical.</w:t>
            </w:r>
          </w:p>
        </w:tc>
      </w:tr>
    </w:tbl>
    <w:p>
      <w:pPr>
        <w:spacing w:after="120" w:line="240" w:lineRule="auto"/>
        <w:rPr>
          <w:sz w:val="16"/>
        </w:rPr>
      </w:pP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pStyle w:val="BodyText"/>
      </w:pPr>
      <w:r>
        <w:t xml:space="preserve">That last failure is why equity does not appear here as a sixth pillar. It is the</w:t>
      </w:r>
      <w:r>
        <w:t xml:space="preserve"> </w:t>
      </w:r>
      <w:r>
        <w:rPr>
          <w:b/>
          <w:bCs/>
        </w:rPr>
        <w:t xml:space="preserve">Equity Imperative</w:t>
      </w:r>
      <w:r>
        <w:t xml:space="preserve"> </w:t>
      </w:r>
      <w:r>
        <w:t xml:space="preserve">— a single justice test that each of the five pillars must pass on its own terms. The Introduction explains why that distinction is structural rather than a matter of emphasis, and Chapter 1 applies the test pillar by pillar.</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five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and whether Vermont’s hospital system stabilizes or contracts is genuinely uncertain. The Introduction’s</w:t>
      </w:r>
      <w:r>
        <w:t xml:space="preserve"> </w:t>
      </w:r>
      <w:r>
        <w:t xml:space="preserve">“What This Book Cannot Do”</w:t>
      </w:r>
      <w:r>
        <w:t xml:space="preserve"> </w:t>
      </w:r>
      <w:r>
        <w:t xml:space="preserve">sets out the limits of what a framework can honestly claim; the short version is that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numPr>
          <w:ilvl w:val="0"/>
          <w:numId w:val="1001"/>
        </w:numPr>
        <w:keepLines w:val="true"/>
        <w:keepNext w:val="true"/>
      </w:pPr>
      <w:r>
        <w:t xml:space="preserve">The platform (</w:t>
      </w:r>
      <w:hyperlink r:id="rId21">
        <w:r>
          <w:rPr>
            <w:rStyle w:val="Hyperlink"/>
          </w:rPr>
          <w:t xml:space="preserve">healthtransformationreview.org</w:t>
        </w:r>
      </w:hyperlink>
      <w:r>
        <w:t xml:space="preserve">) — five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chapter ends with two doorways: an</w:t>
      </w:r>
      <w:r>
        <w:t xml:space="preserve"> </w:t>
      </w:r>
      <w:r>
        <w:rPr>
          <w:i/>
          <w:iCs/>
        </w:rPr>
        <w:t xml:space="preserve">“Explore on the Platform”</w:t>
      </w:r>
      <w:r>
        <w:t xml:space="preserve"> </w:t>
      </w:r>
      <w:r>
        <w:t xml:space="preserve">guide that maps the chapter’s argument to the specific tools that let you manipulate it, and a</w:t>
      </w:r>
      <w:r>
        <w:t xml:space="preserve"> </w:t>
      </w:r>
      <w:r>
        <w:rPr>
          <w:i/>
          <w:iCs/>
        </w:rPr>
        <w:t xml:space="preserve">“Go Deeper — Academy”</w:t>
      </w:r>
      <w:r>
        <w:t xml:space="preserve"> </w:t>
      </w:r>
      <w:r>
        <w:t xml:space="preserve">guide pointing to the lessons that teach it hands-on.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EXPLORE ON THE PLATFORM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line="240" w:lineRule="auto"/>
        <w:rPr>
          <w:sz w:val="16"/>
        </w:rPr>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 (Press accounts have attached different end-years to this same projection — 2028, 2029, and 2030 have all appeared in print. The range is Oliver Wyman’s five-year cumulative figure; the ambiguity is in the coverage, not in the underlying model.)</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was charging commercial payers roughly 358% of Medicare rates — RAND’s published figure for inpatient and outpatient services combined, drawn from 2018–2020 claims — making it, by RAND’s own accounting, the most expensive hospital in Vermont.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regulatory brakes.</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Global budgets carry real risk, and this book does not claim otherwise. What it claims is that the alternative — fee-for-service payment that makes population health management financially irrational — has a documented record of failure longer and more extensive than the record of global budget problems. No perfect payment model is on the table. The real choice lies between one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Federal Model Reliability and Durability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AHEAD itself was an eleven-year model running from 2024 through December 2035, already modified once (the January 2026 changes extending the end date and adding accountability requirements) and set to span at least one more presidential transition before Vermont’s Cohort 2 implementation was due to begin in January 2028. Why would AHEAD be different, and what happens to Vermont’s reform if it is not?</w:t>
      </w:r>
    </w:p>
    <w:p>
      <w:pPr>
        <w:pStyle w:val="BodyText"/>
      </w:pPr>
      <w: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Acts 167 and 68 require hospitals to participate in global budgets and reference-based pricing regardless of what happens federally. Vermont’s transformation does not depend on AHEAD; AHEAD was to amplify it.</w:t>
      </w:r>
    </w:p>
    <w:p>
      <w:pPr>
        <w:pStyle w:val="BodyText"/>
      </w:pPr>
      <w:r>
        <w:t xml:space="preserve">But that defense holds asymmetrically, and the distinction matters. It is fully true for the commercial and Medicaid components, which Act 68 and the Global Commitment waiver govern directly. It is</w:t>
      </w:r>
      <w:r>
        <w:t xml:space="preserve"> </w:t>
      </w:r>
      <w:r>
        <w:rPr>
          <w:i/>
          <w:iCs/>
        </w:rPr>
        <w:t xml:space="preserve">not</w:t>
      </w:r>
      <w:r>
        <w:t xml:space="preserve"> </w:t>
      </w:r>
      <w:r>
        <w:t xml:space="preserve">true for Medicare: Medicare global budgets existed in Vermont’s framework only because AHEAD provided them, and no state statute can substitute for a federal payment model on Medicare claims.</w:t>
      </w:r>
    </w:p>
    <w:p>
      <w:pPr>
        <w:pStyle w:val="BodyText"/>
      </w:pPr>
      <w:r>
        <w:t xml:space="preserve">Events settled both questions at once. In July 2026, after a CMS renegotiation cut Vermont’s expected EAST Fund from roughly $138 million to a cap near $10 million, Vermont formally withdrew from AHEAD. The mandatory state framework remained fully in force and the reform continued without missing a step — the skeptic’s first question answered by events, since Vermont did not need AHEAD to survive the loss of AHEAD. The Medicare global budget, the one component no state statute could secure, never took effect. Both halves of this argument proved correct simultaneously, and neither was theoretical. Chapter 13 (The Future of Healthcare Transformation) returns to this directly.</w:t>
      </w:r>
    </w:p>
    <w:p>
      <w:pPr>
        <w:pStyle w:val="Heading3"/>
      </w:pPr>
      <w:bookmarkStart w:id="1011" w:name="_Toc1010"/>
      <w:r>
        <w:rPr>
          <w:b/>
          <w:bCs/>
          <w:color w:val="161B22"/>
        </w:rPr>
        <w:t xml:space="preserve">4. The Oliver Wyman Independence Question</w:t>
      </w:r>
      <w:bookmarkEnd w:id="1011"/>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2" w:name="_Toc1011"/>
      <w:r>
        <w:rPr>
          <w:b/>
          <w:bCs/>
          <w:color w:val="161B22"/>
        </w:rPr>
        <w:t xml:space="preserve">5. The Vermont-Specificity Argument</w:t>
      </w:r>
      <w:bookmarkEnd w:id="1012"/>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3" w:name="_Toc1012"/>
      <w:r>
        <w:rPr>
          <w:b/>
          <w:bCs/>
          <w:color w:val="161B22"/>
        </w:rPr>
        <w:t xml:space="preserve">6. The Transition-Window Argument</w:t>
      </w:r>
      <w:bookmarkEnd w:id="1013"/>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4" w:name="_Toc1013"/>
      <w:r>
        <w:rPr>
          <w:b/>
          <w:bCs/>
          <w:color w:val="161B22"/>
        </w:rPr>
        <w:t xml:space="preserve">7. The Enforcement Question</w:t>
      </w:r>
      <w:bookmarkEnd w:id="1014"/>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5" w:name="_Toc1014"/>
      <w:r>
        <w:rPr>
          <w:b/>
          <w:bCs/>
          <w:color w:val="161B22"/>
        </w:rPr>
        <w:t xml:space="preserve">The Five-Pillar Framework and the Equity Imperative: Why They Must Move Together</w:t>
      </w:r>
      <w:bookmarkEnd w:id="1015"/>
    </w:p>
    <w:p>
      <w:pPr>
        <w:pStyle w:val="FirstParagraph"/>
      </w:pPr>
      <w: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w:t>
      </w:r>
      <w:r>
        <w:t xml:space="preserve"> </w:t>
      </w:r>
      <w:r>
        <w:t xml:space="preserve">“no”</w:t>
      </w:r>
      <w:r>
        <w:t xml:space="preserve"> </w:t>
      </w:r>
      <w:r>
        <w:t xml:space="preserve">to any one of them predicts underperformance regardless of how confidently the other four answer yes.</w:t>
      </w:r>
    </w:p>
    <w:p>
      <w:pPr>
        <w:pStyle w:val="BodyText"/>
      </w:pPr>
      <w:r>
        <w:t xml:space="preserve">There is a sixth question, and it is deliberately not a sixth pillar:</w:t>
      </w:r>
      <w:r>
        <w:t xml:space="preserve"> </w:t>
      </w:r>
      <w:r>
        <w:rPr>
          <w:b/>
          <w:bCs/>
        </w:rPr>
        <w:t xml:space="preserve">is it just?</w:t>
      </w:r>
      <w:r>
        <w:t xml:space="preserve"> </w:t>
      </w:r>
      <w:r>
        <w:t xml:space="preserve">This is the Equity Imperative — a cross-cutting test that each of the five pillars must pass on its own terms, rather than a separate workstream competing with them for budget, staff, and attention. The distinction is structural, not rhetorical. A sixth pillar has its own line item and its own position in the queue, which means it can be sequenced last, funded least, and reported separately from the work that determines whether disparities actually close. An imperative has none of those escape hatches: there is no standalone equity project to defer, because each pillar’s own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p>
    <w:p>
      <w:pPr>
        <w:pStyle w:val="BodyText"/>
      </w:pPr>
      <w:r>
        <w:t xml:space="preserve">The reason this matters is that a reform can improve the average while widening the gap, and pass every test but this one. Vermont’s primary care access rate is roughly 91% — four points above the national benchmark and a genuine achievement. That same number conceals an 11-point gap between white Vermont adults and BIPOC Vermont adults (Vermont Department of Health,</w:t>
      </w:r>
      <w:r>
        <w:t xml:space="preserve"> </w:t>
      </w:r>
      <w:r>
        <w:rPr>
          <w:i/>
          <w:iCs/>
        </w:rPr>
        <w:t xml:space="preserve">Health Equity Data Report</w:t>
      </w:r>
      <w:r>
        <w:t xml:space="preserve">). Nothing in the aggregate figure reveals the gap; it becomes visible only when the underlying data is stratified by race and ethnicity, which is a Technology-pillar capability rather than a statement of good intentions. A framework that treated equity as a separate pillar would have been satisfied by the 91%. Treating it as an imperative is what forces the second question.</w:t>
      </w:r>
    </w:p>
    <w:p>
      <w:pPr>
        <w:pStyle w:val="BodyText"/>
      </w:pPr>
      <w:r>
        <w:t xml:space="preserve">Chapter 1 develops all of this in full — defining each pillar, mapping the nine dependency relationships that connect them, applying the justice test to each pillar in turn, and showing what cascades through the system when any one is missing. Chapter 10 takes up the Equity Imperative on its own terms. What matters here, at the outset, is the single premise the rest of the book rests on: Vermont’s reform agenda is instructive precisely because it addresses all five pillars simultaneously, and is held to the same imperative throughout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6" w:name="_Toc1015"/>
      <w:r>
        <w:rPr>
          <w:b/>
          <w:bCs/>
          <w:color w:val="161B22"/>
        </w:rPr>
        <w:t xml:space="preserve">The HTR Ecosystem: How the Book, the Platform, and the Academy Work Together</w:t>
      </w:r>
      <w:bookmarkEnd w:id="1016"/>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Five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39">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chapter ends with an</w:t>
            </w:r>
            <w:r>
              <w:rPr>
                <w:sz w:val="18"/>
              </w:rPr>
              <w:t xml:space="preserve"> </w:t>
            </w:r>
            <w:r>
              <w:rPr>
                <w:i/>
                <w:iCs/>
                <w:sz w:val="18"/>
              </w:rPr>
              <w:t xml:space="preserve">“Explore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w:t>
            </w:r>
            <w:r>
              <w:rPr>
                <w:sz w:val="18"/>
              </w:rPr>
              <w:t xml:space="preserve"> </w:t>
            </w:r>
            <w:r>
              <w:rPr>
                <w:b/>
                <w:bCs/>
                <w:sz w:val="18"/>
              </w:rPr>
              <w:t xml:space="preserve">Five Pillars, One Imperative</w:t>
            </w:r>
            <w:r>
              <w:rPr>
                <w:sz w:val="18"/>
              </w:rPr>
              <w:t xml:space="preserve"> </w:t>
            </w:r>
            <w:r>
              <w:rPr>
                <w:sz w:val="18"/>
              </w:rPr>
              <w:t xml:space="preserve">is this book’s companion course — eight tracks that follow the book’s own sequence.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Each chapter ends with a</w:t>
            </w:r>
            <w:r>
              <w:rPr>
                <w:sz w:val="18"/>
              </w:rPr>
              <w:t xml:space="preserve"> </w:t>
            </w:r>
            <w:r>
              <w:rPr>
                <w:i/>
                <w:iCs/>
                <w:sz w:val="18"/>
              </w:rPr>
              <w:t xml:space="preserve">“Go Deeper — Academy”</w:t>
            </w:r>
            <w:r>
              <w:rPr>
                <w:sz w:val="18"/>
              </w:rPr>
              <w:t xml:space="preserve"> </w:t>
            </w:r>
            <w:r>
              <w:rPr>
                <w:sz w:val="18"/>
              </w:rPr>
              <w:t xml:space="preserve">guide naming the specific lessons that teach it hands-on.</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w:t>
      </w:r>
      <w:r>
        <w:t xml:space="preserve"> </w:t>
      </w:r>
      <w:r>
        <w:rPr>
          <w:b/>
          <w:bCs/>
        </w:rPr>
        <w:t xml:space="preserve">EXPLORE ON THE PLATFORM</w:t>
      </w:r>
      <w:r>
        <w:t xml:space="preserve">, then</w:t>
      </w:r>
      <w:r>
        <w:t xml:space="preserve"> </w:t>
      </w:r>
      <w:r>
        <w:rPr>
          <w:b/>
          <w:bCs/>
        </w:rPr>
        <w:t xml:space="preserve">GO DEEPER — ACADEMY</w:t>
      </w:r>
      <w:r>
        <w:t xml:space="preserve"> </w:t>
      </w:r>
      <w:r>
        <w:t xml:space="preserve">— and shorter</w:t>
      </w:r>
      <w:r>
        <w:t xml:space="preserve"> </w:t>
      </w:r>
      <w:r>
        <w:rPr>
          <w:b/>
          <w:bCs/>
        </w:rPr>
        <w:t xml:space="preserve">TRY THIS</w:t>
      </w:r>
      <w:r>
        <w:t xml:space="preserve"> </w:t>
      </w:r>
      <w:r>
        <w:t xml:space="preserve">prompts appear mid-chapter wherever an argument is easier to feel in a tool than to follow on the page.</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0">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line="240" w:lineRule="auto"/>
        <w:rPr>
          <w:sz w:val="16"/>
        </w:rPr>
      </w:pPr>
    </w:p>
    <w:p>
      <w:pPr>
        <w:pStyle w:val="Heading2"/>
        <w:pBdr>
          <w:top w:val="single" w:sz="6" w:space="10" w:color="C9D2DF"/>
        </w:pBdr>
      </w:pPr>
      <w:bookmarkStart w:id="1017" w:name="_Toc1016"/>
      <w:r>
        <w:rPr>
          <w:b/>
          <w:bCs/>
          <w:color w:val="161B22"/>
        </w:rPr>
        <w:t xml:space="preserve">How to Use This Book</w:t>
      </w:r>
      <w:bookmarkEnd w:id="1017"/>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8" w:name="_Toc1017"/>
      <w:r>
        <w:rPr>
          <w:b/>
          <w:bCs/>
          <w:color w:val="161B22"/>
        </w:rPr>
        <w:t xml:space="preserve">The Healthcare Policy Professional</w:t>
      </w:r>
      <w:bookmarkEnd w:id="1018"/>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Heading3"/>
      </w:pPr>
      <w:bookmarkStart w:id="1019" w:name="_Toc1018"/>
      <w:r>
        <w:rPr>
          <w:b/>
          <w:bCs/>
          <w:color w:val="161B22"/>
        </w:rPr>
        <w:t xml:space="preserve">The Healthcare Executive or Administrator</w:t>
      </w:r>
      <w:bookmarkEnd w:id="1019"/>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Heading3"/>
      </w:pPr>
      <w:bookmarkStart w:id="1020" w:name="_Toc1019"/>
      <w:r>
        <w:rPr>
          <w:b/>
          <w:bCs/>
          <w:color w:val="161B22"/>
        </w:rPr>
        <w:t xml:space="preserve">The Vermont Practitioner</w:t>
      </w:r>
      <w:bookmarkEnd w:id="1020"/>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Heading3"/>
      </w:pPr>
      <w:bookmarkStart w:id="1021" w:name="_Toc1020"/>
      <w:r>
        <w:rPr>
          <w:b/>
          <w:bCs/>
          <w:color w:val="161B22"/>
        </w:rPr>
        <w:t xml:space="preserve">The Healthcare Student or Researcher</w:t>
      </w:r>
      <w:bookmarkEnd w:id="1021"/>
    </w:p>
    <w:p>
      <w:pPr>
        <w:pStyle w:val="FirstParagraph"/>
      </w:pPr>
      <w:r>
        <w:t xml:space="preserve">You are building foundational knowledge in a graduate program or as an independent researcher.</w:t>
      </w:r>
    </w:p>
    <w:p>
      <w:pPr>
        <w:pStyle w:val="BodyText"/>
        <w:keepNext w:val="false"/>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keepNext w:val="false"/>
      </w:pPr>
      <w:r>
        <w:rPr>
          <w:i/>
          <w:iCs/>
        </w:rPr>
        <w:t xml:space="preserve">Where each profile should start on the platform and in the Academy:</w:t>
      </w:r>
    </w:p>
    <w:tbl>
      <w:tblPr>
        <w:tblStyle w:val="HTRTable"/>
        <w:tblLook w:firstRow="1" w:lastRow="0" w:firstColumn="0" w:lastColumn="0" w:noHBand="0" w:noVBand="1" w:val="0020"/>
        <w:tblW w:w="9072" w:type="dxa"/>
        <w:tblLayout w:type="autofit"/>
      </w:tblPr>
      <w:tblGrid>
        <w:gridCol w:w="1615"/>
        <w:gridCol w:w="3728"/>
        <w:gridCol w:w="3728"/>
      </w:tblGrid>
      <w:tr>
        <w:trPr>
          <w:tblHeader w:val="on"/>
          <w:cantSplit/>
        </w:trPr>
        <w:tc>
          <w:tcPr>
            <w:shd w:val="clear" w:color="auto" w:fill="1B3A6B"/>
            <w:tcW w:w="1615" w:type="dxa"/>
          </w:tcPr>
          <w:p>
            <w:pPr>
              <w:pStyle w:val="Compact"/>
              <w:jc w:val="left"/>
            </w:pPr>
            <w:r>
              <w:rPr>
                <w:b/>
                <w:color w:val="FFFFFF"/>
                <w:sz w:val="18"/>
              </w:rPr>
              <w:t xml:space="preserve">Profile</w:t>
            </w:r>
          </w:p>
        </w:tc>
        <w:tc>
          <w:tcPr>
            <w:shd w:val="clear" w:color="auto" w:fill="1B3A6B"/>
            <w:tcW w:w="3728" w:type="dxa"/>
          </w:tcPr>
          <w:p>
            <w:pPr>
              <w:pStyle w:val="Compact"/>
              <w:jc w:val="left"/>
            </w:pPr>
            <w:r>
              <w:rPr>
                <w:b/>
                <w:color w:val="FFFFFF"/>
                <w:sz w:val="18"/>
              </w:rPr>
              <w:t xml:space="preserve">On the platform</w:t>
            </w:r>
          </w:p>
        </w:tc>
        <w:tc>
          <w:tcPr>
            <w:shd w:val="clear" w:color="auto" w:fill="1B3A6B"/>
            <w:tcW w:w="3728" w:type="dxa"/>
          </w:tcPr>
          <w:p>
            <w:pPr>
              <w:pStyle w:val="Compact"/>
              <w:jc w:val="left"/>
            </w:pPr>
            <w:r>
              <w:rPr>
                <w:b/>
                <w:color w:val="FFFFFF"/>
                <w:sz w:val="18"/>
              </w:rPr>
              <w:t xml:space="preserve">In the Academy</w:t>
            </w:r>
          </w:p>
        </w:tc>
      </w:tr>
      <w:tr>
        <w:trPr>
          <w:cantSplit/>
        </w:trPr>
        <w:tc>
          <w:tcPr>
            <w:tcW w:w="1615" w:type="dxa"/>
          </w:tcPr>
          <w:p>
            <w:pPr>
              <w:pStyle w:val="Compact"/>
              <w:jc w:val="left"/>
            </w:pPr>
            <w:r>
              <w:rPr>
                <w:b/>
                <w:bCs/>
                <w:sz w:val="18"/>
              </w:rPr>
              <w:t xml:space="preserve">Policy professional</w:t>
            </w:r>
          </w:p>
        </w:tc>
        <w:tc>
          <w:tcPr>
            <w:tcW w:w="3728" w:type="dxa"/>
          </w:tcPr>
          <w:p>
            <w:pPr>
              <w:pStyle w:val="Compact"/>
              <w:jc w:val="left"/>
            </w:pPr>
            <w:hyperlink r:id="rId45">
              <w:r>
                <w:rPr>
                  <w:rStyle w:val="Hyperlink"/>
                </w:rPr>
                <w:t xml:space="preserve">HTR Simulator</w:t>
              </w:r>
            </w:hyperlink>
            <w:r>
              <w:rPr>
                <w:sz w:val="18"/>
              </w:rPr>
              <w:t xml:space="preserve"> </w:t>
            </w:r>
            <w:r>
              <w:rPr>
                <w:sz w:val="18"/>
              </w:rPr>
              <w:t xml:space="preserve">to model state readiness; the</w:t>
            </w:r>
            <w:r>
              <w:rPr>
                <w:sz w:val="18"/>
              </w:rPr>
              <w:t xml:space="preserve"> </w:t>
            </w:r>
            <w:hyperlink r:id="rId39">
              <w:r>
                <w:rPr>
                  <w:rStyle w:val="Hyperlink"/>
                </w:rPr>
                <w:t xml:space="preserve">fifty-state dashboard</w:t>
              </w:r>
            </w:hyperlink>
            <w:r>
              <w:rPr>
                <w:sz w:val="18"/>
              </w:rPr>
              <w:t xml:space="preserve"> </w:t>
            </w:r>
            <w:r>
              <w:rPr>
                <w:sz w:val="18"/>
              </w:rPr>
              <w:t xml:space="preserve">to benchmark it; the</w:t>
            </w:r>
            <w:r>
              <w:rPr>
                <w:sz w:val="18"/>
              </w:rPr>
              <w:t xml:space="preserve"> </w:t>
            </w:r>
            <w:hyperlink r:id="rId46">
              <w:r>
                <w:rPr>
                  <w:rStyle w:val="Hyperlink"/>
                </w:rPr>
                <w:t xml:space="preserve">Policy &amp; Quality Sciences bench</w:t>
              </w:r>
            </w:hyperlink>
            <w:r>
              <w:rPr>
                <w:sz w:val="18"/>
              </w:rPr>
              <w:t xml:space="preserve">.</w:t>
            </w:r>
          </w:p>
        </w:tc>
        <w:tc>
          <w:tcPr>
            <w:tcW w:w="3728" w:type="dxa"/>
          </w:tcPr>
          <w:p>
            <w:pPr>
              <w:pStyle w:val="Compact"/>
              <w:jc w:val="left"/>
            </w:pPr>
            <w:r>
              <w:rPr>
                <w:b/>
                <w:bCs/>
                <w:sz w:val="18"/>
              </w:rPr>
              <w:t xml:space="preserve">Five Pillars, One Imperative</w:t>
            </w:r>
            <w:r>
              <w:rPr>
                <w:sz w:val="18"/>
              </w:rPr>
              <w:t xml:space="preserve">, Track 2 (</w:t>
            </w:r>
            <w:r>
              <w:rPr>
                <w:sz w:val="18"/>
              </w:rPr>
              <w:t xml:space="preserve">“Policy — Establish the Mandate”</w:t>
            </w:r>
            <w:r>
              <w:rPr>
                <w:sz w:val="18"/>
              </w:rPr>
              <w:t xml:space="preserve">) — the Act 167 → 51 → 68 cascade and the voluntary-versus-mandatory distinction. Then the payment-reform courses.</w:t>
            </w:r>
          </w:p>
        </w:tc>
      </w:tr>
      <w:tr>
        <w:trPr/>
        <w:tc>
          <w:tcPr>
            <w:tcW w:w="1615" w:type="dxa"/>
          </w:tcPr>
          <w:p>
            <w:pPr>
              <w:pStyle w:val="Compact"/>
              <w:jc w:val="left"/>
            </w:pPr>
            <w:r>
              <w:rPr>
                <w:b/>
                <w:bCs/>
                <w:sz w:val="18"/>
              </w:rPr>
              <w:t xml:space="preserve">Executive or administrator</w:t>
            </w:r>
          </w:p>
        </w:tc>
        <w:tc>
          <w:tcPr>
            <w:tcW w:w="3728" w:type="dxa"/>
          </w:tcPr>
          <w:p>
            <w:pPr>
              <w:pStyle w:val="Compact"/>
              <w:jc w:val="left"/>
            </w:pPr>
            <w:r>
              <w:rPr>
                <w:sz w:val="18"/>
              </w:rPr>
              <w:t xml:space="preserve">The</w:t>
            </w:r>
            <w:r>
              <w:rPr>
                <w:sz w:val="18"/>
              </w:rPr>
              <w:t xml:space="preserve"> </w:t>
            </w:r>
            <w:hyperlink r:id="rId47">
              <w:r>
                <w:rPr>
                  <w:rStyle w:val="Hyperlink"/>
                </w:rPr>
                <w:t xml:space="preserve">Payment Models &amp; VBC bench</w:t>
              </w:r>
            </w:hyperlink>
            <w:r>
              <w:rPr>
                <w:sz w:val="18"/>
              </w:rPr>
              <w:t xml:space="preserve"> </w:t>
            </w:r>
            <w:r>
              <w:rPr>
                <w:sz w:val="18"/>
              </w:rPr>
              <w:t xml:space="preserve">— VBC Readiness Assessment and APM tools — to pressure-test your own finances.</w:t>
            </w:r>
          </w:p>
        </w:tc>
        <w:tc>
          <w:tcPr>
            <w:tcW w:w="3728" w:type="dxa"/>
          </w:tcPr>
          <w:p>
            <w:pPr>
              <w:pStyle w:val="Compact"/>
              <w:jc w:val="left"/>
            </w:pPr>
            <w:r>
              <w:rPr>
                <w:b/>
                <w:bCs/>
                <w:sz w:val="18"/>
              </w:rPr>
              <w:t xml:space="preserve">Five Pillars, One Imperative</w:t>
            </w:r>
            <w:r>
              <w:rPr>
                <w:sz w:val="18"/>
              </w:rPr>
              <w:t xml:space="preserve"> </w:t>
            </w:r>
            <w:r>
              <w:rPr>
                <w:sz w:val="18"/>
              </w:rPr>
              <w:t xml:space="preserve">Track 4 (</w:t>
            </w:r>
            <w:r>
              <w:rPr>
                <w:sz w:val="18"/>
              </w:rPr>
              <w:t xml:space="preserve">“Economics — Put Incentives on a Visible System”</w:t>
            </w:r>
            <w:r>
              <w:rPr>
                <w:sz w:val="18"/>
              </w:rPr>
              <w:t xml:space="preserve">), then the Value-Based Care course before your next contract cycle.</w:t>
            </w:r>
          </w:p>
        </w:tc>
      </w:tr>
      <w:tr>
        <w:trPr/>
        <w:tc>
          <w:tcPr>
            <w:tcW w:w="1615" w:type="dxa"/>
          </w:tcPr>
          <w:p>
            <w:pPr>
              <w:pStyle w:val="Compact"/>
              <w:jc w:val="left"/>
            </w:pPr>
            <w:r>
              <w:rPr>
                <w:b/>
                <w:bCs/>
                <w:sz w:val="18"/>
              </w:rPr>
              <w:t xml:space="preserve">Vermont practitioner</w:t>
            </w:r>
          </w:p>
        </w:tc>
        <w:tc>
          <w:tcPr>
            <w:tcW w:w="3728" w:type="dxa"/>
          </w:tcPr>
          <w:p>
            <w:pPr>
              <w:pStyle w:val="Compact"/>
              <w:jc w:val="left"/>
            </w:pPr>
            <w:r>
              <w:rPr>
                <w:sz w:val="18"/>
              </w:rPr>
              <w:t xml:space="preserve">The Vermont concept pages (</w:t>
            </w:r>
            <w:hyperlink r:id="rId48">
              <w:r>
                <w:rPr>
                  <w:rStyle w:val="Hyperlink"/>
                </w:rPr>
                <w:t xml:space="preserve">Act 167</w:t>
              </w:r>
            </w:hyperlink>
            <w:r>
              <w:rPr>
                <w:sz w:val="18"/>
              </w:rPr>
              <w:t xml:space="preserve">,</w:t>
            </w:r>
            <w:r>
              <w:rPr>
                <w:sz w:val="18"/>
              </w:rPr>
              <w:t xml:space="preserve"> </w:t>
            </w:r>
            <w:hyperlink r:id="rId49">
              <w:r>
                <w:rPr>
                  <w:rStyle w:val="Hyperlink"/>
                </w:rPr>
                <w:t xml:space="preserve">Act 68</w:t>
              </w:r>
            </w:hyperlink>
            <w:r>
              <w:rPr>
                <w:sz w:val="18"/>
              </w:rPr>
              <w:t xml:space="preserve">, the</w:t>
            </w:r>
            <w:r>
              <w:rPr>
                <w:sz w:val="18"/>
              </w:rPr>
              <w:t xml:space="preserve"> </w:t>
            </w:r>
            <w:hyperlink r:id="rId50">
              <w:r>
                <w:rPr>
                  <w:rStyle w:val="Hyperlink"/>
                </w:rPr>
                <w:t xml:space="preserve">AHEAD Model</w:t>
              </w:r>
            </w:hyperlink>
            <w:r>
              <w:rPr>
                <w:sz w:val="18"/>
              </w:rPr>
              <w:t xml:space="preserve">) and the</w:t>
            </w:r>
            <w:r>
              <w:rPr>
                <w:sz w:val="18"/>
              </w:rPr>
              <w:t xml:space="preserve"> </w:t>
            </w:r>
            <w:hyperlink r:id="rId51">
              <w:r>
                <w:rPr>
                  <w:rStyle w:val="Hyperlink"/>
                </w:rPr>
                <w:t xml:space="preserve">Vermont hospital dashboard</w:t>
              </w:r>
            </w:hyperlink>
            <w:r>
              <w:rPr>
                <w:sz w:val="18"/>
              </w:rPr>
              <w:t xml:space="preserve">; ask the</w:t>
            </w:r>
            <w:r>
              <w:rPr>
                <w:sz w:val="18"/>
              </w:rPr>
              <w:t xml:space="preserve"> </w:t>
            </w:r>
            <w:hyperlink r:id="rId24">
              <w:r>
                <w:rPr>
                  <w:rStyle w:val="Hyperlink"/>
                </w:rPr>
                <w:t xml:space="preserve">AI Analyst</w:t>
              </w:r>
            </w:hyperlink>
            <w:r>
              <w:rPr>
                <w:sz w:val="18"/>
              </w:rPr>
              <w:t xml:space="preserve"> </w:t>
            </w:r>
            <w:r>
              <w:rPr>
                <w:sz w:val="18"/>
              </w:rPr>
              <w:t xml:space="preserve">about any statute or program.</w:t>
            </w:r>
          </w:p>
        </w:tc>
        <w:tc>
          <w:tcPr>
            <w:tcW w:w="3728" w:type="dxa"/>
          </w:tcPr>
          <w:p>
            <w:pPr>
              <w:pStyle w:val="Compact"/>
              <w:jc w:val="left"/>
            </w:pPr>
            <w:r>
              <w:rPr>
                <w:b/>
                <w:bCs/>
                <w:sz w:val="18"/>
              </w:rPr>
              <w:t xml:space="preserve">Five Pillars, One Imperative</w:t>
            </w:r>
            <w:r>
              <w:rPr>
                <w:sz w:val="18"/>
              </w:rPr>
              <w:t xml:space="preserve"> </w:t>
            </w:r>
            <w:r>
              <w:rPr>
                <w:sz w:val="18"/>
              </w:rPr>
              <w:t xml:space="preserve">Track 2 (</w:t>
            </w:r>
            <w:r>
              <w:rPr>
                <w:sz w:val="18"/>
              </w:rPr>
              <w:t xml:space="preserve">“Policy”</w:t>
            </w:r>
            <w:r>
              <w:rPr>
                <w:sz w:val="18"/>
              </w:rPr>
              <w:t xml:space="preserve">) for the statutes you work under daily; Track 6 (</w:t>
            </w:r>
            <w:r>
              <w:rPr>
                <w:sz w:val="18"/>
              </w:rPr>
              <w:t xml:space="preserve">“Operations — Close the Execution Gap”</w:t>
            </w:r>
            <w:r>
              <w:rPr>
                <w:sz w:val="18"/>
              </w:rPr>
              <w:t xml:space="preserve">) for regionalization and the workforce constraint.</w:t>
            </w:r>
          </w:p>
        </w:tc>
      </w:tr>
      <w:tr>
        <w:trPr>
          <w:cantSplit/>
        </w:trPr>
        <w:tc>
          <w:tcPr>
            <w:tcW w:w="1615" w:type="dxa"/>
          </w:tcPr>
          <w:p>
            <w:pPr>
              <w:pStyle w:val="Compact"/>
              <w:jc w:val="left"/>
            </w:pPr>
            <w:r>
              <w:rPr>
                <w:b/>
                <w:bCs/>
                <w:sz w:val="18"/>
              </w:rPr>
              <w:t xml:space="preserve">Student or researcher</w:t>
            </w:r>
          </w:p>
        </w:tc>
        <w:tc>
          <w:tcPr>
            <w:tcW w:w="3728" w:type="dxa"/>
          </w:tcPr>
          <w:p>
            <w:pPr>
              <w:pStyle w:val="Compact"/>
              <w:jc w:val="left"/>
            </w:pPr>
            <w:r>
              <w:rPr>
                <w:sz w:val="18"/>
              </w:rPr>
              <w:t xml:space="preserve">The full</w:t>
            </w:r>
            <w:r>
              <w:rPr>
                <w:sz w:val="18"/>
              </w:rPr>
              <w:t xml:space="preserve"> </w:t>
            </w:r>
            <w:hyperlink r:id="rId23">
              <w:r>
                <w:rPr>
                  <w:rStyle w:val="Hyperlink"/>
                </w:rPr>
                <w:t xml:space="preserve">Research Lab</w:t>
              </w:r>
            </w:hyperlink>
            <w:r>
              <w:rPr>
                <w:sz w:val="18"/>
              </w:rPr>
              <w:t xml:space="preserve"> </w:t>
            </w:r>
            <w:r>
              <w:rPr>
                <w:sz w:val="18"/>
              </w:rPr>
              <w:t xml:space="preserve">as a sandbox for reproducing the book’s analyses yourself.</w:t>
            </w:r>
          </w:p>
        </w:tc>
        <w:tc>
          <w:tcPr>
            <w:tcW w:w="3728" w:type="dxa"/>
          </w:tcPr>
          <w:p>
            <w:pPr>
              <w:pStyle w:val="Compact"/>
              <w:jc w:val="left"/>
            </w:pPr>
            <w:r>
              <w:rPr>
                <w:sz w:val="18"/>
              </w:rPr>
              <w:t xml:space="preserve">The</w:t>
            </w:r>
            <w:r>
              <w:rPr>
                <w:sz w:val="18"/>
              </w:rPr>
              <w:t xml:space="preserve"> </w:t>
            </w:r>
            <w:hyperlink r:id="rId22">
              <w:r>
                <w:rPr>
                  <w:rStyle w:val="Hyperlink"/>
                </w:rPr>
                <w:t xml:space="preserve">Academy</w:t>
              </w:r>
            </w:hyperlink>
            <w:r>
              <w:rPr>
                <w:sz w:val="18"/>
              </w:rPr>
              <w:t xml:space="preserve"> </w:t>
            </w:r>
            <w:r>
              <w:rPr>
                <w:sz w:val="18"/>
              </w:rPr>
              <w:t xml:space="preserve">as a structured curriculum with progress tracking — start at</w:t>
            </w:r>
            <w:r>
              <w:rPr>
                <w:sz w:val="18"/>
              </w:rPr>
              <w:t xml:space="preserve"> </w:t>
            </w:r>
            <w:hyperlink r:id="rId40">
              <w:r>
                <w:rPr>
                  <w:rStyle w:val="Hyperlink"/>
                </w:rPr>
                <w:t xml:space="preserve">/academy/getting-started</w:t>
              </w:r>
            </w:hyperlink>
            <w:r>
              <w:rPr>
                <w:sz w:val="18"/>
              </w:rPr>
              <w:t xml:space="preserve">.</w:t>
            </w:r>
          </w:p>
        </w:tc>
      </w:tr>
    </w:tbl>
    <w:p>
      <w:pPr>
        <w:pStyle w:val="Heading2"/>
        <w:pBdr>
          <w:top w:val="single" w:sz="6" w:space="10" w:color="C9D2DF"/>
        </w:pBdr>
        <w:spacing w:before="280"/>
      </w:pPr>
      <w:bookmarkStart w:id="1022" w:name="_Toc1021"/>
      <w:r>
        <w:rPr>
          <w:b/>
          <w:bCs/>
          <w:color w:val="161B22"/>
        </w:rPr>
        <w:t xml:space="preserve">What This Book Cannot Do</w:t>
      </w:r>
      <w:bookmarkEnd w:id="1022"/>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3" w:name="_Toc1022"/>
      <w:r>
        <w:rPr>
          <w:b/>
          <w:bCs/>
          <w:color w:val="161B22"/>
        </w:rPr>
        <w:t xml:space="preserve">Chapter 1: The Five-Pillar Framework and the Execution Sequence</w:t>
      </w:r>
      <w:bookmarkEnd w:id="1023"/>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4" w:name="_Toc1023"/>
      <w:r>
        <w:rPr>
          <w:b/>
          <w:bCs/>
          <w:color w:val="161B22"/>
        </w:rPr>
        <w:t xml:space="preserve">The Problem with Single-Pillar Thinking</w:t>
      </w:r>
      <w:bookmarkEnd w:id="1024"/>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seventy models, investing billions of dollars and attracting the attention of thousands of healthcare organizations. A 2023 Congressional Budget Office analysis found that the vast majority had not achieved statistically significant reductions in spending or improvements in quality — and that CMMI’s models, taken together, had not saved money at all: they cost $7.9 billion to operate, reduced spending on health care benefits by $2.6 billion, and increased net federal spending by $5.4 billion between 2011 and 2020. Most were discontinued. A handful showed promise and were expanded.</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70</w:t>
            </w:r>
          </w:p>
          <w:p>
            <w:pPr>
              <w:jc w:val="center"/>
              <w:spacing w:after="40"/>
            </w:pPr>
            <w:r>
              <w:rPr>
                <w:rFonts w:ascii="Calibri" w:hAnsi="Calibri"/>
                <w:b/>
                <w:sz w:val="16"/>
                <w:color w:val="1B3A6B"/>
              </w:rPr>
              <w:t>CMMI Models Tested (2011–2024)</w:t>
            </w:r>
          </w:p>
        </w:tc>
        <w:tc>
          <w:tcPr>
            <w:tcW w:w="2268" w:type="dxa"/>
            <w:shd w:val="clear" w:color="auto" w:fill="E8F0FB"/>
            <w:vAlign w:val="center"/>
          </w:tcPr>
          <w:p>
            <w:pPr>
              <w:jc w:val="center"/>
              <w:spacing w:after="20" w:before="40"/>
            </w:pPr>
            <w:r>
              <w:rPr>
                <w:rFonts w:ascii="Calibri" w:hAnsi="Calibri"/>
                <w:b/>
                <w:sz w:val="16"/>
                <w:color w:val="1B3A6B"/>
              </w:rPr>
              <w:t>4 of 70</w:t>
            </w:r>
          </w:p>
          <w:p>
            <w:pPr>
              <w:jc w:val="center"/>
              <w:spacing w:after="40"/>
            </w:pPr>
            <w:r>
              <w:rPr>
                <w:rFonts w:ascii="Calibri" w:hAnsi="Calibri"/>
                <w:b/>
                <w:sz w:val="16"/>
                <w:color w:val="1B3A6B"/>
              </w:rPr>
              <w:t>Expanded Nationwide</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Each one, pursued in isolation, simply runs into the constraints created by the pillars it ignores. This is the core analytical argument of the five-pillar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Every pillar you leave out becomes the constraint that defeats the ones you built.</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pPr>
        <w:pStyle w:val="Heading2"/>
        <w:pBdr>
          <w:top w:val="single" w:sz="6" w:space="10" w:color="C9D2DF"/>
        </w:pBdr>
      </w:pPr>
      <w:r>
        <w:rPr>
          <w:color w:val="161B22"/>
        </w:rPr>
        <w:t xml:space="preserve">1.2  </w:t>
      </w:r>
      <w:bookmarkStart w:id="1025" w:name="_Toc1024"/>
      <w:r>
        <w:rPr>
          <w:b/>
          <w:bCs/>
          <w:color w:val="161B22"/>
        </w:rPr>
        <w:t xml:space="preserve">The OneCare Failure: A Sequencing Autopsy</w:t>
      </w:r>
      <w:bookmarkEnd w:id="1025"/>
    </w:p>
    <w:p>
      <w:pPr>
        <w:pStyle w:val="FirstParagraph"/>
      </w:pPr>
      <w: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roughly twelve years, founded in 2013 and closing at the end of 2025; the federal All-Payer ACO Model agreement that defined its most consequential years ran about eight of those years before its own scheduled sunset.</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6" w:name="_Toc1025"/>
      <w:r>
        <w:rPr>
          <w:b/>
          <w:bCs/>
          <w:color w:val="161B22"/>
        </w:rPr>
        <w:t xml:space="preserve">Sequencing Failure 1: Economics Without Policy Foundation</w:t>
      </w:r>
      <w:bookmarkEnd w:id="1026"/>
    </w:p>
    <w:p>
      <w:pPr>
        <w:pStyle w:val="FirstParagraph"/>
      </w:pPr>
      <w:r>
        <w:t xml:space="preserve">The most fundamental problem: Vermont attempted to operate a sophisticated payment reform model — one requiring system-wide accountability — without a policy foundation that could compel every payer’s participation. Provider participation in OneCare was voluntary, and at its broadest it reached all fourteen Vermont hospitals and thousands of providers — the gap that actually undid the model was on the payer side, not a hospital walking away.</w:t>
      </w:r>
    </w:p>
    <w:p>
      <w:pPr>
        <w:pStyle w:val="BodyText"/>
      </w:pPr>
      <w:r>
        <w:t xml:space="preserve">That gap has a specific origin. In 2016 the U.S. Supreme Court decided</w:t>
      </w:r>
      <w:r>
        <w:t xml:space="preserve"> </w:t>
      </w:r>
      <w:r>
        <w:rPr>
          <w:i/>
          <w:iCs/>
        </w:rPr>
        <w:t xml:space="preserve">Gobeille v. Liberty Mutual Insurance Co.</w:t>
      </w:r>
      <w:r>
        <w:t xml:space="preserve">, 6–2, holding that ERISA preempts a state law requiring health plans — including self-insured employer plans — to report claims data into a state’s all-payer claims database. Vermont could not, after that ruling, legally compel every private payer into its data and payment infrastructure. That structural limit became concrete on January 1, 2023, when Blue Cross Blue Shield of Vermont — the state’s largest insurer — declined to renew its OneCare contract, removing roughly 93,000 enrollees, about a third of OneCare’s total enrollment, in a single step. Blue Cross cited inadequate contractual protection for its members’ claims data under OneCare’s plan to subcontract analytics to UVM Health Network (a competitor), and no evidence among its own members of progress on health outcomes or cost of care. This — a federal ruling constraining the mandate’s reach, then the state’s largest payer exercising exactly the option that ruling protected — is the documented mechanism, not a hospital protecting admission revenue.</w:t>
      </w:r>
    </w:p>
    <w:p>
      <w:pPr>
        <w:pStyle w:val="BodyText"/>
        <w:keepNext w:val="false"/>
      </w:pPr>
      <w:r>
        <w:rPr>
          <w:b/>
          <w:bCs/>
        </w:rPr>
        <w:t xml:space="preserve">WORKED EXAMPLE — ONE DECISION THROUGH THE MODEL</w:t>
      </w:r>
    </w:p>
    <w:p>
      <w:pPr>
        <w:pStyle w:val="BodyText"/>
        <w:keepNext w:val="false"/>
      </w:pPr>
      <w:r>
        <w:rPr>
          <w:i/>
          <w:iCs/>
        </w:rPr>
        <w:t xml:space="preserve">Vermont’s move to mandatory hospital global budgets (Act 68, FY2028), run through the five gates and the Equity Imperative.</w:t>
      </w:r>
    </w:p>
    <w:tbl>
      <w:tblPr>
        <w:tblStyle w:val="HTRTable"/>
        <w:tblLook w:firstRow="0" w:lastRow="0" w:firstColumn="0" w:lastColumn="0" w:noHBand="0" w:noVBand="1" w:val="0020"/>
        <w:tblW w:w="9072" w:type="dxa"/>
        <w:tblLayout w:type="fixed"/>
      </w:tblPr>
      <w:tblGrid>
        <w:gridCol w:w="1839"/>
        <w:gridCol w:w="7233"/>
      </w:tblGrid>
      <w:tr>
        <w:trPr>
          <w:tblHeader w:val="on"/>
          <w:cantSplit/>
        </w:trPr>
        <w:tc>
          <w:tcPr>
            <w:shd w:val="clear" w:color="auto" w:fill="EDF2F9"/>
            <w:tcW w:w="1839" w:type="dxa"/>
          </w:tcPr>
          <w:p>
            <w:pPr>
              <w:pStyle w:val="Compact"/>
              <w:jc w:val="left"/>
            </w:pPr>
            <w:r>
              <w:rPr>
                <w:b/>
                <w:bCs/>
                <w:color w:val="111111"/>
                <w:sz w:val="18"/>
              </w:rPr>
              <w:t xml:space="preserve">Policy</w:t>
            </w:r>
          </w:p>
        </w:tc>
        <w:tc>
          <w:tcPr>
            <w:shd w:val="clear" w:color="auto" w:fill="EDF2F9"/>
            <w:tcW w:w="7233" w:type="dxa"/>
          </w:tcPr>
          <w:p>
            <w:pPr>
              <w:pStyle w:val="Compact"/>
              <w:jc w:val="left"/>
            </w:pPr>
            <w:r>
              <w:rPr>
                <w:b/>
                <w:color w:val="111111"/>
                <w:sz w:val="18"/>
              </w:rPr>
              <w:t xml:space="preserve">Yes — Act 68 makes global budgets binding on every hospital, ending the opt-out that sank the voluntary OneCare model.</w:t>
            </w:r>
          </w:p>
        </w:tc>
      </w:tr>
      <w:tr>
        <w:trPr>
          <w:cantSplit/>
        </w:trPr>
        <w:tc>
          <w:tcPr>
            <w:tcW w:w="1839" w:type="dxa"/>
          </w:tcPr>
          <w:p>
            <w:pPr>
              <w:pStyle w:val="Compact"/>
              <w:jc w:val="left"/>
            </w:pPr>
            <w:r>
              <w:rPr>
                <w:b/>
                <w:bCs/>
                <w:sz w:val="18"/>
              </w:rPr>
              <w:t xml:space="preserve">Technology</w:t>
            </w:r>
          </w:p>
        </w:tc>
        <w:tc>
          <w:tcPr>
            <w:tcW w:w="7233" w:type="dxa"/>
          </w:tcPr>
          <w:p>
            <w:pPr>
              <w:pStyle w:val="Compact"/>
              <w:jc w:val="left"/>
            </w:pPr>
            <w:r>
              <w:rPr>
                <w:sz w:val="18"/>
              </w:rPr>
              <w:t xml:space="preserve">Only if VHCURES and AHS–GMCB analytics can set and monitor each hospital’s budget; without the data, the budget is a number no one can manage.</w:t>
            </w:r>
          </w:p>
        </w:tc>
      </w:tr>
      <w:tr>
        <w:trPr/>
        <w:tc>
          <w:tcPr>
            <w:tcW w:w="1839" w:type="dxa"/>
          </w:tcPr>
          <w:p>
            <w:pPr>
              <w:pStyle w:val="Compact"/>
              <w:jc w:val="left"/>
            </w:pPr>
            <w:r>
              <w:rPr>
                <w:b/>
                <w:bCs/>
                <w:sz w:val="18"/>
              </w:rPr>
              <w:t xml:space="preserve">Economics</w:t>
            </w:r>
          </w:p>
        </w:tc>
        <w:tc>
          <w:tcPr>
            <w:tcW w:w="7233" w:type="dxa"/>
          </w:tcPr>
          <w:p>
            <w:pPr>
              <w:pStyle w:val="Compact"/>
              <w:jc w:val="left"/>
            </w:pPr>
            <w:r>
              <w:rPr>
                <w:sz w:val="18"/>
              </w:rPr>
              <w:t xml:space="preserve">The budget flips the incentive — every avoided admission now improves margin instead of cutting revenue.</w:t>
            </w:r>
          </w:p>
        </w:tc>
      </w:tr>
      <w:tr>
        <w:trPr/>
        <w:tc>
          <w:tcPr>
            <w:tcW w:w="1839" w:type="dxa"/>
          </w:tcPr>
          <w:p>
            <w:pPr>
              <w:pStyle w:val="Compact"/>
              <w:jc w:val="left"/>
            </w:pPr>
            <w:r>
              <w:rPr>
                <w:b/>
                <w:bCs/>
                <w:sz w:val="18"/>
              </w:rPr>
              <w:t xml:space="preserve">Clinical</w:t>
            </w:r>
          </w:p>
        </w:tc>
        <w:tc>
          <w:tcPr>
            <w:tcW w:w="7233" w:type="dxa"/>
          </w:tcPr>
          <w:p>
            <w:pPr>
              <w:pStyle w:val="Compact"/>
              <w:jc w:val="left"/>
            </w:pPr>
            <w:r>
              <w:rPr>
                <w:sz w:val="18"/>
              </w:rPr>
              <w:t xml:space="preserve">Realized only when Blueprint care teams actually prevent the admissions the budget rewards.</w:t>
            </w:r>
          </w:p>
        </w:tc>
      </w:tr>
      <w:tr>
        <w:trPr>
          <w:cantSplit/>
        </w:trPr>
        <w:tc>
          <w:tcPr>
            <w:tcW w:w="1839" w:type="dxa"/>
          </w:tcPr>
          <w:p>
            <w:pPr>
              <w:pStyle w:val="Compact"/>
              <w:jc w:val="left"/>
            </w:pPr>
            <w:r>
              <w:rPr>
                <w:b/>
                <w:bCs/>
                <w:sz w:val="18"/>
              </w:rPr>
              <w:t xml:space="preserve">Operations</w:t>
            </w:r>
          </w:p>
        </w:tc>
        <w:tc>
          <w:tcPr>
            <w:tcW w:w="7233" w:type="dxa"/>
          </w:tcPr>
          <w:p>
            <w:pPr>
              <w:pStyle w:val="Compact"/>
              <w:jc w:val="left"/>
            </w:pPr>
            <w:r>
              <w:rPr>
                <w:sz w:val="18"/>
              </w:rPr>
              <w:t xml:space="preserve">Requires project-management capacity at all 14 hospitals to run the budgets, not just design them.</w:t>
            </w:r>
          </w:p>
        </w:tc>
      </w:tr>
    </w:tbl>
    <w:p>
      <w:pPr>
        <w:pStyle w:val="BodyText"/>
        <w:spacing w:before="280"/>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7" w:name="_Toc1026"/>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7"/>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at the maturity real-time risk management requires. The evidence is documented from two directions rather than a single internal metric: OneCare’s own staff told Green Mountain Care Board regulators, in a budget presentation, that its data analytics system was not as effective as newer software UVM Health Network was in the process of adopting — an admission of the gap from inside the organization. Separately, the state auditor’s office found that Vermonters attributed to OneCare visited the emergency department at a rate roughly 36% higher than peer ACOs nationally and had about 18% fewer primary care visits — the utilization signature of a population being managed reactively rather than proactively. (A precise day-count for OneCare’s own internal claims lag is not independently documented in the public record; OneCare’s annual filings, cited in this chapter’s sources, are the place to confirm one if it exists.) This is the</w:t>
      </w:r>
      <w:r>
        <w:t xml:space="preserve"> </w:t>
      </w:r>
      <w:r>
        <w:t xml:space="preserve">“Managing Blind”</w:t>
      </w:r>
      <w:r>
        <w:t xml:space="preserve"> </w:t>
      </w:r>
      <w:r>
        <w:t xml:space="preserve">failure mode: assuming downside financial risk under a Total Cost of Care model without the analytics to manage that risk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p>
        </w:tc>
      </w:tr>
    </w:tbl>
    <w:p>
      <w:pPr>
        <w:spacing w:after="120" w:line="240" w:lineRule="auto"/>
        <w:rPr>
          <w:sz w:val="16"/>
        </w:rPr>
      </w:pPr>
    </w:p>
    <w:p>
      <w:pPr>
        <w:pStyle w:val="BodyText"/>
      </w:pPr>
      <w:r>
        <w:t xml:space="preserve">Vermont’s health-data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8" w:name="_Toc1027"/>
      <w:r>
        <w:rPr>
          <w:b/>
          <w:bCs/>
          <w:color w:val="161B22"/>
        </w:rPr>
        <w:t xml:space="preserve">Sequencing Failure 3: The Cascade</w:t>
      </w:r>
      <w:bookmarkEnd w:id="1028"/>
    </w:p>
    <w:p>
      <w:pPr>
        <w:pStyle w:val="FirstParagraph"/>
        <w:keepNext w:val="false"/>
      </w:pPr>
      <w:r>
        <w:t xml:space="preserve">The two failures above did not operate independently. They compounded. Because a 2016 federal ruling limited how far Vermont’s mandate could reach into self-insured payers, the state’s largest insurer could — and in 2023, did — walk away, removing about a third of the population OneCare needed in order to manage total cost of care. Because it could not manage the total cost of care for a stable population, it could not demonstrate savings cleanly. Because its own analytics lagged what its regulators expected, it could not show the underlying utilization improving either. Because neither savings nor utilization improvement was clearly demonstrated, remaining participants and regulators had less reason to invest further in the model. Which returned the cascade to its starting point.</w:t>
      </w:r>
    </w:p>
    <w:tbl>
      <w:tblPr>
        <w:tblStyle w:val="HTRTable"/>
        <w:tblLook w:firstRow="1" w:lastRow="0" w:firstColumn="0" w:lastColumn="0" w:noHBand="0" w:noVBand="1" w:val="0020"/>
        <w:tblW w:w="9072" w:type="dxa"/>
        <w:tblLayout w:type="fixed"/>
      </w:tblPr>
      <w:tblGrid>
        <w:gridCol w:w="1335"/>
        <w:gridCol w:w="2250"/>
        <w:gridCol w:w="2325"/>
        <w:gridCol w:w="315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250" w:type="dxa"/>
          </w:tcPr>
          <w:p>
            <w:pPr>
              <w:pStyle w:val="Compact"/>
              <w:jc w:val="left"/>
            </w:pPr>
            <w:r>
              <w:rPr>
                <w:b/>
                <w:color w:val="FFFFFF"/>
                <w:sz w:val="18"/>
              </w:rPr>
              <w:t xml:space="preserve">Structural Error</w:t>
            </w:r>
          </w:p>
        </w:tc>
        <w:tc>
          <w:tcPr>
            <w:shd w:val="clear" w:color="auto" w:fill="1B3A6B"/>
            <w:tcW w:w="2325" w:type="dxa"/>
          </w:tcPr>
          <w:p>
            <w:pPr>
              <w:pStyle w:val="Compact"/>
              <w:jc w:val="left"/>
            </w:pPr>
            <w:r>
              <w:rPr>
                <w:b/>
                <w:color w:val="FFFFFF"/>
                <w:sz w:val="18"/>
              </w:rPr>
              <w:t xml:space="preserve">Direct Consequence</w:t>
            </w:r>
          </w:p>
        </w:tc>
        <w:tc>
          <w:tcPr>
            <w:shd w:val="clear" w:color="auto" w:fill="1B3A6B"/>
            <w:tcW w:w="315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250" w:type="dxa"/>
          </w:tcPr>
          <w:p>
            <w:pPr>
              <w:pStyle w:val="Compact"/>
              <w:jc w:val="left"/>
            </w:pPr>
            <w:r>
              <w:rPr>
                <w:i/>
                <w:iCs/>
                <w:sz w:val="18"/>
              </w:rPr>
              <w:t xml:space="preserve">Gobeille v. Liberty Mutual</w:t>
            </w:r>
            <w:r>
              <w:rPr>
                <w:sz w:val="18"/>
              </w:rPr>
              <w:t xml:space="preserve"> </w:t>
            </w:r>
            <w:r>
              <w:rPr>
                <w:sz w:val="18"/>
              </w:rPr>
              <w:t xml:space="preserve">(2016) limited the mandate’s reach into self-insured plans</w:t>
            </w:r>
          </w:p>
        </w:tc>
        <w:tc>
          <w:tcPr>
            <w:tcW w:w="2325" w:type="dxa"/>
          </w:tcPr>
          <w:p>
            <w:pPr>
              <w:pStyle w:val="Compact"/>
              <w:jc w:val="left"/>
            </w:pPr>
            <w:r>
              <w:rPr>
                <w:sz w:val="18"/>
              </w:rPr>
              <w:t xml:space="preserve">Blue Cross Blue Shield of Vermont exits (Jan. 2023) — about 93,000 enrollees, a third of the total, removed at once</w:t>
            </w:r>
          </w:p>
        </w:tc>
        <w:tc>
          <w:tcPr>
            <w:tcW w:w="3150" w:type="dxa"/>
          </w:tcPr>
          <w:p>
            <w:pPr>
              <w:pStyle w:val="Compact"/>
              <w:jc w:val="left"/>
            </w:pPr>
            <w:r>
              <w:rPr>
                <w:sz w:val="18"/>
              </w:rPr>
              <w:t xml:space="preserve">Total cost of care cannot be managed for a stable population → savings targets contested</w:t>
            </w:r>
          </w:p>
        </w:tc>
      </w:tr>
      <w:tr>
        <w:trPr/>
        <w:tc>
          <w:tcPr>
            <w:tcW w:w="1335" w:type="dxa"/>
          </w:tcPr>
          <w:p>
            <w:pPr>
              <w:pStyle w:val="Compact"/>
              <w:jc w:val="left"/>
            </w:pPr>
            <w:r>
              <w:rPr>
                <w:sz w:val="18"/>
              </w:rPr>
              <w:t xml:space="preserve">Technology (Stage 2)</w:t>
            </w:r>
          </w:p>
        </w:tc>
        <w:tc>
          <w:tcPr>
            <w:tcW w:w="2250" w:type="dxa"/>
          </w:tcPr>
          <w:p>
            <w:pPr>
              <w:pStyle w:val="Compact"/>
              <w:jc w:val="left"/>
            </w:pPr>
            <w:r>
              <w:rPr>
                <w:sz w:val="18"/>
              </w:rPr>
              <w:t xml:space="preserve">OneCare’s own staff told GMCB its analytics lagged newer available systems</w:t>
            </w:r>
          </w:p>
        </w:tc>
        <w:tc>
          <w:tcPr>
            <w:tcW w:w="2325" w:type="dxa"/>
          </w:tcPr>
          <w:p>
            <w:pPr>
              <w:pStyle w:val="Compact"/>
              <w:jc w:val="left"/>
            </w:pPr>
            <w:r>
              <w:rPr>
                <w:sz w:val="18"/>
              </w:rPr>
              <w:t xml:space="preserve">“Managing Blind”</w:t>
            </w:r>
            <w:r>
              <w:rPr>
                <w:sz w:val="18"/>
              </w:rPr>
              <w:t xml:space="preserve"> </w:t>
            </w:r>
            <w:r>
              <w:rPr>
                <w:sz w:val="18"/>
              </w:rPr>
              <w:t xml:space="preserve">— auditor-documented 36% higher ED visits, 18% fewer primary care visits than peer ACOs</w:t>
            </w:r>
          </w:p>
        </w:tc>
        <w:tc>
          <w:tcPr>
            <w:tcW w:w="315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250" w:type="dxa"/>
          </w:tcPr>
          <w:p>
            <w:pPr>
              <w:pStyle w:val="Compact"/>
              <w:jc w:val="left"/>
            </w:pPr>
            <w:r>
              <w:rPr>
                <w:sz w:val="18"/>
              </w:rPr>
              <w:t xml:space="preserve">Real total-cost risk assumed on top of both gaps above</w:t>
            </w:r>
          </w:p>
        </w:tc>
        <w:tc>
          <w:tcPr>
            <w:tcW w:w="2325" w:type="dxa"/>
          </w:tcPr>
          <w:p>
            <w:pPr>
              <w:pStyle w:val="Compact"/>
              <w:jc w:val="left"/>
            </w:pPr>
            <w:r>
              <w:rPr>
                <w:sz w:val="18"/>
              </w:rPr>
              <w:t xml:space="preserve">Independent analyses reach conflicting conclusions on net savings vs. net cost</w:t>
            </w:r>
          </w:p>
        </w:tc>
        <w:tc>
          <w:tcPr>
            <w:tcW w:w="3150" w:type="dxa"/>
          </w:tcPr>
          <w:p>
            <w:pPr>
              <w:pStyle w:val="Compact"/>
              <w:jc w:val="left"/>
            </w:pPr>
            <w:r>
              <w:rPr>
                <w:sz w:val="18"/>
              </w:rPr>
              <w:t xml:space="preserve">Contested results → harder to justify further investment in the missing capability</w:t>
            </w:r>
          </w:p>
        </w:tc>
      </w:tr>
      <w:tr>
        <w:trPr>
          <w:cantSplit/>
        </w:trPr>
        <w:tc>
          <w:tcPr>
            <w:tcW w:w="1335" w:type="dxa"/>
          </w:tcPr>
          <w:p>
            <w:pPr>
              <w:pStyle w:val="Compact"/>
              <w:jc w:val="left"/>
            </w:pPr>
            <w:r>
              <w:rPr>
                <w:sz w:val="18"/>
              </w:rPr>
              <w:t xml:space="preserve">System-level</w:t>
            </w:r>
          </w:p>
        </w:tc>
        <w:tc>
          <w:tcPr>
            <w:tcW w:w="2250" w:type="dxa"/>
          </w:tcPr>
          <w:p>
            <w:pPr>
              <w:pStyle w:val="Compact"/>
              <w:jc w:val="left"/>
            </w:pPr>
            <w:r>
              <w:rPr>
                <w:sz w:val="18"/>
              </w:rPr>
              <w:t xml:space="preserve">Three gaps compounding over the federal agreement’s ~8-year run</w:t>
            </w:r>
          </w:p>
        </w:tc>
        <w:tc>
          <w:tcPr>
            <w:tcW w:w="2325" w:type="dxa"/>
          </w:tcPr>
          <w:p>
            <w:pPr>
              <w:pStyle w:val="Compact"/>
              <w:jc w:val="left"/>
            </w:pPr>
            <w:r>
              <w:rPr>
                <w:sz w:val="18"/>
              </w:rPr>
              <w:t xml:space="preserve">Organizational wind-down at the close of 2025</w:t>
            </w:r>
          </w:p>
        </w:tc>
        <w:tc>
          <w:tcPr>
            <w:tcW w:w="3150" w:type="dxa"/>
          </w:tcPr>
          <w:p>
            <w:pPr>
              <w:pStyle w:val="Compact"/>
              <w:jc w:val="left"/>
            </w:pPr>
            <w:r>
              <w:rPr>
                <w:sz w:val="18"/>
              </w:rPr>
              <w:t xml:space="preserve">Failure was structural — no single management decision could reverse a federal court ruling or rebuild analytics overnight</w:t>
            </w:r>
          </w:p>
        </w:tc>
      </w:tr>
    </w:tbl>
    <w:p>
      <w:pPr>
        <w:pStyle w:val="Caption"/>
        <w:keepNext/>
        <w:spacing w:before="120"/>
      </w:pPr>
      <w:r>
        <w:rPr>
          <w:i/>
          <w:iCs/>
        </w:rPr>
        <w:t xml:space="preserve">Figure 1.1 — The OneCare Failure Cascade. Source: HTR Analysis (2026). Based on GMCB records, AHS November 2025 Transformation Report, OneCare Vermont public filings,</w:t>
      </w:r>
      <w:r>
        <w:rPr>
          <w:i/>
          <w:iCs/>
        </w:rPr>
        <w:t xml:space="preserve"> </w:t>
      </w:r>
      <w:r>
        <w:t xml:space="preserve">Gobeille v. Liberty Mutual Ins. Co.</w:t>
      </w:r>
      <w:r>
        <w:rPr>
          <w:i/>
          <w:iCs/>
        </w:rPr>
        <w:t xml:space="preserve">, 577 U.S. 312 (2016), and VTDigger reporting (Dec. 20, 2022; Mar. 13, 2026).</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line="240" w:lineRule="auto"/>
        <w:rPr>
          <w:sz w:val="16"/>
        </w:rPr>
      </w:pPr>
    </w:p>
    <w:p>
      <w:pPr>
        <w:pStyle w:val="Heading2"/>
        <w:pBdr>
          <w:top w:val="single" w:sz="6" w:space="10" w:color="C9D2DF"/>
        </w:pBdr>
      </w:pPr>
      <w:r>
        <w:rPr>
          <w:color w:val="161B22"/>
        </w:rPr>
        <w:t xml:space="preserve">1.3  </w:t>
      </w:r>
      <w:bookmarkStart w:id="1029" w:name="_Toc1028"/>
      <w:r>
        <w:rPr>
          <w:b/>
          <w:bCs/>
          <w:color w:val="161B22"/>
        </w:rPr>
        <w:t xml:space="preserve">The Five Pillars and the Equity Imperative</w:t>
      </w:r>
      <w:bookmarkEnd w:id="1029"/>
    </w:p>
    <w:p>
      <w:pPr>
        <w:pStyle w:val="FirstParagraph"/>
      </w:pPr>
      <w:r>
        <w:t xml:space="preserve">Transformation has five moving parts you build and run — and one test they all must pass. The five pillars are capability domains: Policy, Technology, Economics, Clinical, and Operations. Each is a subsystem you can staff, fund, and hold accountable, and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pPr>
        <w:pStyle w:val="BodyText"/>
      </w:pPr>
      <w: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So equity is not the last pillar in the line; it is the plumb line held against every pillar, at every stage. Five pillars, one imperative.</w:t>
      </w:r>
    </w:p>
    <w:p>
      <w:pPr>
        <w:pStyle w:val="BodyText"/>
      </w:pPr>
      <w:r>
        <w:rPr>
          <w:b/>
          <w:bCs/>
        </w:rPr>
        <w:t xml:space="preserve">Policy —</w:t>
      </w:r>
      <w:r>
        <w:t xml:space="preserve"> </w:t>
      </w:r>
      <w:r>
        <w:t xml:space="preserve">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 —</w:t>
      </w:r>
      <w:r>
        <w:t xml:space="preserve"> </w:t>
      </w:r>
      <w:r>
        <w:t xml:space="preserve">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 —</w:t>
      </w:r>
      <w:r>
        <w:t xml:space="preserve"> </w:t>
      </w:r>
      <w:r>
        <w:t xml:space="preserve">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total-cost-of-care accountability are Vermont’s Economics pillar interventions.</w:t>
      </w:r>
    </w:p>
    <w:p>
      <w:pPr>
        <w:pStyle w:val="BodyText"/>
      </w:pPr>
      <w:r>
        <w:rPr>
          <w:b/>
          <w:bCs/>
        </w:rPr>
        <w:t xml:space="preserve">Clinical —</w:t>
      </w:r>
      <w:r>
        <w:t xml:space="preserve"> </w:t>
      </w:r>
      <w:r>
        <w:t xml:space="preserve">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Operations —</w:t>
      </w:r>
      <w:r>
        <w:t xml:space="preserve"> </w:t>
      </w:r>
      <w:r>
        <w:t xml:space="preserve">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pPr>
      <w:r>
        <w:rPr>
          <w:b/>
          <w:bCs/>
        </w:rPr>
        <w:t xml:space="preserve">Equity — the imperative, not a pillar.</w:t>
      </w:r>
      <w:r>
        <w:t xml:space="preserve"> </w:t>
      </w:r>
      <w:r>
        <w:t xml:space="preserve">The programs, investments, and accountability structures that ensure transformation benefits reach all populations — and especially those most harmed by the current system’s failures. Equity is not a soft afterthought, and it is not one more capability competing with the five for time and budget. It is the test each of the five must pass. A transformation that reduces average costs while widening disparities has failed the Equity Imperative — however permissible, possible, sustainable, effective, and executable it may be.</w:t>
      </w:r>
    </w:p>
    <w:p>
      <w:pPr>
        <w:pStyle w:val="BodyText"/>
      </w:pPr>
      <w:r>
        <w:rPr>
          <w:i/>
          <w:iCs/>
        </w:rPr>
        <w:t xml:space="preserve">Vermont application: geographic equity across Vermont’s 14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p>
    <w:p>
      <w:pPr>
        <w:pStyle w:val="BodyText"/>
        <w:keepNext w:val="false"/>
      </w:pPr>
      <w:r>
        <w:rPr>
          <w:b/>
          <w:bCs/>
        </w:rPr>
        <w:t xml:space="preserve">THE EQUITY IMPERATIVE — APPLIED AT EVERY STAGE</w:t>
      </w:r>
    </w:p>
    <w:p>
      <w:pPr>
        <w:pStyle w:val="BodyText"/>
        <w:keepNext w:val="false"/>
      </w:pPr>
      <w:r>
        <w:rPr>
          <w:i/>
          <w:iCs/>
        </w:rPr>
        <w:t xml:space="preserve">Equity is not a separate stage — it is the gate at every stage. Ask each pillar’s own question, then ask equity’s:</w:t>
      </w:r>
    </w:p>
    <w:tbl>
      <w:tblPr>
        <w:tblStyle w:val="HTRTable"/>
        <w:tblLook w:firstRow="0" w:lastRow="0" w:firstColumn="0" w:lastColumn="0" w:noHBand="0" w:noVBand="1" w:val="0020"/>
        <w:tblW w:w="9072" w:type="dxa"/>
        <w:tblLayout w:type="fixed"/>
      </w:tblPr>
      <w:tblGrid>
        <w:gridCol w:w="1640"/>
        <w:gridCol w:w="7432"/>
      </w:tblGrid>
      <w:tr>
        <w:trPr>
          <w:tblHeader w:val="on"/>
          <w:cantSplit/>
        </w:trPr>
        <w:tc>
          <w:tcPr>
            <w:shd w:val="clear" w:color="auto" w:fill="EDF2F9"/>
            <w:tcW w:w="1640" w:type="dxa"/>
          </w:tcPr>
          <w:p>
            <w:pPr>
              <w:pStyle w:val="Compact"/>
              <w:jc w:val="left"/>
            </w:pPr>
            <w:r>
              <w:rPr>
                <w:b/>
                <w:bCs/>
                <w:color w:val="111111"/>
                <w:sz w:val="18"/>
              </w:rPr>
              <w:t xml:space="preserve">Policy</w:t>
            </w:r>
          </w:p>
        </w:tc>
        <w:tc>
          <w:tcPr>
            <w:shd w:val="clear" w:color="auto" w:fill="EDF2F9"/>
            <w:tcW w:w="7432" w:type="dxa"/>
          </w:tcPr>
          <w:p>
            <w:pPr>
              <w:pStyle w:val="Compact"/>
              <w:jc w:val="left"/>
            </w:pPr>
            <w:r>
              <w:rPr>
                <w:b/>
                <w:color w:val="111111"/>
                <w:sz w:val="18"/>
              </w:rPr>
              <w:t xml:space="preserve">Permissible — and does the mandate close disparities or widen them?</w:t>
            </w:r>
          </w:p>
        </w:tc>
      </w:tr>
      <w:tr>
        <w:trPr>
          <w:cantSplit/>
        </w:trPr>
        <w:tc>
          <w:tcPr>
            <w:tcW w:w="1640" w:type="dxa"/>
          </w:tcPr>
          <w:p>
            <w:pPr>
              <w:pStyle w:val="Compact"/>
              <w:jc w:val="left"/>
            </w:pPr>
            <w:r>
              <w:rPr>
                <w:b/>
                <w:bCs/>
                <w:sz w:val="18"/>
              </w:rPr>
              <w:t xml:space="preserve">Technology</w:t>
            </w:r>
          </w:p>
        </w:tc>
        <w:tc>
          <w:tcPr>
            <w:tcW w:w="7432" w:type="dxa"/>
          </w:tcPr>
          <w:p>
            <w:pPr>
              <w:pStyle w:val="Compact"/>
              <w:jc w:val="left"/>
            </w:pPr>
            <w:r>
              <w:rPr>
                <w:sz w:val="18"/>
              </w:rPr>
              <w:t xml:space="preserve">Possible — and does the data make disparities visible, or bury them in averages?</w:t>
            </w:r>
          </w:p>
        </w:tc>
      </w:tr>
      <w:tr>
        <w:trPr/>
        <w:tc>
          <w:tcPr>
            <w:tcW w:w="1640" w:type="dxa"/>
          </w:tcPr>
          <w:p>
            <w:pPr>
              <w:pStyle w:val="Compact"/>
              <w:jc w:val="left"/>
            </w:pPr>
            <w:r>
              <w:rPr>
                <w:b/>
                <w:bCs/>
                <w:sz w:val="18"/>
              </w:rPr>
              <w:t xml:space="preserve">Economics</w:t>
            </w:r>
          </w:p>
        </w:tc>
        <w:tc>
          <w:tcPr>
            <w:tcW w:w="7432" w:type="dxa"/>
          </w:tcPr>
          <w:p>
            <w:pPr>
              <w:pStyle w:val="Compact"/>
              <w:jc w:val="left"/>
            </w:pPr>
            <w:r>
              <w:rPr>
                <w:sz w:val="18"/>
              </w:rPr>
              <w:t xml:space="preserve">Sustainable — and do the incentives reward serving the hardest-to-reach, or penalize it?</w:t>
            </w:r>
          </w:p>
        </w:tc>
      </w:tr>
      <w:tr>
        <w:trPr/>
        <w:tc>
          <w:tcPr>
            <w:tcW w:w="1640" w:type="dxa"/>
          </w:tcPr>
          <w:p>
            <w:pPr>
              <w:pStyle w:val="Compact"/>
              <w:jc w:val="left"/>
            </w:pPr>
            <w:r>
              <w:rPr>
                <w:b/>
                <w:bCs/>
                <w:sz w:val="18"/>
              </w:rPr>
              <w:t xml:space="preserve">Clinical</w:t>
            </w:r>
          </w:p>
        </w:tc>
        <w:tc>
          <w:tcPr>
            <w:tcW w:w="7432" w:type="dxa"/>
          </w:tcPr>
          <w:p>
            <w:pPr>
              <w:pStyle w:val="Compact"/>
              <w:jc w:val="left"/>
            </w:pPr>
            <w:r>
              <w:rPr>
                <w:sz w:val="18"/>
              </w:rPr>
              <w:t xml:space="preserve">Effective — and effective for whom?</w:t>
            </w:r>
          </w:p>
        </w:tc>
      </w:tr>
      <w:tr>
        <w:trPr>
          <w:cantSplit/>
        </w:trPr>
        <w:tc>
          <w:tcPr>
            <w:tcW w:w="1640" w:type="dxa"/>
          </w:tcPr>
          <w:p>
            <w:pPr>
              <w:pStyle w:val="Compact"/>
              <w:jc w:val="left"/>
            </w:pPr>
            <w:r>
              <w:rPr>
                <w:b/>
                <w:bCs/>
                <w:sz w:val="18"/>
              </w:rPr>
              <w:t xml:space="preserve">Operations</w:t>
            </w:r>
          </w:p>
        </w:tc>
        <w:tc>
          <w:tcPr>
            <w:tcW w:w="7432" w:type="dxa"/>
          </w:tcPr>
          <w:p>
            <w:pPr>
              <w:pStyle w:val="Compact"/>
              <w:jc w:val="left"/>
            </w:pPr>
            <w:r>
              <w:rPr>
                <w:sz w:val="18"/>
              </w:rPr>
              <w:t xml:space="preserve">Executable — and executable everywhere, including the rural and under-resourced?</w:t>
            </w:r>
          </w:p>
        </w:tc>
      </w:tr>
    </w:tbl>
    <w:p>
      <w:pPr>
        <w:pStyle w:val="BodyText"/>
        <w:keepNext w:val="false"/>
        <w:spacing w:before="280"/>
      </w:pPr>
      <w:r>
        <w:rPr>
          <w:b/>
          <w:bCs/>
        </w:rPr>
        <w:t xml:space="preserve">ON THE HTR PLATFORM &amp; ACADEMY</w:t>
      </w:r>
    </w:p>
    <w:p>
      <w:pPr>
        <w:pStyle w:val="BodyText"/>
        <w:keepNext w:val="false"/>
      </w:pPr>
      <w:r>
        <w:rPr>
          <w:i/>
          <w:iCs/>
        </w:rPr>
        <w:t xml:space="preserve">The book, the platform, and the Academy reinforce each other — here is where this chapter connects.</w:t>
      </w:r>
    </w:p>
    <w:tbl>
      <w:tblPr>
        <w:tblStyle w:val="HTRTable"/>
        <w:tblLook w:firstRow="0" w:lastRow="0" w:firstColumn="0" w:lastColumn="0" w:noHBand="0" w:noVBand="1" w:val="0020"/>
        <w:tblW w:w="9072" w:type="dxa"/>
        <w:tblLayout w:type="autofit"/>
      </w:tblPr>
      <w:tblGrid>
        <w:gridCol w:w="1296"/>
        <w:gridCol w:w="7776"/>
      </w:tblGrid>
      <w:tr>
        <w:trPr>
          <w:tblHeader w:val="on"/>
          <w:cantSplit/>
        </w:trPr>
        <w:tc>
          <w:tcPr>
            <w:shd w:val="clear" w:color="auto" w:fill="EDF2F9"/>
            <w:tcW w:w="1296" w:type="dxa"/>
          </w:tcPr>
          <w:p>
            <w:pPr>
              <w:pStyle w:val="Compact"/>
              <w:jc w:val="left"/>
            </w:pPr>
            <w:r>
              <w:rPr>
                <w:b/>
                <w:bCs/>
                <w:color w:val="111111"/>
                <w:sz w:val="18"/>
              </w:rPr>
              <w:t xml:space="preserve">Diagnostic</w:t>
            </w:r>
          </w:p>
        </w:tc>
        <w:tc>
          <w:tcPr>
            <w:shd w:val="clear" w:color="auto" w:fill="EDF2F9"/>
            <w:tcW w:w="7776" w:type="dxa"/>
          </w:tcPr>
          <w:p>
            <w:pPr>
              <w:pStyle w:val="Compact"/>
              <w:jc w:val="left"/>
            </w:pPr>
            <w:r>
              <w:rPr>
                <w:b/>
                <w:color w:val="111111"/>
                <w:sz w:val="18"/>
              </w:rPr>
              <w:t xml:space="preserve">Interactive five-pillar diagnostic — score any initiative against the five questions and the Equity Imperative, and see where it breaks (healthtransformationreview.org/research-lab).</w:t>
            </w:r>
          </w:p>
        </w:tc>
      </w:tr>
      <w:tr>
        <w:trPr/>
        <w:tc>
          <w:tcPr>
            <w:tcW w:w="1296" w:type="dxa"/>
          </w:tcPr>
          <w:p>
            <w:pPr>
              <w:pStyle w:val="Compact"/>
              <w:jc w:val="left"/>
            </w:pPr>
            <w:r>
              <w:rPr>
                <w:b/>
                <w:bCs/>
                <w:sz w:val="18"/>
              </w:rPr>
              <w:t xml:space="preserve">Academy</w:t>
            </w:r>
          </w:p>
        </w:tc>
        <w:tc>
          <w:tcPr>
            <w:tcW w:w="7776" w:type="dxa"/>
          </w:tcPr>
          <w:p>
            <w:pPr>
              <w:pStyle w:val="Compact"/>
              <w:jc w:val="left"/>
            </w:pPr>
            <w:r>
              <w:rPr>
                <w:sz w:val="18"/>
              </w:rPr>
              <w:t xml:space="preserve">Module 1,</w:t>
            </w:r>
            <w:r>
              <w:rPr>
                <w:sz w:val="18"/>
              </w:rPr>
              <w:t xml:space="preserve"> </w:t>
            </w:r>
            <w:r>
              <w:rPr>
                <w:sz w:val="18"/>
              </w:rPr>
              <w:t xml:space="preserve">“Five Pillars, One Imperative,”</w:t>
            </w:r>
            <w:r>
              <w:rPr>
                <w:sz w:val="18"/>
              </w:rPr>
              <w:t xml:space="preserve"> </w:t>
            </w:r>
            <w:r>
              <w:rPr>
                <w:sz w:val="18"/>
              </w:rPr>
              <w:t xml:space="preserve">walks each gate with the Vermont cases in this chapter, including the global-budget example above.</w:t>
            </w:r>
          </w:p>
        </w:tc>
      </w:tr>
      <w:tr>
        <w:trPr/>
        <w:tc>
          <w:tcPr>
            <w:tcW w:w="1296" w:type="dxa"/>
          </w:tcPr>
          <w:p>
            <w:pPr>
              <w:pStyle w:val="Compact"/>
              <w:jc w:val="left"/>
            </w:pPr>
            <w:r>
              <w:rPr>
                <w:b/>
                <w:bCs/>
                <w:sz w:val="18"/>
              </w:rPr>
              <w:t xml:space="preserve">Self-check</w:t>
            </w:r>
          </w:p>
        </w:tc>
        <w:tc>
          <w:tcPr>
            <w:tcW w:w="7776" w:type="dxa"/>
          </w:tcPr>
          <w:p>
            <w:pPr>
              <w:pStyle w:val="Compact"/>
              <w:jc w:val="left"/>
            </w:pPr>
            <w:r>
              <w:rPr>
                <w:sz w:val="18"/>
              </w:rPr>
              <w:t xml:space="preserve">The Pillar Readiness self-check returns your weakest load-bearing pillar — the one most likely to stall your sequence.</w:t>
            </w:r>
          </w:p>
        </w:tc>
      </w:tr>
    </w:tbl>
    <w:p>
      <w:pPr>
        <w:pStyle w:val="BodyText"/>
        <w:keepNext w:val="false"/>
        <w:spacing w:before="280"/>
      </w:pPr>
      <w:r>
        <w:t xml:space="preserve">The table below specifies each pillar’s diagnostic function and structural role — what it produces when it is working. Equity is not a row here; it is the Equity Imperative applied to every row (see the box above).</w:t>
      </w:r>
    </w:p>
    <w:tbl>
      <w:tblPr>
        <w:tblStyle w:val="HTRTable"/>
        <w:tblLook w:firstRow="1" w:lastRow="0" w:firstColumn="0" w:lastColumn="0" w:noHBand="0" w:noVBand="1" w:val="0020"/>
        <w:tblW w:w="9072" w:type="dxa"/>
        <w:tblLayout w:type="fixed"/>
      </w:tblPr>
      <w:tblGrid>
        <w:gridCol w:w="2265"/>
        <w:gridCol w:w="2265"/>
        <w:gridCol w:w="2266"/>
        <w:gridCol w:w="2266"/>
      </w:tblGrid>
      <w:tr>
        <w:trPr>
          <w:tblHeader w:val="on"/>
          <w:cantSplit/>
        </w:trPr>
        <w:tc>
          <w:tcPr>
            <w:shd w:val="clear" w:color="auto" w:fill="1B3A6B"/>
            <w:tcW w:w="2265" w:type="dxa"/>
          </w:tcPr>
          <w:p>
            <w:pPr>
              <w:pStyle w:val="Compact"/>
              <w:spacing w:before="0" w:after="0" w:line="240" w:lineRule="auto"/>
              <w:jc w:val="left"/>
            </w:pPr>
            <w:r>
              <w:rPr>
                <w:b/>
                <w:bCs/>
                <w:color w:val="FFFFFF"/>
                <w:sz w:val="17"/>
              </w:rPr>
              <w:t xml:space="preserve">Pillar</w:t>
            </w:r>
          </w:p>
        </w:tc>
        <w:tc>
          <w:tcPr>
            <w:shd w:val="clear" w:color="auto" w:fill="1B3A6B"/>
            <w:tcW w:w="2265" w:type="dxa"/>
          </w:tcPr>
          <w:p>
            <w:pPr>
              <w:pStyle w:val="Compact"/>
              <w:spacing w:before="0" w:after="0" w:line="240" w:lineRule="auto"/>
              <w:jc w:val="left"/>
            </w:pPr>
            <w:r>
              <w:rPr>
                <w:b/>
                <w:bCs/>
                <w:color w:val="FFFFFF"/>
                <w:sz w:val="17"/>
              </w:rPr>
              <w:t xml:space="preserve">Diagnostic question</w:t>
            </w:r>
          </w:p>
        </w:tc>
        <w:tc>
          <w:tcPr>
            <w:shd w:val="clear" w:color="auto" w:fill="1B3A6B"/>
            <w:tcW w:w="2266" w:type="dxa"/>
          </w:tcPr>
          <w:p>
            <w:pPr>
              <w:pStyle w:val="Compact"/>
              <w:spacing w:before="0" w:after="0" w:line="240" w:lineRule="auto"/>
              <w:jc w:val="left"/>
            </w:pPr>
            <w:r>
              <w:rPr>
                <w:b/>
                <w:bCs/>
                <w:color w:val="FFFFFF"/>
                <w:sz w:val="17"/>
              </w:rPr>
              <w:t xml:space="preserve">Structural role in the system</w:t>
            </w:r>
          </w:p>
        </w:tc>
        <w:tc>
          <w:tcPr>
            <w:shd w:val="clear" w:color="auto" w:fill="1B3A6B"/>
            <w:tcW w:w="2266" w:type="dxa"/>
          </w:tcPr>
          <w:p>
            <w:pPr>
              <w:pStyle w:val="Compact"/>
              <w:spacing w:before="0" w:after="0" w:line="240" w:lineRule="auto"/>
              <w:jc w:val="left"/>
            </w:pPr>
            <w:r>
              <w:rPr>
                <w:b/>
                <w:bCs/>
                <w:color w:val="FFFFFF"/>
                <w:sz w:val="17"/>
              </w:rPr>
              <w:t xml:space="preserve">What it produces when functioning</w:t>
            </w:r>
          </w:p>
        </w:tc>
      </w:tr>
      <w:tr>
        <w:trPr>
          <w:cantSplit/>
        </w:trPr>
        <w:tc>
          <w:tcPr>
            <w:tcW w:w="2265" w:type="dxa"/>
          </w:tcPr>
          <w:p>
            <w:pPr>
              <w:pStyle w:val="Compact"/>
              <w:spacing w:before="0" w:after="0" w:line="240" w:lineRule="auto"/>
              <w:jc w:val="left"/>
            </w:pPr>
            <w:r>
              <w:rPr>
                <w:b/>
                <w:bCs/>
                <w:sz w:val="17"/>
              </w:rPr>
              <w:t xml:space="preserve">Policy</w:t>
            </w:r>
          </w:p>
        </w:tc>
        <w:tc>
          <w:tcPr>
            <w:tcW w:w="2265" w:type="dxa"/>
          </w:tcPr>
          <w:p>
            <w:pPr>
              <w:pStyle w:val="Compact"/>
              <w:spacing w:before="0" w:after="0" w:line="240" w:lineRule="auto"/>
              <w:jc w:val="left"/>
            </w:pPr>
            <w:r>
              <w:rPr>
                <w:sz w:val="17"/>
              </w:rPr>
              <w:t xml:space="preserve">Is it permissible?</w:t>
            </w:r>
          </w:p>
        </w:tc>
        <w:tc>
          <w:tcPr>
            <w:tcW w:w="2266" w:type="dxa"/>
          </w:tcPr>
          <w:p>
            <w:pPr>
              <w:pStyle w:val="Compact"/>
              <w:spacing w:before="0" w:after="0" w:line="240" w:lineRule="auto"/>
              <w:jc w:val="left"/>
            </w:pPr>
            <w:r>
              <w:rPr>
                <w:sz w:val="17"/>
              </w:rPr>
              <w:t xml:space="preserve">The mandatory architecture. Converts aspirational reform into binding requirements. Without mandatory authority, the highest-cost actors opt out and voluntary reform achieves marginal results.</w:t>
            </w:r>
          </w:p>
        </w:tc>
        <w:tc>
          <w:tcPr>
            <w:tcW w:w="2266" w:type="dxa"/>
          </w:tcPr>
          <w:p>
            <w:pPr>
              <w:pStyle w:val="Compact"/>
              <w:spacing w:before="0" w:after="0" w:line="240" w:lineRule="auto"/>
              <w:jc w:val="left"/>
            </w:pPr>
            <w:r>
              <w:rPr>
                <w:sz w:val="17"/>
              </w:rPr>
              <w:t xml:space="preserve">Statutory mandates that eliminate voluntary opt-out; accountability timelines that cannot be deferred; federal-state agreements that commit both parties to specific outcomes.</w:t>
            </w:r>
          </w:p>
        </w:tc>
      </w:tr>
      <w:tr>
        <w:trPr/>
        <w:tc>
          <w:tcPr>
            <w:tcW w:w="2265" w:type="dxa"/>
          </w:tcPr>
          <w:p>
            <w:pPr>
              <w:pStyle w:val="Compact"/>
              <w:spacing w:before="0" w:after="0" w:line="240" w:lineRule="auto"/>
              <w:jc w:val="left"/>
            </w:pPr>
            <w:r>
              <w:rPr>
                <w:b/>
                <w:bCs/>
                <w:sz w:val="17"/>
              </w:rPr>
              <w:t xml:space="preserve">Technology</w:t>
            </w:r>
          </w:p>
        </w:tc>
        <w:tc>
          <w:tcPr>
            <w:tcW w:w="2265" w:type="dxa"/>
          </w:tcPr>
          <w:p>
            <w:pPr>
              <w:pStyle w:val="Compact"/>
              <w:spacing w:before="0" w:after="0" w:line="240" w:lineRule="auto"/>
              <w:jc w:val="left"/>
            </w:pPr>
            <w:r>
              <w:rPr>
                <w:sz w:val="17"/>
              </w:rPr>
              <w:t xml:space="preserve">Is it possible?</w:t>
            </w:r>
          </w:p>
        </w:tc>
        <w:tc>
          <w:tcPr>
            <w:tcW w:w="2266" w:type="dxa"/>
          </w:tcPr>
          <w:p>
            <w:pPr>
              <w:pStyle w:val="Compact"/>
              <w:spacing w:before="0" w:after="0" w:line="240" w:lineRule="auto"/>
              <w:jc w:val="left"/>
            </w:pPr>
            <w:r>
              <w:rPr>
                <w:sz w:val="17"/>
              </w:rPr>
              <w:t xml:space="preserve">The data substrate. Makes population health management, VBC contract execution, equity measurement, and strategic planning analytically feasible. Without data infrastructure, the other pillars are managed blindly.</w:t>
            </w:r>
          </w:p>
        </w:tc>
        <w:tc>
          <w:tcPr>
            <w:tcW w:w="2266" w:type="dxa"/>
          </w:tcPr>
          <w:p>
            <w:pPr>
              <w:pStyle w:val="Compact"/>
              <w:spacing w:before="0" w:after="0" w:line="240" w:lineRule="auto"/>
              <w:jc w:val="left"/>
            </w:pPr>
            <w:r>
              <w:rPr>
                <w:sz w:val="17"/>
              </w:rPr>
              <w:t xml:space="preserve">Attribution lists, TCOC measurement, HEDIS stratification, risk stratification, care-gap identification, AI-assisted clinical workflows — the analytical functions that VBC and population health management require.</w:t>
            </w:r>
          </w:p>
        </w:tc>
      </w:tr>
      <w:tr>
        <w:trPr/>
        <w:tc>
          <w:tcPr>
            <w:tcW w:w="2265" w:type="dxa"/>
          </w:tcPr>
          <w:p>
            <w:pPr>
              <w:pStyle w:val="Compact"/>
              <w:spacing w:before="0" w:after="0" w:line="240" w:lineRule="auto"/>
              <w:jc w:val="left"/>
            </w:pPr>
            <w:r>
              <w:rPr>
                <w:b/>
                <w:bCs/>
                <w:sz w:val="17"/>
              </w:rPr>
              <w:t xml:space="preserve">Economics</w:t>
            </w:r>
          </w:p>
        </w:tc>
        <w:tc>
          <w:tcPr>
            <w:tcW w:w="2265" w:type="dxa"/>
          </w:tcPr>
          <w:p>
            <w:pPr>
              <w:pStyle w:val="Compact"/>
              <w:spacing w:before="0" w:after="0" w:line="240" w:lineRule="auto"/>
              <w:jc w:val="left"/>
            </w:pPr>
            <w:r>
              <w:rPr>
                <w:sz w:val="17"/>
              </w:rPr>
              <w:t xml:space="preserve">Is it sustainable?</w:t>
            </w:r>
          </w:p>
        </w:tc>
        <w:tc>
          <w:tcPr>
            <w:tcW w:w="2266" w:type="dxa"/>
          </w:tcPr>
          <w:p>
            <w:pPr>
              <w:pStyle w:val="Compact"/>
              <w:spacing w:before="0" w:after="0" w:line="240" w:lineRule="auto"/>
              <w:jc w:val="left"/>
            </w:pPr>
            <w:r>
              <w:rPr>
                <w:sz w:val="17"/>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2266" w:type="dxa"/>
          </w:tcPr>
          <w:p>
            <w:pPr>
              <w:pStyle w:val="Compact"/>
              <w:spacing w:before="0" w:after="0" w:line="240" w:lineRule="auto"/>
              <w:jc w:val="left"/>
            </w:pPr>
            <w:r>
              <w:rPr>
                <w:sz w:val="17"/>
              </w:rPr>
              <w:t xml:space="preserve">Payment models in which population health management is financially rational; price structures that break the commercial cross-subsidy chain; accountability for total cost of care rather than encounter volume.</w:t>
            </w:r>
          </w:p>
        </w:tc>
      </w:tr>
      <w:tr>
        <w:trPr/>
        <w:tc>
          <w:tcPr>
            <w:tcW w:w="2265" w:type="dxa"/>
          </w:tcPr>
          <w:p>
            <w:pPr>
              <w:pStyle w:val="Compact"/>
              <w:spacing w:before="0" w:after="0" w:line="240" w:lineRule="auto"/>
              <w:jc w:val="left"/>
            </w:pPr>
            <w:r>
              <w:rPr>
                <w:b/>
                <w:bCs/>
                <w:sz w:val="17"/>
              </w:rPr>
              <w:t xml:space="preserve">Clinical</w:t>
            </w:r>
          </w:p>
        </w:tc>
        <w:tc>
          <w:tcPr>
            <w:tcW w:w="2265" w:type="dxa"/>
          </w:tcPr>
          <w:p>
            <w:pPr>
              <w:pStyle w:val="Compact"/>
              <w:spacing w:before="0" w:after="0" w:line="240" w:lineRule="auto"/>
              <w:jc w:val="left"/>
            </w:pPr>
            <w:r>
              <w:rPr>
                <w:sz w:val="17"/>
              </w:rPr>
              <w:t xml:space="preserve">Is it effective?</w:t>
            </w:r>
          </w:p>
        </w:tc>
        <w:tc>
          <w:tcPr>
            <w:tcW w:w="2266" w:type="dxa"/>
          </w:tcPr>
          <w:p>
            <w:pPr>
              <w:pStyle w:val="Compact"/>
              <w:spacing w:before="0" w:after="0" w:line="240" w:lineRule="auto"/>
              <w:jc w:val="left"/>
            </w:pPr>
            <w:r>
              <w:rPr>
                <w:sz w:val="17"/>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2266" w:type="dxa"/>
          </w:tcPr>
          <w:p>
            <w:pPr>
              <w:pStyle w:val="Compact"/>
              <w:spacing w:before="0" w:after="0" w:line="240" w:lineRule="auto"/>
              <w:jc w:val="left"/>
            </w:pPr>
            <w:r>
              <w:rPr>
                <w:sz w:val="17"/>
              </w:rPr>
              <w:t xml:space="preserve">Primary care transformation that prevents hospitalizations; behavioral health integration that reduces crisis presentations; care management that closes gaps before they become acute episodes.</w:t>
            </w:r>
          </w:p>
        </w:tc>
      </w:tr>
      <w:tr>
        <w:trPr>
          <w:cantSplit/>
        </w:trPr>
        <w:tc>
          <w:tcPr>
            <w:tcW w:w="2265" w:type="dxa"/>
          </w:tcPr>
          <w:p>
            <w:pPr>
              <w:pStyle w:val="Compact"/>
              <w:spacing w:before="0" w:after="0" w:line="240" w:lineRule="auto"/>
              <w:jc w:val="left"/>
            </w:pPr>
            <w:r>
              <w:rPr>
                <w:b/>
                <w:bCs/>
                <w:sz w:val="17"/>
              </w:rPr>
              <w:t xml:space="preserve">Operations</w:t>
            </w:r>
          </w:p>
        </w:tc>
        <w:tc>
          <w:tcPr>
            <w:tcW w:w="2265" w:type="dxa"/>
          </w:tcPr>
          <w:p>
            <w:pPr>
              <w:pStyle w:val="Compact"/>
              <w:spacing w:before="0" w:after="0" w:line="240" w:lineRule="auto"/>
              <w:jc w:val="left"/>
            </w:pPr>
            <w:r>
              <w:rPr>
                <w:sz w:val="17"/>
              </w:rPr>
              <w:t xml:space="preserve">Is it executable?</w:t>
            </w:r>
          </w:p>
        </w:tc>
        <w:tc>
          <w:tcPr>
            <w:tcW w:w="2266" w:type="dxa"/>
          </w:tcPr>
          <w:p>
            <w:pPr>
              <w:pStyle w:val="Compact"/>
              <w:spacing w:before="0" w:after="0" w:line="240" w:lineRule="auto"/>
              <w:jc w:val="left"/>
            </w:pPr>
            <w:r>
              <w:rPr>
                <w:sz w:val="17"/>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2266" w:type="dxa"/>
          </w:tcPr>
          <w:p>
            <w:pPr>
              <w:pStyle w:val="Compact"/>
              <w:spacing w:before="0" w:after="0" w:line="240" w:lineRule="auto"/>
              <w:jc w:val="left"/>
            </w:pPr>
            <w:r>
              <w:rPr>
                <w:sz w:val="17"/>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five pillars: diagnostic questions and structural roles. Sources: Acts 167 (2022) and 68 (2025).</w:t>
      </w:r>
    </w:p>
    <w:p>
      <w:pPr>
        <w:pStyle w:val="Heading2"/>
        <w:pBdr>
          <w:top w:val="single" w:sz="6" w:space="10" w:color="C9D2DF"/>
        </w:pBdr>
      </w:pPr>
      <w:r>
        <w:rPr>
          <w:color w:val="161B22"/>
        </w:rPr>
        <w:t xml:space="preserve">1.4  </w:t>
      </w:r>
      <w:bookmarkStart w:id="1030" w:name="_Toc1029"/>
      <w:r>
        <w:rPr>
          <w:b/>
          <w:bCs/>
          <w:color w:val="161B22"/>
        </w:rPr>
        <w:t xml:space="preserve">The Architecture of Interdependency: The Dependency Matrix</w:t>
      </w:r>
      <w:bookmarkEnd w:id="1030"/>
    </w:p>
    <w:p>
      <w:pPr>
        <w:pStyle w:val="FirstParagraph"/>
      </w:pPr>
      <w:r>
        <w:t xml:space="preserve">The five pillars do not operate independently. They interact through a set of directed dependencies — some that set the build order, a few that run back as feedback once the system is live. Understanding these interactions is the core analytical skill this book develops.</w:t>
      </w:r>
    </w:p>
    <w:p>
      <w:pPr>
        <w:pStyle w:val="BodyText"/>
        <w:keepNext/>
      </w:pPr>
      <w:r>
        <w:t xml:space="preserve">Figure 1.3 renders them as a single matrix: read each cell as</w:t>
      </w:r>
      <w:r>
        <w:t xml:space="preserve"> </w:t>
      </w:r>
      <w:r>
        <w:t xml:space="preserve">“row-pillar → column-pillar.”</w:t>
      </w:r>
      <w:r>
        <w:t xml:space="preserve"> </w:t>
      </w:r>
      <w:r>
        <w:t xml:space="preserve">The verb names the kind of dependency — ENABLES (makes possible), REQUIRES (cannot function without), DRIVES (actively forces change in) — and ⟲ marks a feedback loop that runs after the build. Equity is not a row in the grid; it is the Equity Imperative applied to every cell (is it just?). The sections that follow take the dependencies one source pillar at a time — the mechanism, the failure mode when it is ignored, and the Vermont evidence that confirms it. (The same map is on the Health Transformation Review platform: healthtransformationreview.org/research-lab.)</w:t>
      </w:r>
    </w:p>
    <w:p>
      <w:pPr>
        <w:pStyle w:val="BodyText"/>
        <w:keepNext w:val="false"/>
      </w:pPr>
      <w:r>
        <w:rPr>
          <w:i/>
          <w:iCs/>
        </w:rPr>
        <w:t xml:space="preserve">Read each cell as</w:t>
      </w:r>
      <w:r>
        <w:rPr>
          <w:i/>
          <w:iCs/>
        </w:rPr>
        <w:t xml:space="preserve"> </w:t>
      </w:r>
      <w:r>
        <w:rPr>
          <w:i/>
          <w:iCs/>
        </w:rPr>
        <w:t xml:space="preserve">“row-pillar → column-pillar.”</w:t>
      </w:r>
      <w:r>
        <w:rPr>
          <w:i/>
          <w:iCs/>
        </w:rPr>
        <w:t xml:space="preserve"> </w:t>
      </w:r>
      <w:r>
        <w:rPr>
          <w:i/>
          <w:iCs/>
        </w:rPr>
        <w:t xml:space="preserve">Each relationship appears once; ⟲ marks a feedback loop. Equity is not a row — it is the Equity Imperative applied to every cell (is it just?).</w:t>
      </w:r>
    </w:p>
    <w:tbl>
      <w:tblPr>
        <w:tblStyle w:val="HTRTable"/>
        <w:tblLook w:firstRow="1" w:lastRow="0" w:firstColumn="0" w:lastColumn="0" w:noHBand="0" w:noVBand="1" w:val="0020"/>
        <w:tblW w:w="9072" w:type="dxa"/>
        <w:tblLayout w:type="autofit"/>
      </w:tblPr>
      <w:tblGrid>
        <w:gridCol w:w="556"/>
        <w:gridCol w:w="1497"/>
        <w:gridCol w:w="1797"/>
        <w:gridCol w:w="1711"/>
        <w:gridCol w:w="1711"/>
        <w:gridCol w:w="1797"/>
      </w:tblGrid>
      <w:tr>
        <w:trPr>
          <w:tblHeader w:val="on"/>
          <w:cantSplit/>
        </w:trPr>
        <w:tc>
          <w:tcPr>
            <w:shd w:val="clear" w:color="auto" w:fill="1B3A6B"/>
            <w:tcW w:w="556" w:type="dxa"/>
          </w:tcPr>
          <w:p>
            <w:pPr>
              <w:pStyle w:val="Compact"/>
              <w:jc w:val="left"/>
            </w:pPr>
            <w:r>
              <w:rPr>
                <w:b/>
                <w:bCs/>
                <w:color w:val="FFFFFF"/>
                <w:sz w:val="18"/>
              </w:rPr>
              <w:t xml:space="preserve">FROM ↓ / TO →</w:t>
            </w:r>
          </w:p>
        </w:tc>
        <w:tc>
          <w:tcPr>
            <w:shd w:val="clear" w:color="auto" w:fill="1B3A6B"/>
            <w:tcW w:w="1497" w:type="dxa"/>
          </w:tcPr>
          <w:p>
            <w:pPr>
              <w:pStyle w:val="Compact"/>
              <w:jc w:val="left"/>
            </w:pPr>
            <w:r>
              <w:rPr>
                <w:b/>
                <w:bCs/>
                <w:color w:val="FFFFFF"/>
                <w:sz w:val="18"/>
              </w:rPr>
              <w:t xml:space="preserve">Policy</w:t>
            </w:r>
          </w:p>
        </w:tc>
        <w:tc>
          <w:tcPr>
            <w:shd w:val="clear" w:color="auto" w:fill="1B3A6B"/>
            <w:tcW w:w="1797" w:type="dxa"/>
          </w:tcPr>
          <w:p>
            <w:pPr>
              <w:pStyle w:val="Compact"/>
              <w:jc w:val="left"/>
            </w:pPr>
            <w:r>
              <w:rPr>
                <w:b/>
                <w:bCs/>
                <w:color w:val="FFFFFF"/>
                <w:sz w:val="18"/>
              </w:rPr>
              <w:t xml:space="preserve">Technology</w:t>
            </w:r>
          </w:p>
        </w:tc>
        <w:tc>
          <w:tcPr>
            <w:shd w:val="clear" w:color="auto" w:fill="1B3A6B"/>
            <w:tcW w:w="1711" w:type="dxa"/>
          </w:tcPr>
          <w:p>
            <w:pPr>
              <w:pStyle w:val="Compact"/>
              <w:jc w:val="left"/>
            </w:pPr>
            <w:r>
              <w:rPr>
                <w:b/>
                <w:bCs/>
                <w:color w:val="FFFFFF"/>
                <w:sz w:val="18"/>
              </w:rPr>
              <w:t xml:space="preserve">Economics</w:t>
            </w:r>
          </w:p>
        </w:tc>
        <w:tc>
          <w:tcPr>
            <w:shd w:val="clear" w:color="auto" w:fill="1B3A6B"/>
            <w:tcW w:w="1711" w:type="dxa"/>
          </w:tcPr>
          <w:p>
            <w:pPr>
              <w:pStyle w:val="Compact"/>
              <w:jc w:val="left"/>
            </w:pPr>
            <w:r>
              <w:rPr>
                <w:b/>
                <w:bCs/>
                <w:color w:val="FFFFFF"/>
                <w:sz w:val="18"/>
              </w:rPr>
              <w:t xml:space="preserve">Clinical</w:t>
            </w:r>
          </w:p>
        </w:tc>
        <w:tc>
          <w:tcPr>
            <w:shd w:val="clear" w:color="auto" w:fill="1B3A6B"/>
            <w:tcW w:w="1797" w:type="dxa"/>
          </w:tcPr>
          <w:p>
            <w:pPr>
              <w:pStyle w:val="Compact"/>
              <w:jc w:val="left"/>
            </w:pPr>
            <w:r>
              <w:rPr>
                <w:b/>
                <w:bCs/>
                <w:color w:val="FFFFFF"/>
                <w:sz w:val="18"/>
              </w:rPr>
              <w:t xml:space="preserve">Operations</w:t>
            </w:r>
          </w:p>
        </w:tc>
      </w:tr>
      <w:tr>
        <w:trPr>
          <w:cantSplit/>
        </w:trPr>
        <w:tc>
          <w:tcPr>
            <w:tcW w:w="556" w:type="dxa"/>
          </w:tcPr>
          <w:p>
            <w:pPr>
              <w:pStyle w:val="Compact"/>
              <w:jc w:val="left"/>
            </w:pPr>
            <w:r>
              <w:rPr>
                <w:b/>
                <w:bCs/>
                <w:sz w:val="18"/>
              </w:rPr>
              <w:t xml:space="preserve">Policy</w:t>
            </w:r>
          </w:p>
        </w:tc>
        <w:tc>
          <w:tcPr>
            <w:tcW w:w="1497" w:type="dxa"/>
          </w:tcPr>
          <w:p>
            <w:pPr>
              <w:pStyle w:val="Compact"/>
              <w:jc w:val="left"/>
            </w:pPr>
            <w:r>
              <w:rPr>
                <w:sz w:val="18"/>
              </w:rPr>
              <w:t xml:space="preserve">—</w:t>
            </w:r>
          </w:p>
        </w:tc>
        <w:tc>
          <w:tcPr>
            <w:tcW w:w="1797" w:type="dxa"/>
          </w:tcPr>
          <w:p>
            <w:pPr>
              <w:pStyle w:val="Compact"/>
              <w:jc w:val="left"/>
            </w:pPr>
            <w:r>
              <w:rPr>
                <w:sz w:val="18"/>
              </w:rPr>
              <w:t xml:space="preserve">ENABLES: funds &amp; authorizes the data build</w:t>
            </w:r>
          </w:p>
        </w:tc>
        <w:tc>
          <w:tcPr>
            <w:tcW w:w="1711" w:type="dxa"/>
          </w:tcPr>
          <w:p>
            <w:pPr>
              <w:pStyle w:val="Compact"/>
              <w:jc w:val="left"/>
            </w:pPr>
            <w:r>
              <w:rPr>
                <w:sz w:val="18"/>
              </w:rPr>
              <w:t xml:space="preserve">ENABLES: makes payment reform binding</w:t>
            </w:r>
          </w:p>
        </w:tc>
        <w:tc>
          <w:tcPr>
            <w:tcW w:w="1711" w:type="dxa"/>
          </w:tcPr>
          <w:p>
            <w:pPr>
              <w:pStyle w:val="Compact"/>
            </w:pPr>
          </w:p>
        </w:tc>
        <w:tc>
          <w:tcPr>
            <w:tcW w:w="1797" w:type="dxa"/>
          </w:tcPr>
          <w:p>
            <w:pPr>
              <w:pStyle w:val="Compact"/>
              <w:jc w:val="left"/>
            </w:pPr>
            <w:r>
              <w:rPr>
                <w:sz w:val="18"/>
              </w:rPr>
              <w:t xml:space="preserve">DRIVES: statutory deadlines force capacity</w:t>
            </w:r>
          </w:p>
        </w:tc>
      </w:tr>
      <w:tr>
        <w:trPr/>
        <w:tc>
          <w:tcPr>
            <w:tcW w:w="556" w:type="dxa"/>
          </w:tcPr>
          <w:p>
            <w:pPr>
              <w:pStyle w:val="Compact"/>
              <w:jc w:val="left"/>
            </w:pPr>
            <w:r>
              <w:rPr>
                <w:b/>
                <w:bCs/>
                <w:sz w:val="18"/>
              </w:rPr>
              <w:t xml:space="preserve">Technology</w:t>
            </w:r>
          </w:p>
        </w:tc>
        <w:tc>
          <w:tcPr>
            <w:tcW w:w="1497" w:type="dxa"/>
          </w:tcPr>
          <w:p>
            <w:pPr>
              <w:pStyle w:val="Compact"/>
            </w:pPr>
          </w:p>
        </w:tc>
        <w:tc>
          <w:tcPr>
            <w:tcW w:w="1797" w:type="dxa"/>
          </w:tcPr>
          <w:p>
            <w:pPr>
              <w:pStyle w:val="Compact"/>
              <w:jc w:val="left"/>
            </w:pPr>
            <w:r>
              <w:rPr>
                <w:sz w:val="18"/>
              </w:rPr>
              <w:t xml:space="preserve">—</w:t>
            </w:r>
          </w:p>
        </w:tc>
        <w:tc>
          <w:tcPr>
            <w:tcW w:w="1711" w:type="dxa"/>
          </w:tcPr>
          <w:p>
            <w:pPr>
              <w:pStyle w:val="Compact"/>
              <w:jc w:val="left"/>
            </w:pPr>
            <w:r>
              <w:rPr>
                <w:sz w:val="18"/>
              </w:rPr>
              <w:t xml:space="preserve">ENABLES: analytics run the payment model</w:t>
            </w:r>
          </w:p>
        </w:tc>
        <w:tc>
          <w:tcPr>
            <w:tcW w:w="1711" w:type="dxa"/>
          </w:tcPr>
          <w:p>
            <w:pPr>
              <w:pStyle w:val="Compact"/>
              <w:jc w:val="left"/>
            </w:pPr>
            <w:r>
              <w:rPr>
                <w:sz w:val="18"/>
              </w:rPr>
              <w:t xml:space="preserve">ENABLES: data enables population health</w:t>
            </w:r>
          </w:p>
        </w:tc>
        <w:tc>
          <w:tcPr>
            <w:tcW w:w="1797" w:type="dxa"/>
          </w:tcPr>
          <w:p>
            <w:pPr>
              <w:pStyle w:val="Compact"/>
            </w:pPr>
          </w:p>
        </w:tc>
      </w:tr>
      <w:tr>
        <w:trPr/>
        <w:tc>
          <w:tcPr>
            <w:tcW w:w="556" w:type="dxa"/>
          </w:tcPr>
          <w:p>
            <w:pPr>
              <w:pStyle w:val="Compact"/>
              <w:jc w:val="left"/>
            </w:pPr>
            <w:r>
              <w:rPr>
                <w:b/>
                <w:bCs/>
                <w:sz w:val="18"/>
              </w:rPr>
              <w:t xml:space="preserve">Economics</w:t>
            </w:r>
          </w:p>
        </w:tc>
        <w:tc>
          <w:tcPr>
            <w:tcW w:w="1497" w:type="dxa"/>
          </w:tcPr>
          <w:p>
            <w:pPr>
              <w:pStyle w:val="Compact"/>
            </w:pPr>
          </w:p>
        </w:tc>
        <w:tc>
          <w:tcPr>
            <w:tcW w:w="1797" w:type="dxa"/>
          </w:tcPr>
          <w:p>
            <w:pPr>
              <w:pStyle w:val="Compact"/>
            </w:pPr>
          </w:p>
        </w:tc>
        <w:tc>
          <w:tcPr>
            <w:tcW w:w="1711" w:type="dxa"/>
          </w:tcPr>
          <w:p>
            <w:pPr>
              <w:pStyle w:val="Compact"/>
              <w:jc w:val="left"/>
            </w:pPr>
            <w:r>
              <w:rPr>
                <w:sz w:val="18"/>
              </w:rPr>
              <w:t xml:space="preserve">—</w:t>
            </w:r>
          </w:p>
        </w:tc>
        <w:tc>
          <w:tcPr>
            <w:tcW w:w="1711" w:type="dxa"/>
          </w:tcPr>
          <w:p>
            <w:pPr>
              <w:pStyle w:val="Compact"/>
              <w:jc w:val="left"/>
            </w:pPr>
            <w:r>
              <w:rPr>
                <w:sz w:val="18"/>
              </w:rPr>
              <w:t xml:space="preserve">DRIVES: incentives reshape care delivery</w:t>
            </w:r>
          </w:p>
        </w:tc>
        <w:tc>
          <w:tcPr>
            <w:tcW w:w="1797" w:type="dxa"/>
          </w:tcPr>
          <w:p>
            <w:pPr>
              <w:pStyle w:val="Compact"/>
            </w:pPr>
          </w:p>
        </w:tc>
      </w:tr>
      <w:tr>
        <w:trPr/>
        <w:tc>
          <w:tcPr>
            <w:tcW w:w="556" w:type="dxa"/>
          </w:tcPr>
          <w:p>
            <w:pPr>
              <w:pStyle w:val="Compact"/>
              <w:jc w:val="left"/>
            </w:pPr>
            <w:r>
              <w:rPr>
                <w:b/>
                <w:bCs/>
                <w:sz w:val="18"/>
              </w:rPr>
              <w:t xml:space="preserve">Clinical</w:t>
            </w:r>
          </w:p>
        </w:tc>
        <w:tc>
          <w:tcPr>
            <w:tcW w:w="1497" w:type="dxa"/>
          </w:tcPr>
          <w:p>
            <w:pPr>
              <w:pStyle w:val="Compact"/>
            </w:pPr>
          </w:p>
        </w:tc>
        <w:tc>
          <w:tcPr>
            <w:tcW w:w="1797" w:type="dxa"/>
          </w:tcPr>
          <w:p>
            <w:pPr>
              <w:pStyle w:val="Compact"/>
            </w:pPr>
          </w:p>
        </w:tc>
        <w:tc>
          <w:tcPr>
            <w:tcW w:w="1711" w:type="dxa"/>
          </w:tcPr>
          <w:p>
            <w:pPr>
              <w:pStyle w:val="Compact"/>
            </w:pPr>
          </w:p>
        </w:tc>
        <w:tc>
          <w:tcPr>
            <w:tcW w:w="1711" w:type="dxa"/>
          </w:tcPr>
          <w:p>
            <w:pPr>
              <w:pStyle w:val="Compact"/>
              <w:jc w:val="left"/>
            </w:pPr>
            <w:r>
              <w:rPr>
                <w:sz w:val="18"/>
              </w:rPr>
              <w:t xml:space="preserve">—</w:t>
            </w:r>
          </w:p>
        </w:tc>
        <w:tc>
          <w:tcPr>
            <w:tcW w:w="1797" w:type="dxa"/>
          </w:tcPr>
          <w:p>
            <w:pPr>
              <w:pStyle w:val="Compact"/>
              <w:jc w:val="left"/>
            </w:pPr>
            <w:r>
              <w:rPr>
                <w:sz w:val="18"/>
              </w:rPr>
              <w:t xml:space="preserve">REQUIRES: care models need execution infra</w:t>
            </w:r>
          </w:p>
        </w:tc>
      </w:tr>
      <w:tr>
        <w:trPr>
          <w:cantSplit/>
        </w:trPr>
        <w:tc>
          <w:tcPr>
            <w:tcW w:w="556" w:type="dxa"/>
          </w:tcPr>
          <w:p>
            <w:pPr>
              <w:pStyle w:val="Compact"/>
              <w:jc w:val="left"/>
            </w:pPr>
            <w:r>
              <w:rPr>
                <w:b/>
                <w:bCs/>
                <w:sz w:val="18"/>
              </w:rPr>
              <w:t xml:space="preserve">Operations</w:t>
            </w:r>
          </w:p>
        </w:tc>
        <w:tc>
          <w:tcPr>
            <w:tcW w:w="1497" w:type="dxa"/>
          </w:tcPr>
          <w:p>
            <w:pPr>
              <w:pStyle w:val="Compact"/>
              <w:jc w:val="left"/>
            </w:pPr>
            <w:r>
              <w:rPr>
                <w:sz w:val="18"/>
              </w:rPr>
              <w:t xml:space="preserve">INFORMS ⟲: data refines the mandate</w:t>
            </w:r>
          </w:p>
        </w:tc>
        <w:tc>
          <w:tcPr>
            <w:tcW w:w="1797" w:type="dxa"/>
          </w:tcPr>
          <w:p>
            <w:pPr>
              <w:pStyle w:val="Compact"/>
              <w:jc w:val="left"/>
            </w:pPr>
            <w:r>
              <w:rPr>
                <w:sz w:val="18"/>
              </w:rPr>
              <w:t xml:space="preserve">RUNS ⟲: workforce runs the infrastructure</w:t>
            </w:r>
          </w:p>
        </w:tc>
        <w:tc>
          <w:tcPr>
            <w:tcW w:w="1711" w:type="dxa"/>
          </w:tcPr>
          <w:p>
            <w:pPr>
              <w:pStyle w:val="Compact"/>
            </w:pPr>
          </w:p>
        </w:tc>
        <w:tc>
          <w:tcPr>
            <w:tcW w:w="1711" w:type="dxa"/>
          </w:tcPr>
          <w:p>
            <w:pPr>
              <w:pStyle w:val="Compact"/>
            </w:pPr>
          </w:p>
        </w:tc>
        <w:tc>
          <w:tcPr>
            <w:tcW w:w="1797" w:type="dxa"/>
          </w:tcPr>
          <w:p>
            <w:pPr>
              <w:pStyle w:val="Compact"/>
              <w:jc w:val="left"/>
            </w:pPr>
            <w:r>
              <w:rPr>
                <w:sz w:val="18"/>
              </w:rPr>
              <w:t xml:space="preserve">—</w:t>
            </w:r>
          </w:p>
        </w:tc>
      </w:tr>
    </w:tbl>
    <w:p>
      <w:pPr>
        <w:pStyle w:val="Caption"/>
        <w:spacing w:before="120"/>
      </w:pPr>
      <w:r>
        <w:rPr>
          <w:i/>
          <w:iCs/>
        </w:rPr>
        <w:t xml:space="preserve">Figure 1.3 — The Dependency Matrix. Read each cell as row-pillar → column-pillar. Sources: Acts 167 (2022) and 68 (2025).</w:t>
      </w:r>
    </w:p>
    <w:p>
      <w:pPr>
        <w:pStyle w:val="BodyText"/>
      </w:pPr>
      <w:r>
        <w:rPr>
          <w:i/>
          <w:iCs/>
        </w:rPr>
        <w:t xml:space="preserve">ENABLES = precondition (cannot start without it) · DRIVES = actively forces behavior change · REQUIRES = cannot function without · ⟲ = feedback loop (runs after the build). Where two pillars affect each other, the two arrows carry different content — a genuine loop, not the same fact counted twice.</w:t>
      </w:r>
    </w:p>
    <w:p>
      <w:pPr>
        <w:pStyle w:val="Heading3"/>
      </w:pPr>
      <w:r>
        <w:rPr>
          <w:color w:val="161B22"/>
        </w:rPr>
        <w:t xml:space="preserve">1.4.1  </w:t>
      </w:r>
      <w:bookmarkStart w:id="1031" w:name="_Toc1030"/>
      <w:r>
        <w:rPr>
          <w:b/>
          <w:bCs/>
          <w:color w:val="161B22"/>
        </w:rPr>
        <w:t xml:space="preserve">Policy Dependencies: Three Relationships That Establish the Mandatory Architecture</w:t>
      </w:r>
      <w:bookmarkEnd w:id="1031"/>
    </w:p>
    <w:p>
      <w:pPr>
        <w:pStyle w:val="FirstParagraph"/>
      </w:pPr>
      <w:r>
        <w:t xml:space="preserve">Policy is the pillar from which mandatory authority flows. Its outbound dependencies — to Economics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Maryland has been running the experiment Vermont is starting. Its all-payer model put essentially every hospital in the state — 52 of them — under global budgets beginning in 2014, mandatorily, with no opt-out. A decade of evaluation is the closest thing American health policy has to a controlled test of this dependency.</w:t>
            </w:r>
          </w:p>
          <w:p>
            <w:pPr>
              <w:spacing w:after="60" w:line="264" w:lineRule="auto"/>
            </w:pPr>
            <w:r>
              <w:rPr>
                <w:sz w:val="20"/>
                <w:szCs w:val="20"/>
              </w:rPr>
              <w:t xml:space="preserve">The results support the mechanism and complicate the optimism. Medicare spending fell 2.8% against a comparison group, driven by a 4.1% reduction in hospital expenditures — more than $780 million saved. Potentially preventable admissions fell 16.1%, unplanned readmissions 9.5%. But the quality picture was mixed: readmissions improved for healthier patients while hospitals struggled with sicker ones, and population health measures did not move.</w:t>
            </w:r>
          </w:p>
          <w:p>
            <w:pPr>
              <w:spacing w:after="60" w:line="264" w:lineRule="auto"/>
            </w:pPr>
            <w:r>
              <w:rPr>
                <w:sz w:val="20"/>
                <w:szCs w:val="20"/>
              </w:rPr>
              <w:t xml:space="preserve">The lesson that transfers is narrower than</w:t>
            </w:r>
            <w:r>
              <w:rPr>
                <w:sz w:val="20"/>
                <w:szCs w:val="20"/>
              </w:rPr>
              <w:t xml:space="preserve"> </w:t>
            </w:r>
            <w:r>
              <w:rPr>
                <w:sz w:val="20"/>
                <w:szCs w:val="20"/>
              </w:rPr>
              <w:t xml:space="preserve">“global budgets work.”</w:t>
            </w:r>
            <w:r>
              <w:rPr>
                <w:sz w:val="20"/>
                <w:szCs w:val="20"/>
              </w:rPr>
              <w:t xml:space="preserve"> </w:t>
            </w:r>
            <w:r>
              <w:rPr>
                <w:sz w:val="20"/>
                <w:szCs w:val="20"/>
              </w:rPr>
              <w:t xml:space="preserve">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p>
        </w:tc>
      </w:tr>
    </w:tbl>
    <w:p>
      <w:pPr>
        <w:spacing w:after="120" w:line="240" w:lineRule="auto"/>
        <w:rPr>
          <w:sz w:val="16"/>
        </w:rPr>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and the Equity Imperative: statutory mandates embed equity accountability</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imperative’s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p>
        </w:tc>
      </w:tr>
    </w:tbl>
    <w:p>
      <w:pPr>
        <w:spacing w:after="120" w:line="240" w:lineRule="auto"/>
        <w:rPr>
          <w:sz w:val="16"/>
        </w:rPr>
      </w:pPr>
    </w:p>
    <w:p>
      <w:pPr>
        <w:pStyle w:val="Heading3"/>
      </w:pPr>
      <w:r>
        <w:rPr>
          <w:color w:val="161B22"/>
        </w:rPr>
        <w:t xml:space="preserve">1.4.2  </w:t>
      </w:r>
      <w:bookmarkStart w:id="1032" w:name="_Toc1031"/>
      <w:r>
        <w:rPr>
          <w:b/>
          <w:bCs/>
          <w:color w:val="161B22"/>
        </w:rPr>
        <w:t xml:space="preserve">Technology Dependencies: Three Relationships That Enable Analytical Management</w:t>
      </w:r>
      <w:bookmarkEnd w:id="1032"/>
    </w:p>
    <w:p>
      <w:pPr>
        <w:pStyle w:val="FirstParagraph"/>
      </w:pPr>
      <w:r>
        <w:t xml:space="preserve">Technology is the data substrate on which every other pillar’s management functions depend. It has the broadest set of outbound dependencies in the framework — enabling relationships to Economics and Clinical, and to the equity imperative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Act 68’s hospital global budgets take effect will be able to manage those budgets proactively rather than reactively.</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w:t>
            </w:r>
            <w:r>
              <w:rPr>
                <w:sz w:val="20"/>
                <w:szCs w:val="20"/>
              </w:rPr>
              <w:t xml:space="preserve"> </w:t>
            </w:r>
            <w:r>
              <w:rPr>
                <w:i/>
                <w:iCs/>
                <w:sz w:val="20"/>
                <w:szCs w:val="20"/>
              </w:rPr>
              <w:t xml:space="preserve">timing</w:t>
            </w:r>
            <w:r>
              <w:rPr>
                <w:sz w:val="20"/>
                <w:szCs w:val="20"/>
              </w:rPr>
              <w:t xml:space="preserve">, built years before the payment model that now needs it.</w:t>
            </w:r>
          </w:p>
          <w:p>
            <w:pPr>
              <w:spacing w:after="60" w:line="264" w:lineRule="auto"/>
            </w:pPr>
            <w:r>
              <w:rPr>
                <w:sz w:val="20"/>
                <w:szCs w:val="2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p>
          <w:p>
            <w:pPr>
              <w:spacing w:after="60" w:line="264" w:lineRule="auto"/>
            </w:pPr>
            <w:r>
              <w:rPr>
                <w:sz w:val="20"/>
                <w:szCs w:val="20"/>
              </w:rPr>
              <w:t xml:space="preserve">Read against the Policy → Economics box above, this is the practical test for any state reading Vermont’s playbook: mandatory authority is necessary but it is not sufficient, and the Technology gate is the one that cannot be opened by a vote.</w:t>
            </w:r>
          </w:p>
        </w:tc>
      </w:tr>
    </w:tbl>
    <w:p>
      <w:pPr>
        <w:spacing w:after="120" w:line="240" w:lineRule="auto"/>
        <w:rPr>
          <w:sz w:val="16"/>
        </w:rPr>
      </w:pPr>
    </w:p>
    <w:p>
      <w:pPr>
        <w:pStyle w:val="BodyText"/>
        <w:keepNext w:val="false"/>
      </w:pPr>
      <w:r>
        <w:rPr>
          <w:b/>
          <w:bCs/>
        </w:rPr>
        <w:t xml:space="preserve">Technology and the Equity Imperative: disaggregated data reveals disparities hidden in averages (critical)</w:t>
      </w:r>
    </w:p>
    <w:p>
      <w:pPr>
        <w:pStyle w:val="BodyText"/>
        <w:keepNext w:val="false"/>
      </w:pPr>
      <w:r>
        <w:t xml:space="preserve">The equity imperative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imperative’s analytical capability. The Vermont Department of Health’s Health Equity Data Report (January 2025) documents this limitation explicitly. Closing the Technology gap is prerequisite to the equity imperative’s disparity measurement function.</w:t>
            </w:r>
          </w:p>
        </w:tc>
      </w:tr>
    </w:tbl>
    <w:p>
      <w:pPr>
        <w:spacing w:after="120" w:line="240" w:lineRule="auto"/>
        <w:rPr>
          <w:sz w:val="16"/>
        </w:rPr>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line="240" w:lineRule="auto"/>
        <w:rPr>
          <w:sz w:val="16"/>
        </w:rPr>
      </w:pPr>
    </w:p>
    <w:p>
      <w:pPr>
        <w:pStyle w:val="Heading3"/>
      </w:pPr>
      <w:r>
        <w:rPr>
          <w:color w:val="161B22"/>
        </w:rPr>
        <w:t xml:space="preserve">1.4.3  </w:t>
      </w:r>
      <w:bookmarkStart w:id="1033" w:name="_Toc1032"/>
      <w:r>
        <w:rPr>
          <w:b/>
          <w:bCs/>
          <w:color w:val="161B22"/>
        </w:rPr>
        <w:t xml:space="preserve">Economics Dependencies: Three Relationships That Transmit Incentive Change</w:t>
      </w:r>
      <w:bookmarkEnd w:id="1033"/>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outbound dependencies — to Clinical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Act 68’s global budgets and the Clinical pillar’s population health logic becomes fully incentive-aligned.</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the point Principle 1 develops later in this chapter.</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line="240" w:lineRule="auto"/>
        <w:rPr>
          <w:sz w:val="16"/>
        </w:rPr>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Signing a contract you cannot read</w:t>
            </w:r>
          </w:p>
          <w:p>
            <w:pPr>
              <w:spacing w:after="60" w:line="264" w:lineRule="auto"/>
            </w:pPr>
            <w:r>
              <w:rPr>
                <w:sz w:val="20"/>
                <w:szCs w:val="2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w:t>
            </w:r>
          </w:p>
          <w:p>
            <w:pPr>
              <w:spacing w:after="60" w:line="264" w:lineRule="auto"/>
            </w:pPr>
            <w:r>
              <w:rPr>
                <w:sz w:val="20"/>
                <w:szCs w:val="20"/>
              </w:rPr>
              <w:t xml:space="preserve">In month fourteen, the payer’s reconciliation arrives: her system is $2.1 million over benchmark and owes a share of it back.</w:t>
            </w:r>
          </w:p>
          <w:p>
            <w:pPr>
              <w:spacing w:after="60" w:line="264" w:lineRule="auto"/>
            </w:pPr>
            <w:r>
              <w:rPr>
                <w:sz w:val="20"/>
                <w:szCs w:val="2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w:t>
            </w:r>
          </w:p>
          <w:p>
            <w:pPr>
              <w:spacing w:after="60" w:line="264" w:lineRule="auto"/>
            </w:pPr>
            <w:r>
              <w:rPr>
                <w:sz w:val="20"/>
                <w:szCs w:val="20"/>
              </w:rPr>
              <w:t xml:space="preserve">So she pays. Not because her system performed badly — she still does not know whether it did — but because she entered an argument she had no evidence to make. The clinical work was never the problem. The Technology gate was closed before she signed, and signing did not open it.</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Act 68 requires GMCB, beginning in FY2028, to set prospective annual hospital global budgets based on historical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global-budget implementation analytically executable.</w:t>
            </w:r>
          </w:p>
        </w:tc>
      </w:tr>
    </w:tbl>
    <w:p>
      <w:pPr>
        <w:spacing w:after="120" w:line="240" w:lineRule="auto"/>
        <w:rPr>
          <w:sz w:val="16"/>
        </w:rPr>
      </w:pPr>
    </w:p>
    <w:p>
      <w:pPr>
        <w:pStyle w:val="BodyText"/>
        <w:keepNext w:val="false"/>
      </w:pPr>
      <w:r>
        <w:rPr>
          <w:b/>
          <w:bCs/>
        </w:rPr>
        <w:t xml:space="preserve">Economics and the Equity Imperative: VBC design must include social risk adjustment</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p>
        </w:tc>
      </w:tr>
    </w:tbl>
    <w:p>
      <w:pPr>
        <w:spacing w:after="120" w:line="240" w:lineRule="auto"/>
        <w:rPr>
          <w:sz w:val="16"/>
        </w:rPr>
      </w:pPr>
    </w:p>
    <w:p>
      <w:pPr>
        <w:pStyle w:val="Heading3"/>
      </w:pPr>
      <w:r>
        <w:rPr>
          <w:color w:val="161B22"/>
        </w:rPr>
        <w:t xml:space="preserve">1.4.4  </w:t>
      </w:r>
      <w:bookmarkStart w:id="1034" w:name="_Toc1033"/>
      <w:r>
        <w:rPr>
          <w:b/>
          <w:bCs/>
          <w:color w:val="161B22"/>
        </w:rPr>
        <w:t xml:space="preserve">Clinical Dependencies: Two Relationships That Connect Care Models to System Requirements</w:t>
      </w:r>
      <w:bookmarkEnd w:id="1034"/>
    </w:p>
    <w:p>
      <w:pPr>
        <w:pStyle w:val="FirstParagraph"/>
      </w:pPr>
      <w:r>
        <w:t xml:space="preserve">Clinical is the pillar that converts payment incentives into actual health outcomes. Its outbound dependency — to Operations — describes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line="240" w:lineRule="auto"/>
        <w:rPr>
          <w:sz w:val="16"/>
        </w:rPr>
      </w:pPr>
    </w:p>
    <w:p>
      <w:pPr>
        <w:pStyle w:val="BodyText"/>
        <w:keepNext w:val="false"/>
      </w:pPr>
      <w:r>
        <w:rPr>
          <w:b/>
          <w:bCs/>
        </w:rPr>
        <w:t xml:space="preserve">Clinical and the Equity Imperative: care delivery expansion is the primary access gap mechanism</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imperative’s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imperative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but unaddressed.</w:t>
            </w:r>
          </w:p>
        </w:tc>
      </w:tr>
    </w:tbl>
    <w:p>
      <w:pPr>
        <w:spacing w:after="120" w:line="240" w:lineRule="auto"/>
        <w:rPr>
          <w:sz w:val="16"/>
        </w:rPr>
      </w:pPr>
    </w:p>
    <w:p>
      <w:pPr>
        <w:pStyle w:val="Heading3"/>
      </w:pPr>
      <w:r>
        <w:rPr>
          <w:color w:val="161B22"/>
        </w:rPr>
        <w:t xml:space="preserve">1.4.5  </w:t>
      </w:r>
      <w:bookmarkStart w:id="1035" w:name="_Toc1034"/>
      <w:r>
        <w:rPr>
          <w:b/>
          <w:bCs/>
          <w:color w:val="161B22"/>
        </w:rPr>
        <w:t xml:space="preserve">The Equity Imperative: Applying the Justice Test to Every Pillar</w:t>
      </w:r>
      <w:bookmarkEnd w:id="1035"/>
    </w:p>
    <w:p>
      <w:pPr>
        <w:pStyle w:val="FirstParagraph"/>
      </w:pPr>
      <w:r>
        <w:t xml:space="preserve">Equity is not a pillar with its own dependencies — it is the Equity Imperative every pillar is held to. The justice test (is it just?) applies to all five, designed in from the beginning rather than retrofitted. Two applications matter most, because they are where equity is most often lost: the design of policy, and the delivery of care.</w:t>
      </w:r>
    </w:p>
    <w:p>
      <w:pPr>
        <w:pStyle w:val="BodyText"/>
      </w:pPr>
      <w:r>
        <w:rPr>
          <w:b/>
          <w:bCs/>
          <w:i/>
          <w:iCs/>
        </w:rPr>
        <w:t xml:space="preserve">The Equity Imperative on Policy — does the mandate close disparities or widen them?</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i/>
          <w:iCs/>
        </w:rPr>
        <w:t xml:space="preserve">The Equity Imperative on Clinical — effective, and effective for whom?</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Imperative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6" w:name="_Toc1035"/>
      <w:r>
        <w:rPr>
          <w:b/>
          <w:bCs/>
          <w:color w:val="161B22"/>
        </w:rPr>
        <w:t xml:space="preserve">Operations Dependencies: Two Feedback Relationships That Close the Loop</w:t>
      </w:r>
      <w:bookmarkEnd w:id="1036"/>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line="240" w:lineRule="auto"/>
        <w:rPr>
          <w:sz w:val="16"/>
        </w:rPr>
        <w:keepNext w:val="false"/>
      </w:pPr>
    </w:p>
    <w:p>
      <w:pPr>
        <w:pStyle w:val="Heading2"/>
        <w:pBdr>
          <w:top w:val="single" w:sz="6" w:space="10" w:color="C9D2DF"/>
        </w:pBdr>
        <w:keepNext w:val="false"/>
      </w:pPr>
      <w:r>
        <w:rPr>
          <w:color w:val="161B22"/>
        </w:rPr>
        <w:t xml:space="preserve">1.5  </w:t>
      </w:r>
      <w:bookmarkStart w:id="1037" w:name="_Toc1036"/>
      <w:r>
        <w:rPr>
          <w:b/>
          <w:bCs/>
          <w:color w:val="161B22"/>
        </w:rPr>
        <w:t xml:space="preserve">The Failure Cascade: What Happens When a Pillar Is Missing</w:t>
      </w:r>
      <w:bookmarkEnd w:id="1037"/>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9</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5</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Sources: HTR analysis; CMMI evaluation literature; Oliver Wyman Act 167 Report; Vermont experience.</w:t>
      </w:r>
    </w:p>
    <w:p>
      <w:pPr>
        <w:pStyle w:val="Heading2"/>
        <w:pBdr>
          <w:top w:val="single" w:sz="6" w:space="10" w:color="C9D2DF"/>
        </w:pBdr>
      </w:pPr>
      <w:r>
        <w:rPr>
          <w:color w:val="161B22"/>
        </w:rPr>
        <w:t xml:space="preserve">1.6  </w:t>
      </w:r>
      <w:bookmarkStart w:id="1038" w:name="_Toc1037"/>
      <w:r>
        <w:rPr>
          <w:b/>
          <w:bCs/>
          <w:color w:val="161B22"/>
        </w:rPr>
        <w:t xml:space="preserve">Using the Dependency Map as an Analytical Tool</w:t>
      </w:r>
      <w:bookmarkEnd w:id="1038"/>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 and investment prioritization.</w:t>
      </w:r>
      <w:r>
        <w:t xml:space="preserve"> </w:t>
      </w:r>
      <w:r>
        <w:t xml:space="preserve">Both fall out of the same reading: count the inbound dependencies. A pillar that many others require carries both the highest leverage and the highest risk, and in Vermont’s current architecture that is unambiguously Technology — Economics, Clinical, and Operations all depend on it, with Operations second (Clinical and Policy require it). Concretely, the AHS-GMCB analytics capability is the single highest-risk gap in the system: a delay there does not delay one program but three, holding up financial management for global budgets, equity measurement for the Statewide Strategic Plan, and risk stratification for Blueprint’s CCBHC expansion at once. That is also why analytics deployment, AHS organizational capacity, and HCC gap closure are the highest-leverage investments available to Vermont right now.</w:t>
      </w:r>
    </w:p>
    <w:p>
      <w:pPr>
        <w:pStyle w:val="Heading2"/>
        <w:pBdr>
          <w:top w:val="single" w:sz="6" w:space="10" w:color="C9D2DF"/>
        </w:pBdr>
        <w:keepNext w:val="false"/>
      </w:pPr>
      <w:r>
        <w:rPr>
          <w:color w:val="161B22"/>
        </w:rPr>
        <w:t xml:space="preserve">1.7  </w:t>
      </w:r>
      <w:bookmarkStart w:id="1039" w:name="_Toc1038"/>
      <w:r>
        <w:rPr>
          <w:b/>
          <w:bCs/>
          <w:color w:val="161B22"/>
        </w:rPr>
        <w:t xml:space="preserve">The Vermont Thread: Five Pillars in One System</w:t>
      </w:r>
      <w:bookmarkEnd w:id="1039"/>
    </w:p>
    <w:p>
      <w:pPr>
        <w:pStyle w:val="FirstParagraph"/>
        <w:keepNext w:val="false"/>
      </w:pPr>
      <w: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five-pillar transformation map. Sources: Acts 167, 51, 55, 62, 68 of 2022–2025; AHEAD State Agreement; Vermont RHT Program Application; Oliver Wyman Act 167 Report.</w:t>
      </w:r>
    </w:p>
    <w:p>
      <w:pPr>
        <w:pStyle w:val="BodyText"/>
      </w:pPr>
      <w: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0" w:name="_Toc1039"/>
      <w:r>
        <w:rPr>
          <w:b/>
          <w:bCs/>
          <w:color w:val="161B22"/>
        </w:rPr>
        <w:t xml:space="preserve">From Framework to Sequence: Why Order Is Not Optional</w:t>
      </w:r>
      <w:bookmarkEnd w:id="1040"/>
    </w:p>
    <w:p>
      <w:pPr>
        <w:pStyle w:val="FirstParagraph"/>
      </w:pPr>
      <w: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1" w:name="_Toc1040"/>
      <w:r>
        <w:rPr>
          <w:b/>
          <w:bCs/>
          <w:color w:val="161B22"/>
        </w:rPr>
        <w:t xml:space="preserve">The Core Argument: Dependency Logic Determines Sequence</w:t>
      </w:r>
      <w:bookmarkEnd w:id="1041"/>
    </w:p>
    <w:p>
      <w:pPr>
        <w:pStyle w:val="FirstParagraph"/>
      </w:pPr>
      <w: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line="240" w:lineRule="auto"/>
        <w:rPr>
          <w:sz w:val="16"/>
        </w:rPr>
      </w:pPr>
    </w:p>
    <w:p>
      <w:pPr>
        <w:pStyle w:val="Heading2"/>
        <w:pBdr>
          <w:top w:val="single" w:sz="6" w:space="10" w:color="C9D2DF"/>
        </w:pBdr>
      </w:pPr>
      <w:r>
        <w:rPr>
          <w:color w:val="161B22"/>
        </w:rPr>
        <w:t xml:space="preserve">1.10  </w:t>
      </w:r>
      <w:bookmarkStart w:id="1042" w:name="_Toc1041"/>
      <w:r>
        <w:rPr>
          <w:b/>
          <w:bCs/>
          <w:color w:val="161B22"/>
        </w:rPr>
        <w:t xml:space="preserve">The Critics: Why Sequencing Logic Has Real Opponents</w:t>
      </w:r>
      <w:bookmarkEnd w:id="1042"/>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3" w:name="_Toc1042"/>
      <w:r>
        <w:rPr>
          <w:b/>
          <w:bCs/>
          <w:color w:val="161B22"/>
        </w:rPr>
        <w:t xml:space="preserve">“Sequencing Is a Post-Hoc Rationalization”</w:t>
      </w:r>
      <w:bookmarkEnd w:id="1043"/>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4" w:name="_Toc1043"/>
      <w:r>
        <w:rPr>
          <w:b/>
          <w:bCs/>
          <w:color w:val="161B22"/>
        </w:rPr>
        <w:t xml:space="preserve">“Mandatory Architecture Creates Provider Opposition That Delays Reform”</w:t>
      </w:r>
      <w:bookmarkEnd w:id="1044"/>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No one is choosing between a smooth voluntary process and a contentious mandatory one. The real choice is between a process that produces structural change — contentiously — and one that produces durable accommodation of the status quo,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5" w:name="_Toc1044"/>
      <w:r>
        <w:rPr>
          <w:b/>
          <w:bCs/>
          <w:color w:val="161B22"/>
        </w:rPr>
        <w:t xml:space="preserve">“Technology-First Is a Recipe for Expensive Shelfware”</w:t>
      </w:r>
      <w:bookmarkEnd w:id="1045"/>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6" w:name="_Toc1045"/>
      <w:r>
        <w:rPr>
          <w:b/>
          <w:bCs/>
          <w:color w:val="161B22"/>
        </w:rPr>
        <w:t xml:space="preserve">The Five Stages: Resolved</w:t>
      </w:r>
      <w:bookmarkEnd w:id="1046"/>
    </w:p>
    <w:p>
      <w:pPr>
        <w:pStyle w:val="Heading3"/>
      </w:pPr>
      <w:r>
        <w:rPr>
          <w:color w:val="161B22"/>
        </w:rPr>
        <w:t xml:space="preserve">1.11.1  </w:t>
      </w:r>
      <w:bookmarkStart w:id="1047" w:name="_Toc1046"/>
      <w:r>
        <w:rPr>
          <w:b/>
          <w:bCs/>
          <w:color w:val="161B22"/>
        </w:rPr>
        <w:t xml:space="preserve">Stage 1: Policy — Mandate and Capital</w:t>
      </w:r>
      <w:bookmarkEnd w:id="1047"/>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Rural Health Transformation award — $195 million for Vermont in its first year, with comparable annual awards expected through FY2030 —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8" w:name="_Toc1047"/>
      <w:r>
        <w:rPr>
          <w:b/>
          <w:bCs/>
          <w:color w:val="161B22"/>
        </w:rPr>
        <w:t xml:space="preserve">Stage 2: Technology — Build the Substrate Before Assuming Risk</w:t>
      </w:r>
      <w:bookmarkEnd w:id="1048"/>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49" w:name="_Toc1048"/>
      <w:r>
        <w:rPr>
          <w:b/>
          <w:bCs/>
          <w:color w:val="161B22"/>
        </w:rPr>
        <w:t xml:space="preserve">Stage 3: Economics — Incentive Architecture on a Visible System</w:t>
      </w:r>
      <w:bookmarkEnd w:id="1049"/>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$195-million-per-year Rural Health Transformation Program. Because that capital is time-limited, Vermont’s standing source for community health investment beyond the RHT period is not yet settled.</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0" w:name="_Toc1049"/>
      <w:r>
        <w:rPr>
          <w:b/>
          <w:bCs/>
          <w:color w:val="161B22"/>
        </w:rPr>
        <w:t xml:space="preserve">Stage 4: Clinical — Redesigning Care on Aligned Incentives</w:t>
      </w:r>
      <w:bookmarkEnd w:id="1050"/>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1" w:name="_Toc1050"/>
      <w:r>
        <w:rPr>
          <w:b/>
          <w:bCs/>
          <w:color w:val="161B22"/>
        </w:rPr>
        <w:t xml:space="preserve">The Equity Imperative: A Constraint Across Every Stage</w:t>
      </w:r>
      <w:bookmarkEnd w:id="1051"/>
    </w:p>
    <w:p>
      <w:pPr>
        <w:pStyle w:val="FirstParagraph"/>
      </w:pPr>
      <w:r>
        <w:t xml:space="preserve">Equity is not a stage in the sequence — it is the Equity Imperative applied across every stage, a constraint that runs through each rather than a final add-on applied to a finished system. Vermont’s 11-point primary care access gap between white and BIPOC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pPr>
        <w:pStyle w:val="BodyText"/>
      </w:pPr>
      <w: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p>
    <w:p>
      <w:pPr>
        <w:pStyle w:val="Heading3"/>
      </w:pPr>
      <w:r>
        <w:rPr>
          <w:color w:val="161B22"/>
        </w:rPr>
        <w:t xml:space="preserve">1.11.6  </w:t>
      </w:r>
      <w:bookmarkStart w:id="1052" w:name="_Toc1051"/>
      <w:r>
        <w:rPr>
          <w:b/>
          <w:bCs/>
          <w:color w:val="161B22"/>
        </w:rPr>
        <w:t xml:space="preserve">Stage 5: Operations — Closing the Administrative Cost Gap</w:t>
      </w:r>
      <w:bookmarkEnd w:id="1052"/>
    </w:p>
    <w:p>
      <w:pPr>
        <w:pStyle w:val="FirstParagraph"/>
      </w:pPr>
      <w: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left"/>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left"/>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$195M/yr RHT award</w:t>
            </w:r>
          </w:p>
        </w:tc>
      </w:tr>
      <w:tr>
        <w:trPr/>
        <w:tc>
          <w:tcPr>
            <w:tcW w:w="345" w:type="dxa"/>
          </w:tcPr>
          <w:p>
            <w:pPr>
              <w:pStyle w:val="Compact"/>
              <w:jc w:val="left"/>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 for the reasons the OneCare autopsy sets out above.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left"/>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left"/>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cantSplit/>
        </w:trPr>
        <w:tc>
          <w:tcPr>
            <w:tcW w:w="345" w:type="dxa"/>
          </w:tcPr>
          <w:p>
            <w:pPr>
              <w:pStyle w:val="Compact"/>
              <w:jc w:val="left"/>
            </w:pPr>
            <w:r>
              <w:rPr>
                <w:sz w:val="18"/>
              </w:rPr>
              <w:t xml:space="preserve">5</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Five-Stage Execution Sequence. Source: HTR Analysis (2026).</w:t>
      </w:r>
    </w:p>
    <w:p>
      <w:pPr>
        <w:pStyle w:val="Heading2"/>
        <w:pBdr>
          <w:top w:val="single" w:sz="6" w:space="10" w:color="C9D2DF"/>
        </w:pBdr>
      </w:pPr>
      <w:r>
        <w:rPr>
          <w:color w:val="161B22"/>
        </w:rPr>
        <w:t xml:space="preserve">1.12  </w:t>
      </w:r>
      <w:bookmarkStart w:id="1053" w:name="_Toc1052"/>
      <w:r>
        <w:rPr>
          <w:b/>
          <w:bCs/>
          <w:color w:val="161B22"/>
        </w:rPr>
        <w:t xml:space="preserve">Three Sequencing Principles in Practice</w:t>
      </w:r>
      <w:bookmarkEnd w:id="1053"/>
    </w:p>
    <w:p>
      <w:pPr>
        <w:pStyle w:val="FirstParagraph"/>
      </w:pPr>
      <w:r>
        <w:t xml:space="preserve">Correctly applying the five-stage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4" w:name="_Toc1053"/>
      <w:r>
        <w:rPr>
          <w:b/>
          <w:bCs/>
          <w:color w:val="161B22"/>
        </w:rPr>
        <w:t xml:space="preserve">Principle 1: The Critical Path Is Non-Negotiable</w:t>
      </w:r>
      <w:bookmarkEnd w:id="1054"/>
    </w:p>
    <w:p>
      <w:pPr>
        <w:pStyle w:val="FirstParagraph"/>
      </w:pPr>
      <w: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pPr>
      <w: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pPr>
      <w:r>
        <w:t xml:space="preserve">In practice, reading the critical path means identifying which investments are</w:t>
      </w:r>
      <w:r>
        <w:t xml:space="preserve"> </w:t>
      </w:r>
      <w:r>
        <w:rPr>
          <w:i/>
          <w:iCs/>
        </w:rPr>
        <w:t xml:space="preserve">gates</w:t>
      </w:r>
      <w:r>
        <w:t xml:space="preserve">.</w:t>
      </w:r>
    </w:p>
    <w:p>
      <w:pPr>
        <w:pStyle w:val="BodyText"/>
      </w:pPr>
      <w:r>
        <w:t xml:space="preserve">Vermont’s critical-path sequence for hospital global-budget implementation under Act 68 reads as four gates in order:</w:t>
      </w:r>
    </w:p>
    <w:p>
      <w:pPr>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Act 68’s hospital global budgets take effect in FY2028.</w:t>
      </w:r>
    </w:p>
    <w:p>
      <w:pPr>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5" w:name="_Toc1054"/>
      <w:r>
        <w:rPr>
          <w:b/>
          <w:bCs/>
          <w:color w:val="161B22"/>
        </w:rPr>
        <w:t xml:space="preserve">Principle 2: Parallel Work Is Possible — But Not on Critical-Path Dependencies</w:t>
      </w:r>
      <w:bookmarkEnd w:id="1055"/>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6" w:name="_Toc1055"/>
      <w:r>
        <w:rPr>
          <w:b/>
          <w:bCs/>
          <w:color w:val="161B22"/>
        </w:rPr>
        <w:t xml:space="preserve">Principle 3: Equity Is a Design Constraint, Not a Downstream Filter</w:t>
      </w:r>
      <w:bookmarkEnd w:id="1056"/>
    </w:p>
    <w:p>
      <w:pPr>
        <w:pStyle w:val="FirstParagraph"/>
        <w:keepNext w:val="false"/>
      </w:pPr>
      <w: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5">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7">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GO DEEPER — ACADEMY</w:t>
            </w:r>
          </w:p>
          <w:p>
            <w:pPr>
              <w:spacing w:after="60" w:line="264" w:lineRule="auto"/>
            </w:pPr>
            <w:r>
              <w:rPr>
                <w:sz w:val="20"/>
                <w:szCs w:val="20"/>
              </w:rPr>
              <w:t xml:space="preserve">The dependency mechanics behind these three principles are the subject of the Academy’s</w:t>
            </w:r>
            <w:r>
              <w:rPr>
                <w:sz w:val="20"/>
                <w:szCs w:val="20"/>
              </w:rPr>
              <w:t xml:space="preserve"> </w:t>
            </w:r>
            <w:r>
              <w:rPr>
                <w:b/>
                <w:bCs/>
                <w:sz w:val="20"/>
                <w:szCs w:val="20"/>
              </w:rPr>
              <w:t xml:space="preserve">Five Pillars, One Imperative</w:t>
            </w:r>
            <w:r>
              <w:rPr>
                <w:sz w:val="20"/>
                <w:szCs w:val="20"/>
              </w:rPr>
              <w:t xml:space="preserve"> </w:t>
            </w:r>
            <w:r>
              <w:rPr>
                <w:sz w:val="20"/>
                <w:szCs w:val="20"/>
              </w:rPr>
              <w:t xml:space="preserve">course — specifically Lesson 4,</w:t>
            </w:r>
            <w:r>
              <w:rPr>
                <w:sz w:val="20"/>
                <w:szCs w:val="20"/>
              </w:rPr>
              <w:t xml:space="preserve"> </w:t>
            </w:r>
            <w:r>
              <w:rPr>
                <w:sz w:val="20"/>
                <w:szCs w:val="20"/>
              </w:rPr>
              <w:t xml:space="preserve">“Dependency Logic and the Execution Sequence,”</w:t>
            </w:r>
            <w:r>
              <w:rPr>
                <w:sz w:val="20"/>
                <w:szCs w:val="20"/>
              </w:rPr>
              <w:t xml:space="preserve"> </w:t>
            </w:r>
            <w:r>
              <w:rPr>
                <w:sz w:val="20"/>
                <w:szCs w:val="20"/>
              </w:rPr>
              <w:t xml:space="preserve">and Lesson 5,</w:t>
            </w:r>
            <w:r>
              <w:rPr>
                <w:sz w:val="20"/>
                <w:szCs w:val="20"/>
              </w:rPr>
              <w:t xml:space="preserve"> </w:t>
            </w:r>
            <w:r>
              <w:rPr>
                <w:sz w:val="20"/>
                <w:szCs w:val="20"/>
              </w:rPr>
              <w:t xml:space="preserve">“Sequencing Failure — The OneCare Autopsy.”</w:t>
            </w:r>
            <w:r>
              <w:rPr>
                <w:sz w:val="20"/>
                <w:szCs w:val="20"/>
              </w:rPr>
              <w:t xml:space="preserve"> </w:t>
            </w:r>
            <w:r>
              <w:rPr>
                <w:sz w:val="20"/>
                <w:szCs w:val="20"/>
              </w:rPr>
              <w:t xml:space="preserve">Start there before applying the sequencing framework to your own organization or state.</w:t>
            </w:r>
          </w:p>
        </w:tc>
      </w:tr>
    </w:tbl>
    <w:p>
      <w:pPr>
        <w:spacing w:after="120" w:line="240" w:lineRule="auto"/>
        <w:rPr>
          <w:sz w:val="16"/>
        </w:rPr>
      </w:pPr>
    </w:p>
    <w:p>
      <w:pPr>
        <w:pStyle w:val="Heading2"/>
        <w:pBdr>
          <w:top w:val="single" w:sz="6" w:space="10" w:color="C9D2DF"/>
        </w:pBdr>
        <w:keepNext w:val="false"/>
      </w:pPr>
      <w:r>
        <w:rPr>
          <w:color w:val="161B22"/>
        </w:rPr>
        <w:t xml:space="preserve">1.13  </w:t>
      </w:r>
      <w:bookmarkStart w:id="1057" w:name="_Toc1056"/>
      <w:r>
        <w:rPr>
          <w:b/>
          <w:bCs/>
          <w:color w:val="161B22"/>
        </w:rPr>
        <w:t xml:space="preserve">Five Sequencing Decisions That Organizations Get Wrong</w:t>
      </w:r>
      <w:bookmarkEnd w:id="1057"/>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payers or providers stay out; redesigns driven by adverse selection</w:t>
            </w:r>
          </w:p>
        </w:tc>
        <w:tc>
          <w:tcPr>
            <w:tcW w:w="2925" w:type="dxa"/>
          </w:tcPr>
          <w:p>
            <w:pPr>
              <w:pStyle w:val="Compact"/>
              <w:jc w:val="left"/>
            </w:pPr>
            <w:r>
              <w:rPr>
                <w:sz w:val="18"/>
              </w:rPr>
              <w:t xml:space="preserve">OneCare Vermont (voluntary architecture normalized over roughly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Act 68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RBP finalization, and the Strategic Plan at once — capacity Oliver Wyman flagged as insufficient</w:t>
            </w:r>
          </w:p>
        </w:tc>
        <w:tc>
          <w:tcPr>
            <w:tcW w:w="1860" w:type="dxa"/>
          </w:tcPr>
          <w:p>
            <w:pPr>
              <w:pStyle w:val="Compact"/>
              <w:jc w:val="left"/>
            </w:pPr>
            <w:r>
              <w:rPr>
                <w:sz w:val="18"/>
              </w:rPr>
              <w:t xml:space="preserve">RHRC builds hospital-level capacity before global-budget accountability takes full effect</w:t>
            </w:r>
          </w:p>
        </w:tc>
      </w:tr>
    </w:tbl>
    <w:p>
      <w:pPr>
        <w:pStyle w:val="Caption"/>
        <w:spacing w:before="120"/>
      </w:pPr>
      <w:r>
        <w:rPr>
          <w:i/>
          <w:iCs/>
        </w:rPr>
        <w:t xml:space="preserve">Figure 1.7 — Five sequencing errors: the diagnostic pattern, early-warning signals, and correction for each. Sources: HTR analysis; Vermont experience; Oliver Wyman Act 167 Report.</w:t>
      </w:r>
    </w:p>
    <w:p>
      <w:pPr>
        <w:pStyle w:val="Heading2"/>
        <w:pBdr>
          <w:top w:val="single" w:sz="6" w:space="10" w:color="C9D2DF"/>
        </w:pBdr>
        <w:keepNext w:val="false"/>
      </w:pPr>
      <w:r>
        <w:rPr>
          <w:color w:val="161B22"/>
        </w:rPr>
        <w:t xml:space="preserve">1.14  </w:t>
      </w:r>
      <w:bookmarkStart w:id="1058" w:name="_Toc1057"/>
      <w:r>
        <w:rPr>
          <w:b/>
          <w:bCs/>
          <w:color w:val="161B22"/>
        </w:rPr>
        <w:t xml:space="preserve">Vermont’s Implementation Timeline: Reading the Sequence in Statutory Deadlines</w:t>
      </w:r>
      <w:bookmarkEnd w:id="1058"/>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140"/>
        <w:gridCol w:w="1185"/>
        <w:gridCol w:w="675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185" w:type="dxa"/>
          </w:tcPr>
          <w:p>
            <w:pPr>
              <w:pStyle w:val="Compact"/>
              <w:jc w:val="left"/>
            </w:pPr>
            <w:r>
              <w:rPr>
                <w:b/>
                <w:color w:val="FFFFFF"/>
                <w:sz w:val="18"/>
              </w:rPr>
              <w:t xml:space="preserve">Status (timeframe)</w:t>
            </w:r>
          </w:p>
        </w:tc>
        <w:tc>
          <w:tcPr>
            <w:shd w:val="clear" w:color="auto" w:fill="1B3A6B"/>
            <w:tcW w:w="6750" w:type="dxa"/>
          </w:tcPr>
          <w:p>
            <w:pPr>
              <w:pStyle w:val="Compact"/>
              <w:jc w:val="left"/>
            </w:pPr>
            <w:r>
              <w:rPr>
                <w:b/>
                <w:color w:val="FFFFFF"/>
                <w:sz w:val="18"/>
              </w:rPr>
              <w:t xml:space="preserve">Where it stands</w:t>
            </w:r>
          </w:p>
        </w:tc>
      </w:tr>
      <w:tr>
        <w:trPr>
          <w:cantSplit/>
        </w:trPr>
        <w:tc>
          <w:tcPr>
            <w:tcW w:w="1140" w:type="dxa"/>
          </w:tcPr>
          <w:p>
            <w:pPr>
              <w:pStyle w:val="Compact"/>
              <w:jc w:val="left"/>
            </w:pPr>
            <w:r>
              <w:rPr>
                <w:b/>
                <w:bCs/>
                <w:sz w:val="18"/>
              </w:rPr>
              <w:t xml:space="preserve">Policy</w:t>
            </w:r>
          </w:p>
        </w:tc>
        <w:tc>
          <w:tcPr>
            <w:tcW w:w="1185" w:type="dxa"/>
          </w:tcPr>
          <w:p>
            <w:pPr>
              <w:pStyle w:val="Compact"/>
              <w:jc w:val="left"/>
            </w:pPr>
            <w:r>
              <w:rPr>
                <w:sz w:val="18"/>
              </w:rPr>
              <w:t xml:space="preserve">Completed (2022–2025)</w:t>
            </w:r>
          </w:p>
        </w:tc>
        <w:tc>
          <w:tcPr>
            <w:tcW w:w="6750" w:type="dxa"/>
          </w:tcPr>
          <w:p>
            <w:pPr>
              <w:pStyle w:val="Compact"/>
              <w:jc w:val="left"/>
            </w:pPr>
            <w:r>
              <w:rPr>
                <w:sz w:val="18"/>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p>
        </w:tc>
      </w:tr>
      <w:tr>
        <w:trPr/>
        <w:tc>
          <w:tcPr>
            <w:tcW w:w="1140" w:type="dxa"/>
          </w:tcPr>
          <w:p>
            <w:pPr>
              <w:pStyle w:val="Compact"/>
              <w:jc w:val="left"/>
            </w:pPr>
            <w:r>
              <w:rPr>
                <w:b/>
                <w:bCs/>
                <w:sz w:val="18"/>
              </w:rPr>
              <w:t xml:space="preserve">Technology</w:t>
            </w:r>
          </w:p>
        </w:tc>
        <w:tc>
          <w:tcPr>
            <w:tcW w:w="1185" w:type="dxa"/>
          </w:tcPr>
          <w:p>
            <w:pPr>
              <w:pStyle w:val="Compact"/>
              <w:jc w:val="left"/>
            </w:pPr>
            <w:r>
              <w:rPr>
                <w:sz w:val="18"/>
              </w:rPr>
              <w:t xml:space="preserve">In progress (2025–2026)</w:t>
            </w:r>
          </w:p>
        </w:tc>
        <w:tc>
          <w:tcPr>
            <w:tcW w:w="67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140" w:type="dxa"/>
          </w:tcPr>
          <w:p>
            <w:pPr>
              <w:pStyle w:val="Compact"/>
              <w:jc w:val="left"/>
            </w:pPr>
            <w:r>
              <w:rPr>
                <w:b/>
                <w:bCs/>
                <w:sz w:val="18"/>
              </w:rPr>
              <w:t xml:space="preserve">Economics</w:t>
            </w:r>
          </w:p>
        </w:tc>
        <w:tc>
          <w:tcPr>
            <w:tcW w:w="1185" w:type="dxa"/>
          </w:tcPr>
          <w:p>
            <w:pPr>
              <w:pStyle w:val="Compact"/>
              <w:jc w:val="left"/>
            </w:pPr>
            <w:r>
              <w:rPr>
                <w:sz w:val="18"/>
              </w:rPr>
              <w:t xml:space="preserve">Staged (2027–2028)</w:t>
            </w:r>
          </w:p>
        </w:tc>
        <w:tc>
          <w:tcPr>
            <w:tcW w:w="67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140" w:type="dxa"/>
          </w:tcPr>
          <w:p>
            <w:pPr>
              <w:pStyle w:val="Compact"/>
              <w:jc w:val="left"/>
            </w:pPr>
            <w:r>
              <w:rPr>
                <w:b/>
                <w:bCs/>
                <w:sz w:val="18"/>
              </w:rPr>
              <w:t xml:space="preserve">Clinical</w:t>
            </w:r>
          </w:p>
        </w:tc>
        <w:tc>
          <w:tcPr>
            <w:tcW w:w="1185" w:type="dxa"/>
          </w:tcPr>
          <w:p>
            <w:pPr>
              <w:pStyle w:val="Compact"/>
              <w:jc w:val="left"/>
            </w:pPr>
            <w:r>
              <w:rPr>
                <w:sz w:val="18"/>
              </w:rPr>
              <w:t xml:space="preserve">Parallel (2024–2028)</w:t>
            </w:r>
          </w:p>
        </w:tc>
        <w:tc>
          <w:tcPr>
            <w:tcW w:w="67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cantSplit/>
        </w:trPr>
        <w:tc>
          <w:tcPr>
            <w:tcW w:w="1140" w:type="dxa"/>
          </w:tcPr>
          <w:p>
            <w:pPr>
              <w:pStyle w:val="Compact"/>
              <w:jc w:val="left"/>
            </w:pPr>
            <w:r>
              <w:rPr>
                <w:b/>
                <w:bCs/>
                <w:sz w:val="18"/>
              </w:rPr>
              <w:t xml:space="preserve">Operations</w:t>
            </w:r>
          </w:p>
        </w:tc>
        <w:tc>
          <w:tcPr>
            <w:tcW w:w="1185" w:type="dxa"/>
          </w:tcPr>
          <w:p>
            <w:pPr>
              <w:pStyle w:val="Compact"/>
              <w:jc w:val="left"/>
            </w:pPr>
            <w:r>
              <w:rPr>
                <w:sz w:val="18"/>
              </w:rPr>
              <w:t xml:space="preserve">Building (2025–2028)</w:t>
            </w:r>
          </w:p>
        </w:tc>
        <w:tc>
          <w:tcPr>
            <w:tcW w:w="67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bl>
    <w:p>
      <w:pPr>
        <w:pStyle w:val="Caption"/>
        <w:spacing w:before="120"/>
      </w:pPr>
      <w:r>
        <w:rPr>
          <w:i/>
          <w:iCs/>
        </w:rPr>
        <w:t xml:space="preserve">Figure 1.8 — Vermont’s transformation timeline, by pillar. Sources: HTR Analysis (2026); Act 68 of 2025; AHEAD State Agreement.</w:t>
      </w:r>
    </w:p>
    <w:p>
      <w:pPr>
        <w:pStyle w:val="Heading3"/>
      </w:pPr>
      <w:r>
        <w:rPr>
          <w:color w:val="161B22"/>
        </w:rPr>
        <w:t xml:space="preserve">1.14.1  </w:t>
      </w:r>
      <w:bookmarkStart w:id="1059" w:name="_Toc1058"/>
      <w:r>
        <w:rPr>
          <w:b/>
          <w:bCs/>
          <w:color w:val="161B22"/>
        </w:rPr>
        <w:t xml:space="preserve">The Current Vulnerability: The Technology-Economics Race</w:t>
      </w:r>
      <w:bookmarkEnd w:id="1059"/>
    </w:p>
    <w:p>
      <w:pPr>
        <w:pStyle w:val="FirstParagraph"/>
      </w:pPr>
      <w:r>
        <w:t xml:space="preserve">Vermont’s most significant current sequencing risk is the gap between the FY2028 start of Act 68’s hospital global budgets and the analytics-capability deployment timeline. Vermont hospitals will begin bearing global-budget financial accountability in January 2028. If the AHS-GMCB analytics capability is not fully operational by that date, hospitals will be making financial management decisions based on incomplete or lagged data for the first year of full Act 68 global-budget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0" w:name="_Toc1059"/>
      <w:r>
        <w:rPr>
          <w:b/>
          <w:bCs/>
          <w:color w:val="161B22"/>
        </w:rPr>
        <w:t xml:space="preserve">EXPLORE ON THE PLATFORM</w:t>
      </w:r>
      <w:bookmarkEnd w:id="1060"/>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Trace the 9 dependency relationships between the five pillars and see which downstream pillars a given gap disables</w:t>
            </w:r>
          </w:p>
        </w:tc>
        <w:tc>
          <w:tcPr>
            <w:tcW w:w="2736" w:type="dxa"/>
          </w:tcPr>
          <w:p>
            <w:pPr>
              <w:pStyle w:val="Compact"/>
              <w:jc w:val="left"/>
            </w:pPr>
            <w:r>
              <w:rPr>
                <w:b/>
                <w:bCs/>
                <w:sz w:val="18"/>
              </w:rPr>
              <w:t xml:space="preserve">Five-Pillar Map</w:t>
            </w:r>
            <w:r>
              <w:rPr>
                <w:sz w:val="18"/>
              </w:rPr>
              <w:t xml:space="preserve"> </w:t>
            </w:r>
            <w:r>
              <w:rPr>
                <w:sz w:val="18"/>
              </w:rPr>
              <w:t xml:space="preserve">—</w:t>
            </w:r>
            <w:r>
              <w:rPr>
                <w:sz w:val="18"/>
              </w:rPr>
              <w:t xml:space="preserve"> </w:t>
            </w:r>
            <w:r>
              <w:rPr>
                <w:rStyle w:val="VerbatimChar"/>
                <w:sz w:val="18"/>
              </w:rPr>
              <w:t xml:space="preserve">/about/framework</w:t>
            </w:r>
          </w:p>
        </w:tc>
        <w:tc>
          <w:tcPr>
            <w:tcW w:w="3023" w:type="dxa"/>
          </w:tcPr>
          <w:p>
            <w:pPr>
              <w:pStyle w:val="Compact"/>
              <w:jc w:val="left"/>
            </w:pPr>
            <w:r>
              <w:rPr>
                <w:sz w:val="18"/>
              </w:rPr>
              <w:t xml:space="preserve">Click any pillar to highlight what it enables and what it depends on. Confirm visually why Technology sits upstream of Economics.</w:t>
            </w:r>
          </w:p>
        </w:tc>
      </w:tr>
      <w:tr>
        <w:trPr/>
        <w:tc>
          <w:tcPr>
            <w:tcW w:w="3312" w:type="dxa"/>
          </w:tcPr>
          <w:p>
            <w:pPr>
              <w:pStyle w:val="Compact"/>
              <w:jc w:val="left"/>
            </w:pPr>
            <w:r>
              <w:rPr>
                <w:sz w:val="18"/>
              </w:rPr>
              <w:t xml:space="preserve">Score a real organization or state across all five pillars and watch the composite readiness number respond</w:t>
            </w:r>
          </w:p>
        </w:tc>
        <w:tc>
          <w:tcPr>
            <w:tcW w:w="2736" w:type="dxa"/>
          </w:tcPr>
          <w:p>
            <w:pPr>
              <w:pStyle w:val="Compact"/>
              <w:jc w:val="left"/>
            </w:pPr>
            <w:hyperlink r:id="rId45">
              <w:r>
                <w:rPr>
                  <w:rStyle w:val="Hyperlink"/>
                  <w:b/>
                  <w:bCs/>
                </w:rPr>
                <w:t xml:space="preserve">HTR Simulator</w:t>
              </w:r>
            </w:hyperlink>
          </w:p>
        </w:tc>
        <w:tc>
          <w:tcPr>
            <w:tcW w:w="3023"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3312" w:type="dxa"/>
          </w:tcPr>
          <w:p>
            <w:pPr>
              <w:pStyle w:val="Compact"/>
              <w:jc w:val="left"/>
            </w:pPr>
            <w:r>
              <w:rPr>
                <w:sz w:val="18"/>
              </w:rPr>
              <w:t xml:space="preserve">Quantify where reform is losing momentum and which pillar is the binding constraint</w:t>
            </w:r>
          </w:p>
        </w:tc>
        <w:tc>
          <w:tcPr>
            <w:tcW w:w="2736" w:type="dxa"/>
          </w:tcPr>
          <w:p>
            <w:pPr>
              <w:pStyle w:val="Compact"/>
              <w:jc w:val="left"/>
            </w:pPr>
            <w:hyperlink r:id="rId87">
              <w:r>
                <w:rPr>
                  <w:rStyle w:val="Hyperlink"/>
                  <w:b/>
                  <w:bCs/>
                </w:rPr>
                <w:t xml:space="preserve">Transformation Friction Index</w:t>
              </w:r>
            </w:hyperlink>
          </w:p>
        </w:tc>
        <w:tc>
          <w:tcPr>
            <w:tcW w:w="3023"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3312" w:type="dxa"/>
          </w:tcPr>
          <w:p>
            <w:pPr>
              <w:pStyle w:val="Compact"/>
              <w:jc w:val="left"/>
            </w:pPr>
            <w:r>
              <w:rPr>
                <w:sz w:val="18"/>
              </w:rPr>
              <w:t xml:space="preserve">Model how one pillar’s shortfall propagates through the other four over time</w:t>
            </w:r>
          </w:p>
        </w:tc>
        <w:tc>
          <w:tcPr>
            <w:tcW w:w="2736"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3023"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1.9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5">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line="240" w:lineRule="auto"/>
        <w:rPr>
          <w:sz w:val="16"/>
        </w:rPr>
      </w:pPr>
    </w:p>
    <w:p>
      <w:pPr>
        <w:pStyle w:val="Heading2"/>
        <w:pBdr>
          <w:top w:val="single" w:sz="6" w:space="10" w:color="C9D2DF"/>
        </w:pBdr>
        <w:keepNext w:val="false"/>
      </w:pPr>
      <w:r>
        <w:rPr>
          <w:color w:val="161B22"/>
        </w:rPr>
        <w:t xml:space="preserve">1.16  </w:t>
      </w:r>
      <w:bookmarkStart w:id="1061" w:name="_Toc1060"/>
      <w:r>
        <w:rPr>
          <w:b/>
          <w:bCs/>
          <w:color w:val="161B22"/>
        </w:rPr>
        <w:t xml:space="preserve">GO DEEPER — ACADEMY</w:t>
      </w:r>
      <w:bookmarkEnd w:id="1061"/>
    </w:p>
    <w:p>
      <w:pPr>
        <w:pStyle w:val="FirstParagraph"/>
        <w:keepNext w:val="false"/>
      </w:pPr>
      <w:r>
        <w:t xml:space="preserve">This chapter is the subject of Track 1,</w:t>
      </w:r>
      <w:r>
        <w:t xml:space="preserve"> </w:t>
      </w:r>
      <w:r>
        <w:t xml:space="preserve">“Foundations: The Framework,”</w:t>
      </w:r>
      <w:r>
        <w:t xml:space="preserve"> </w:t>
      </w:r>
      <w:r>
        <w:t xml:space="preserve">in the Academy’s</w:t>
      </w:r>
      <w:r>
        <w:t xml:space="preserve"> </w:t>
      </w:r>
      <w:r>
        <w:rPr>
          <w:b/>
          <w:bCs/>
        </w:rPr>
        <w:t xml:space="preserve">Five Pillars, One Imperative</w:t>
      </w:r>
      <w:r>
        <w:t xml:space="preserve"> </w:t>
      </w:r>
      <w:r>
        <w:t xml:space="preserve">course:</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Lesson</w:t>
            </w:r>
          </w:p>
        </w:tc>
        <w:tc>
          <w:tcPr>
            <w:shd w:val="clear" w:color="auto" w:fill="1B3A6B"/>
            <w:tcW w:w="4903" w:type="dxa"/>
          </w:tcPr>
          <w:p>
            <w:pPr>
              <w:pStyle w:val="Compact"/>
              <w:jc w:val="left"/>
            </w:pPr>
            <w:r>
              <w:rPr>
                <w:b/>
                <w:color w:val="FFFFFF"/>
                <w:sz w:val="18"/>
              </w:rPr>
              <w:t xml:space="preserve">What it covers</w:t>
            </w:r>
          </w:p>
        </w:tc>
      </w:tr>
      <w:tr>
        <w:trPr>
          <w:cantSplit/>
        </w:trPr>
        <w:tc>
          <w:tcPr>
            <w:tcW w:w="4168" w:type="dxa"/>
          </w:tcPr>
          <w:p>
            <w:pPr>
              <w:pStyle w:val="Compact"/>
              <w:jc w:val="left"/>
            </w:pPr>
            <w:r>
              <w:rPr>
                <w:sz w:val="18"/>
              </w:rPr>
              <w:t xml:space="preserve">1 — Why Single-Pillar Thinking Fails</w:t>
            </w:r>
          </w:p>
        </w:tc>
        <w:tc>
          <w:tcPr>
            <w:tcW w:w="4903" w:type="dxa"/>
          </w:tcPr>
          <w:p>
            <w:pPr>
              <w:pStyle w:val="Compact"/>
              <w:jc w:val="left"/>
            </w:pPr>
            <w:r>
              <w:rPr>
                <w:sz w:val="18"/>
              </w:rPr>
              <w:t xml:space="preserve">The CMMI record and why isolated interventions run into the constraints the other pillars create</w:t>
            </w:r>
          </w:p>
        </w:tc>
      </w:tr>
      <w:tr>
        <w:trPr/>
        <w:tc>
          <w:tcPr>
            <w:tcW w:w="4168" w:type="dxa"/>
          </w:tcPr>
          <w:p>
            <w:pPr>
              <w:pStyle w:val="Compact"/>
              <w:jc w:val="left"/>
            </w:pPr>
            <w:r>
              <w:rPr>
                <w:sz w:val="18"/>
              </w:rPr>
              <w:t xml:space="preserve">2 — The Five Pillars and Their Diagnostic Questions</w:t>
            </w:r>
          </w:p>
        </w:tc>
        <w:tc>
          <w:tcPr>
            <w:tcW w:w="4903" w:type="dxa"/>
          </w:tcPr>
          <w:p>
            <w:pPr>
              <w:pStyle w:val="Compact"/>
              <w:jc w:val="left"/>
            </w:pPr>
            <w:r>
              <w:rPr>
                <w:sz w:val="18"/>
              </w:rPr>
              <w:t xml:space="preserve">The five-question framework this chapter defines</w:t>
            </w:r>
          </w:p>
        </w:tc>
      </w:tr>
      <w:tr>
        <w:trPr/>
        <w:tc>
          <w:tcPr>
            <w:tcW w:w="4168" w:type="dxa"/>
          </w:tcPr>
          <w:p>
            <w:pPr>
              <w:pStyle w:val="Compact"/>
              <w:jc w:val="left"/>
            </w:pPr>
            <w:r>
              <w:rPr>
                <w:sz w:val="18"/>
              </w:rPr>
              <w:t xml:space="preserve">3 — The Equity Imperative: Is It Just?</w:t>
            </w:r>
          </w:p>
        </w:tc>
        <w:tc>
          <w:tcPr>
            <w:tcW w:w="4903" w:type="dxa"/>
          </w:tcPr>
          <w:p>
            <w:pPr>
              <w:pStyle w:val="Compact"/>
              <w:jc w:val="left"/>
            </w:pPr>
            <w:r>
              <w:rPr>
                <w:sz w:val="18"/>
              </w:rPr>
              <w:t xml:space="preserve">Why equity is a cross-cutting test, not a sixth pillar</w:t>
            </w:r>
          </w:p>
        </w:tc>
      </w:tr>
      <w:tr>
        <w:trPr/>
        <w:tc>
          <w:tcPr>
            <w:tcW w:w="4168" w:type="dxa"/>
          </w:tcPr>
          <w:p>
            <w:pPr>
              <w:pStyle w:val="Compact"/>
              <w:jc w:val="left"/>
            </w:pPr>
            <w:r>
              <w:rPr>
                <w:sz w:val="18"/>
              </w:rPr>
              <w:t xml:space="preserve">4 — Dependency Logic and the Execution Sequence</w:t>
            </w:r>
          </w:p>
        </w:tc>
        <w:tc>
          <w:tcPr>
            <w:tcW w:w="4903" w:type="dxa"/>
          </w:tcPr>
          <w:p>
            <w:pPr>
              <w:pStyle w:val="Compact"/>
              <w:jc w:val="left"/>
            </w:pPr>
            <w:r>
              <w:rPr>
                <w:sz w:val="18"/>
              </w:rPr>
              <w:t xml:space="preserve">The dependency matrix and the ENABLES/REQUIRES/DRIVES/⟲ vocabulary</w:t>
            </w:r>
          </w:p>
        </w:tc>
      </w:tr>
      <w:tr>
        <w:trPr>
          <w:cantSplit/>
        </w:trPr>
        <w:tc>
          <w:tcPr>
            <w:tcW w:w="4168" w:type="dxa"/>
          </w:tcPr>
          <w:p>
            <w:pPr>
              <w:pStyle w:val="Compact"/>
              <w:jc w:val="left"/>
            </w:pPr>
            <w:r>
              <w:rPr>
                <w:sz w:val="18"/>
              </w:rPr>
              <w:t xml:space="preserve">5 — Sequencing Failure — The OneCare Autopsy</w:t>
            </w:r>
          </w:p>
        </w:tc>
        <w:tc>
          <w:tcPr>
            <w:tcW w:w="4903" w:type="dxa"/>
          </w:tcPr>
          <w:p>
            <w:pPr>
              <w:pStyle w:val="Compact"/>
              <w:jc w:val="left"/>
            </w:pPr>
            <w:r>
              <w:rPr>
                <w:sz w:val="18"/>
              </w:rPr>
              <w:t xml:space="preserve">The three-part failure this chapter opens with, worked in full</w:t>
            </w:r>
          </w:p>
        </w:tc>
      </w:tr>
    </w:tbl>
    <w:p>
      <w:pPr>
        <w:pStyle w:val="Caption"/>
        <w:spacing w:before="120"/>
      </w:pPr>
      <w:r>
        <w:rPr>
          <w:i/>
          <w:iCs/>
        </w:rPr>
        <w:t xml:space="preserve">Figure 1.10 — Academy Track 1 lessons mapped to this chapter.</w:t>
      </w:r>
    </w:p>
    <w:p>
      <w:pPr>
        <w:pStyle w:val="BodyText"/>
      </w:pPr>
      <w:r>
        <w:t xml:space="preserve">Start at</w:t>
      </w:r>
      <w:r>
        <w:t xml:space="preserve"> </w:t>
      </w:r>
      <w:hyperlink r:id="rId22">
        <w:r>
          <w:rPr>
            <w:rStyle w:val="Hyperlink"/>
          </w:rPr>
          <w:t xml:space="preserve">/academy</w:t>
        </w:r>
      </w:hyperlink>
      <w:r>
        <w:t xml:space="preserve"> </w:t>
      </w:r>
      <w:r>
        <w:t xml:space="preserve">— Track 1 is built to be worked alongside this chapter, not after it.</w:t>
      </w:r>
    </w:p>
    <w:p>
      <w:pPr>
        <w:pStyle w:val="Heading2"/>
        <w:pBdr>
          <w:top w:val="single" w:sz="6" w:space="10" w:color="C9D2DF"/>
        </w:pBdr>
      </w:pPr>
      <w:r>
        <w:rPr>
          <w:color w:val="161B22"/>
        </w:rPr>
        <w:t xml:space="preserve">1.17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1.18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t xml:space="preserve"> </w:t>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t xml:space="preserve"> </w:t>
      </w:r>
      <w:r>
        <w:rPr>
          <w:rFonts w:ascii="Calibri" w:hAnsi="Calibri"/>
          <w:color w:val="000000"/>
          <w:sz w:val="18"/>
        </w:rPr>
        <w:t xml:space="preserve">The order in which the five pillars must be built: Policy, Technology, Economics, Clinical,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t xml:space="preserve"> </w:t>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t xml:space="preserve"> </w:t>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t xml:space="preserve"> </w:t>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t xml:space="preserve"> </w:t>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t xml:space="preserve"> </w:t>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t xml:space="preserve"> </w:t>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t xml:space="preserve"> </w:t>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t xml:space="preserve"> </w:t>
      </w:r>
      <w:r>
        <w:rPr>
          <w:rFonts w:ascii="Calibri" w:hAnsi="Calibri"/>
          <w:color w:val="000000"/>
          <w:sz w:val="18"/>
        </w:rPr>
        <w:t xml:space="preserve">The highest-ROI pre-global-budget analytics investment: completing hierarchical condition category documentation for all Medicare-attributed patients before global budgets take effect.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t xml:space="preserve"> </w:t>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t xml:space="preserve"> </w:t>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Gobeille v. Liberty Mutual Ins. Co.</w:t>
      </w:r>
      <w:r>
        <w:rPr>
          <w:rFonts w:ascii="Garamond" w:hAnsi="Garamond" w:cs="Garamond"/>
          <w:rFonts w:ascii="Garamond" w:hAnsi="Garamond"/>
          <w:b w:val="0"/>
          <w:i/>
          <w:color w:val="404040"/>
          <w:sz w:val="18"/>
        </w:rPr>
        <w:t xml:space="preserve">, 577 U.S. 312 (2016); VTDigger,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“Vermont’s largest health insurer steps away from OneCare”</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(Dec. 20, 2022); VTDigger,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“Vermont’s 8-year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‘all-payer’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health care experiment sunset at the end of 2025. What did it teach us?”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 13, 2026); Vermont State Auditor performance audits of OneCare Vermont (2019, 2021).</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FirstParagraph"/>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spacing w:before="0" w:after="0" w:line="240" w:lineRule="auto"/>
              <w:jc w:val="left"/>
            </w:pPr>
            <w:r>
              <w:rPr>
                <w:b/>
                <w:color w:val="FFFFFF"/>
                <w:sz w:val="17"/>
              </w:rPr>
              <w:t xml:space="preserve">Year</w:t>
            </w:r>
          </w:p>
        </w:tc>
        <w:tc>
          <w:tcPr>
            <w:shd w:val="clear" w:color="auto" w:fill="1B3A6B"/>
            <w:tcW w:w="2752" w:type="dxa"/>
          </w:tcPr>
          <w:p>
            <w:pPr>
              <w:pStyle w:val="Compact"/>
              <w:spacing w:before="0" w:after="0" w:line="240" w:lineRule="auto"/>
              <w:jc w:val="left"/>
            </w:pPr>
            <w:r>
              <w:rPr>
                <w:b/>
                <w:color w:val="FFFFFF"/>
                <w:sz w:val="17"/>
              </w:rPr>
              <w:t xml:space="preserve">Milestone</w:t>
            </w:r>
          </w:p>
        </w:tc>
        <w:tc>
          <w:tcPr>
            <w:shd w:val="clear" w:color="auto" w:fill="1B3A6B"/>
            <w:tcW w:w="1501" w:type="dxa"/>
          </w:tcPr>
          <w:p>
            <w:pPr>
              <w:pStyle w:val="Compact"/>
              <w:spacing w:before="0" w:after="0" w:line="240" w:lineRule="auto"/>
              <w:jc w:val="left"/>
            </w:pPr>
            <w:r>
              <w:rPr>
                <w:b/>
                <w:color w:val="FFFFFF"/>
                <w:sz w:val="17"/>
              </w:rPr>
              <w:t xml:space="preserve">Pillar</w:t>
            </w:r>
          </w:p>
        </w:tc>
        <w:tc>
          <w:tcPr>
            <w:shd w:val="clear" w:color="auto" w:fill="1B3A6B"/>
            <w:tcW w:w="3754" w:type="dxa"/>
          </w:tcPr>
          <w:p>
            <w:pPr>
              <w:pStyle w:val="Compact"/>
              <w:spacing w:before="0" w:after="0" w:line="240" w:lineRule="auto"/>
              <w:jc w:val="left"/>
            </w:pPr>
            <w:r>
              <w:rPr>
                <w:b/>
                <w:color w:val="FFFFFF"/>
                <w:sz w:val="17"/>
              </w:rPr>
              <w:t xml:space="preserve">Significance</w:t>
            </w:r>
          </w:p>
        </w:tc>
      </w:tr>
      <w:tr>
        <w:trPr>
          <w:cantSplit/>
        </w:trPr>
        <w:tc>
          <w:tcPr>
            <w:tcW w:w="1063" w:type="dxa"/>
          </w:tcPr>
          <w:p>
            <w:pPr>
              <w:pStyle w:val="Compact"/>
              <w:spacing w:before="0" w:after="0" w:line="240" w:lineRule="auto"/>
              <w:jc w:val="left"/>
            </w:pPr>
            <w:r>
              <w:rPr>
                <w:sz w:val="17"/>
              </w:rPr>
              <w:t xml:space="preserve">2022</w:t>
            </w:r>
          </w:p>
        </w:tc>
        <w:tc>
          <w:tcPr>
            <w:tcW w:w="2752" w:type="dxa"/>
          </w:tcPr>
          <w:p>
            <w:pPr>
              <w:pStyle w:val="Compact"/>
              <w:spacing w:before="0" w:after="0" w:line="240" w:lineRule="auto"/>
              <w:jc w:val="left"/>
            </w:pPr>
            <w:r>
              <w:rPr>
                <w:sz w:val="17"/>
              </w:rPr>
              <w:t xml:space="preserve">Act 167 of 2022 enacted</w:t>
            </w:r>
          </w:p>
        </w:tc>
        <w:tc>
          <w:tcPr>
            <w:tcW w:w="1501" w:type="dxa"/>
          </w:tcPr>
          <w:p>
            <w:pPr>
              <w:pStyle w:val="Compact"/>
              <w:spacing w:before="0" w:after="0" w:line="240" w:lineRule="auto"/>
              <w:jc w:val="left"/>
            </w:pPr>
            <w:r>
              <w:rPr>
                <w:sz w:val="17"/>
              </w:rPr>
              <w:t xml:space="preserve">Policy</w:t>
            </w:r>
          </w:p>
        </w:tc>
        <w:tc>
          <w:tcPr>
            <w:tcW w:w="3754" w:type="dxa"/>
          </w:tcPr>
          <w:p>
            <w:pPr>
              <w:pStyle w:val="Compact"/>
              <w:spacing w:before="0" w:after="0" w:line="240" w:lineRule="auto"/>
              <w:jc w:val="left"/>
            </w:pPr>
            <w:r>
              <w:rPr>
                <w:sz w:val="17"/>
              </w:rPr>
              <w:t xml:space="preserve">Commissioned Oliver Wyman analysis; mandated system-wide diagnostic</w:t>
            </w:r>
          </w:p>
        </w:tc>
      </w:tr>
      <w:tr>
        <w:trPr/>
        <w:tc>
          <w:tcPr>
            <w:tcW w:w="1063" w:type="dxa"/>
          </w:tcPr>
          <w:p>
            <w:pPr>
              <w:pStyle w:val="Compact"/>
              <w:spacing w:before="0" w:after="0" w:line="240" w:lineRule="auto"/>
              <w:jc w:val="left"/>
            </w:pPr>
            <w:r>
              <w:rPr>
                <w:sz w:val="17"/>
              </w:rPr>
              <w:t xml:space="preserve">2023</w:t>
            </w:r>
          </w:p>
        </w:tc>
        <w:tc>
          <w:tcPr>
            <w:tcW w:w="2752" w:type="dxa"/>
          </w:tcPr>
          <w:p>
            <w:pPr>
              <w:pStyle w:val="Compact"/>
              <w:spacing w:before="0" w:after="0" w:line="240" w:lineRule="auto"/>
              <w:jc w:val="left"/>
            </w:pPr>
            <w:r>
              <w:rPr>
                <w:sz w:val="17"/>
              </w:rPr>
              <w:t xml:space="preserve">Act 51 of 2023 enacted</w:t>
            </w:r>
          </w:p>
        </w:tc>
        <w:tc>
          <w:tcPr>
            <w:tcW w:w="1501" w:type="dxa"/>
          </w:tcPr>
          <w:p>
            <w:pPr>
              <w:pStyle w:val="Compact"/>
              <w:spacing w:before="0" w:after="0" w:line="240" w:lineRule="auto"/>
              <w:jc w:val="left"/>
            </w:pPr>
            <w:r>
              <w:rPr>
                <w:sz w:val="17"/>
              </w:rPr>
              <w:t xml:space="preserve">Policy</w:t>
            </w:r>
          </w:p>
        </w:tc>
        <w:tc>
          <w:tcPr>
            <w:tcW w:w="3754" w:type="dxa"/>
          </w:tcPr>
          <w:p>
            <w:pPr>
              <w:pStyle w:val="Compact"/>
              <w:spacing w:before="0" w:after="0" w:line="240" w:lineRule="auto"/>
              <w:jc w:val="left"/>
            </w:pPr>
            <w:r>
              <w:rPr>
                <w:sz w:val="17"/>
              </w:rPr>
              <w:t xml:space="preserve">Authorized AHS hospital transformation planning pilots with up to four hospitals (amending Act 167); Medicaid and DVHA program changes</w:t>
            </w:r>
          </w:p>
        </w:tc>
      </w:tr>
      <w:tr>
        <w:trPr/>
        <w:tc>
          <w:tcPr>
            <w:tcW w:w="1063" w:type="dxa"/>
          </w:tcPr>
          <w:p>
            <w:pPr>
              <w:pStyle w:val="Compact"/>
              <w:spacing w:before="0" w:after="0" w:line="240" w:lineRule="auto"/>
              <w:jc w:val="left"/>
            </w:pPr>
            <w:r>
              <w:rPr>
                <w:sz w:val="17"/>
              </w:rPr>
              <w:t xml:space="preserve">Aug 2024</w:t>
            </w:r>
          </w:p>
        </w:tc>
        <w:tc>
          <w:tcPr>
            <w:tcW w:w="2752" w:type="dxa"/>
          </w:tcPr>
          <w:p>
            <w:pPr>
              <w:pStyle w:val="Compact"/>
              <w:spacing w:before="0" w:after="0" w:line="240" w:lineRule="auto"/>
              <w:jc w:val="left"/>
            </w:pPr>
            <w:r>
              <w:rPr>
                <w:sz w:val="17"/>
              </w:rPr>
              <w:t xml:space="preserve">Oliver Wyman Act 167 Report</w:t>
            </w:r>
          </w:p>
        </w:tc>
        <w:tc>
          <w:tcPr>
            <w:tcW w:w="1501" w:type="dxa"/>
          </w:tcPr>
          <w:p>
            <w:pPr>
              <w:pStyle w:val="Compact"/>
              <w:spacing w:before="0" w:after="0" w:line="240" w:lineRule="auto"/>
              <w:jc w:val="left"/>
            </w:pPr>
            <w:r>
              <w:rPr>
                <w:sz w:val="17"/>
              </w:rPr>
              <w:t xml:space="preserve">Policy / Economics</w:t>
            </w:r>
          </w:p>
        </w:tc>
        <w:tc>
          <w:tcPr>
            <w:tcW w:w="3754" w:type="dxa"/>
          </w:tcPr>
          <w:p>
            <w:pPr>
              <w:pStyle w:val="Compact"/>
              <w:spacing w:before="0" w:after="0" w:line="240" w:lineRule="auto"/>
              <w:jc w:val="left"/>
            </w:pPr>
            <w:r>
              <w:rPr>
                <w:sz w:val="17"/>
              </w:rPr>
              <w:t xml:space="preserve">Documented 9/14 hospitals in losses; $2.4B 5-year deficit projection; triggered legislative action</w:t>
            </w:r>
          </w:p>
        </w:tc>
      </w:tr>
      <w:tr>
        <w:trPr/>
        <w:tc>
          <w:tcPr>
            <w:tcW w:w="1063" w:type="dxa"/>
          </w:tcPr>
          <w:p>
            <w:pPr>
              <w:pStyle w:val="Compact"/>
              <w:spacing w:before="0" w:after="0" w:line="240" w:lineRule="auto"/>
              <w:jc w:val="left"/>
            </w:pPr>
            <w:r>
              <w:rPr>
                <w:sz w:val="17"/>
              </w:rPr>
              <w:t xml:space="preserve">Sept 2024</w:t>
            </w:r>
          </w:p>
        </w:tc>
        <w:tc>
          <w:tcPr>
            <w:tcW w:w="2752" w:type="dxa"/>
          </w:tcPr>
          <w:p>
            <w:pPr>
              <w:pStyle w:val="Compact"/>
              <w:spacing w:before="0" w:after="0" w:line="240" w:lineRule="auto"/>
              <w:jc w:val="left"/>
            </w:pPr>
            <w:r>
              <w:rPr>
                <w:sz w:val="17"/>
              </w:rPr>
              <w:t xml:space="preserve">Oliver Wyman presentation to GMCB</w:t>
            </w:r>
          </w:p>
        </w:tc>
        <w:tc>
          <w:tcPr>
            <w:tcW w:w="1501" w:type="dxa"/>
          </w:tcPr>
          <w:p>
            <w:pPr>
              <w:pStyle w:val="Compact"/>
              <w:spacing w:before="0" w:after="0" w:line="240" w:lineRule="auto"/>
              <w:jc w:val="left"/>
            </w:pPr>
            <w:r>
              <w:rPr>
                <w:sz w:val="17"/>
              </w:rPr>
              <w:t xml:space="preserve">Policy</w:t>
            </w:r>
          </w:p>
        </w:tc>
        <w:tc>
          <w:tcPr>
            <w:tcW w:w="3754" w:type="dxa"/>
          </w:tcPr>
          <w:p>
            <w:pPr>
              <w:pStyle w:val="Compact"/>
              <w:spacing w:before="0" w:after="0" w:line="240" w:lineRule="auto"/>
              <w:jc w:val="left"/>
            </w:pPr>
            <w:r>
              <w:rPr>
                <w:sz w:val="17"/>
              </w:rPr>
              <w:t xml:space="preserve">Room full of stakeholders; financial trajectory confirmed publicly; political inflection point</w:t>
            </w:r>
          </w:p>
        </w:tc>
      </w:tr>
      <w:tr>
        <w:trPr/>
        <w:tc>
          <w:tcPr>
            <w:tcW w:w="1063" w:type="dxa"/>
          </w:tcPr>
          <w:p>
            <w:pPr>
              <w:pStyle w:val="Compact"/>
              <w:spacing w:before="0" w:after="0" w:line="240" w:lineRule="auto"/>
              <w:jc w:val="left"/>
            </w:pPr>
            <w:r>
              <w:rPr>
                <w:sz w:val="17"/>
              </w:rPr>
              <w:t xml:space="preserve">Jan 2025</w:t>
            </w:r>
          </w:p>
        </w:tc>
        <w:tc>
          <w:tcPr>
            <w:tcW w:w="2752" w:type="dxa"/>
          </w:tcPr>
          <w:p>
            <w:pPr>
              <w:pStyle w:val="Compact"/>
              <w:spacing w:before="0" w:after="0" w:line="240" w:lineRule="auto"/>
              <w:jc w:val="left"/>
            </w:pPr>
            <w:r>
              <w:rPr>
                <w:sz w:val="17"/>
              </w:rPr>
              <w:t xml:space="preserve">Vermont AHEAD State Agreement signed</w:t>
            </w:r>
          </w:p>
        </w:tc>
        <w:tc>
          <w:tcPr>
            <w:tcW w:w="1501" w:type="dxa"/>
          </w:tcPr>
          <w:p>
            <w:pPr>
              <w:pStyle w:val="Compact"/>
              <w:spacing w:before="0" w:after="0" w:line="240" w:lineRule="auto"/>
              <w:jc w:val="left"/>
            </w:pPr>
            <w:r>
              <w:rPr>
                <w:sz w:val="17"/>
              </w:rPr>
              <w:t xml:space="preserve">Policy / Economics</w:t>
            </w:r>
          </w:p>
        </w:tc>
        <w:tc>
          <w:tcPr>
            <w:tcW w:w="3754" w:type="dxa"/>
          </w:tcPr>
          <w:p>
            <w:pPr>
              <w:pStyle w:val="Compact"/>
              <w:spacing w:before="0" w:after="0" w:line="240" w:lineRule="auto"/>
              <w:jc w:val="left"/>
            </w:pPr>
            <w:r>
              <w:rPr>
                <w:sz w:val="17"/>
              </w:rPr>
              <w:t xml:space="preserve">Committed Vermont to Cohort 2; up to $150M/year EAST Fund; 8-year performance period</w:t>
            </w:r>
          </w:p>
        </w:tc>
      </w:tr>
      <w:tr>
        <w:trPr/>
        <w:tc>
          <w:tcPr>
            <w:tcW w:w="1063" w:type="dxa"/>
          </w:tcPr>
          <w:p>
            <w:pPr>
              <w:pStyle w:val="Compact"/>
              <w:spacing w:before="0" w:after="0" w:line="240" w:lineRule="auto"/>
              <w:jc w:val="left"/>
            </w:pPr>
            <w:r>
              <w:rPr>
                <w:sz w:val="17"/>
              </w:rPr>
              <w:t xml:space="preserve">2025</w:t>
            </w:r>
          </w:p>
        </w:tc>
        <w:tc>
          <w:tcPr>
            <w:tcW w:w="2752" w:type="dxa"/>
          </w:tcPr>
          <w:p>
            <w:pPr>
              <w:pStyle w:val="Compact"/>
              <w:spacing w:before="0" w:after="0" w:line="240" w:lineRule="auto"/>
              <w:jc w:val="left"/>
            </w:pPr>
            <w:r>
              <w:rPr>
                <w:sz w:val="17"/>
              </w:rPr>
              <w:t xml:space="preserve">Act 68 of 2025 enacted</w:t>
            </w:r>
          </w:p>
        </w:tc>
        <w:tc>
          <w:tcPr>
            <w:tcW w:w="1501" w:type="dxa"/>
          </w:tcPr>
          <w:p>
            <w:pPr>
              <w:pStyle w:val="Compact"/>
              <w:spacing w:before="0" w:after="0" w:line="240" w:lineRule="auto"/>
              <w:jc w:val="left"/>
            </w:pPr>
            <w:r>
              <w:rPr>
                <w:sz w:val="17"/>
              </w:rPr>
              <w:t xml:space="preserve">Policy / Economics</w:t>
            </w:r>
          </w:p>
        </w:tc>
        <w:tc>
          <w:tcPr>
            <w:tcW w:w="3754" w:type="dxa"/>
          </w:tcPr>
          <w:p>
            <w:pPr>
              <w:pStyle w:val="Compact"/>
              <w:spacing w:before="0" w:after="0" w:line="240" w:lineRule="auto"/>
              <w:jc w:val="left"/>
            </w:pPr>
            <w:r>
              <w:rPr>
                <w:sz w:val="17"/>
              </w:rPr>
              <w:t xml:space="preserve">Mandatory RBP (FY2027), global budgets (FY2028), Dec 2028 Strategic Plan deadline</w:t>
            </w:r>
          </w:p>
        </w:tc>
      </w:tr>
      <w:tr>
        <w:trPr/>
        <w:tc>
          <w:tcPr>
            <w:tcW w:w="1063" w:type="dxa"/>
          </w:tcPr>
          <w:p>
            <w:pPr>
              <w:pStyle w:val="Compact"/>
              <w:spacing w:before="0" w:after="0" w:line="240" w:lineRule="auto"/>
              <w:jc w:val="left"/>
            </w:pPr>
            <w:r>
              <w:rPr>
                <w:sz w:val="17"/>
              </w:rPr>
              <w:t xml:space="preserve">Jul 4, 2025</w:t>
            </w:r>
          </w:p>
        </w:tc>
        <w:tc>
          <w:tcPr>
            <w:tcW w:w="2752" w:type="dxa"/>
          </w:tcPr>
          <w:p>
            <w:pPr>
              <w:pStyle w:val="Compact"/>
              <w:spacing w:before="0" w:after="0" w:line="240" w:lineRule="auto"/>
              <w:jc w:val="left"/>
            </w:pPr>
            <w:r>
              <w:rPr>
                <w:sz w:val="17"/>
              </w:rPr>
              <w:t xml:space="preserve">H.R. 1 signed (One Big Beautiful Bill Act)</w:t>
            </w:r>
          </w:p>
        </w:tc>
        <w:tc>
          <w:tcPr>
            <w:tcW w:w="1501" w:type="dxa"/>
          </w:tcPr>
          <w:p>
            <w:pPr>
              <w:pStyle w:val="Compact"/>
              <w:spacing w:before="0" w:after="0" w:line="240" w:lineRule="auto"/>
              <w:jc w:val="left"/>
            </w:pPr>
            <w:r>
              <w:rPr>
                <w:sz w:val="17"/>
              </w:rPr>
              <w:t xml:space="preserve">Policy</w:t>
            </w:r>
          </w:p>
        </w:tc>
        <w:tc>
          <w:tcPr>
            <w:tcW w:w="3754" w:type="dxa"/>
          </w:tcPr>
          <w:p>
            <w:pPr>
              <w:pStyle w:val="Compact"/>
              <w:spacing w:before="0" w:after="0" w:line="240" w:lineRule="auto"/>
              <w:jc w:val="left"/>
            </w:pPr>
            <w:r>
              <w:rPr>
                <w:sz w:val="17"/>
              </w:rPr>
              <w:t xml:space="preserve">$911B Medicaid cuts over 10 years; work requirements; 10M additional uninsured by 2034</w:t>
            </w:r>
          </w:p>
        </w:tc>
      </w:tr>
      <w:tr>
        <w:trPr/>
        <w:tc>
          <w:tcPr>
            <w:tcW w:w="1063" w:type="dxa"/>
          </w:tcPr>
          <w:p>
            <w:pPr>
              <w:pStyle w:val="Compact"/>
              <w:spacing w:before="0" w:after="0" w:line="240" w:lineRule="auto"/>
              <w:jc w:val="left"/>
            </w:pPr>
            <w:r>
              <w:rPr>
                <w:sz w:val="17"/>
              </w:rPr>
              <w:t xml:space="preserve">Nov 2025</w:t>
            </w:r>
          </w:p>
        </w:tc>
        <w:tc>
          <w:tcPr>
            <w:tcW w:w="2752" w:type="dxa"/>
          </w:tcPr>
          <w:p>
            <w:pPr>
              <w:pStyle w:val="Compact"/>
              <w:spacing w:before="0" w:after="0" w:line="240" w:lineRule="auto"/>
              <w:jc w:val="left"/>
            </w:pPr>
            <w:r>
              <w:rPr>
                <w:sz w:val="17"/>
              </w:rPr>
              <w:t xml:space="preserve">Vermont RHT Program Application submitted</w:t>
            </w:r>
          </w:p>
        </w:tc>
        <w:tc>
          <w:tcPr>
            <w:tcW w:w="1501" w:type="dxa"/>
          </w:tcPr>
          <w:p>
            <w:pPr>
              <w:pStyle w:val="Compact"/>
              <w:spacing w:before="0" w:after="0" w:line="240" w:lineRule="auto"/>
              <w:jc w:val="left"/>
            </w:pPr>
            <w:r>
              <w:rPr>
                <w:sz w:val="17"/>
              </w:rPr>
              <w:t xml:space="preserve">Policy / Operations</w:t>
            </w:r>
          </w:p>
        </w:tc>
        <w:tc>
          <w:tcPr>
            <w:tcW w:w="3754" w:type="dxa"/>
          </w:tcPr>
          <w:p>
            <w:pPr>
              <w:pStyle w:val="Compact"/>
              <w:spacing w:before="0" w:after="0" w:line="240" w:lineRule="auto"/>
              <w:jc w:val="left"/>
            </w:pPr>
            <w:r>
              <w:rPr>
                <w:sz w:val="17"/>
              </w:rPr>
              <w:t xml:space="preserve">$195M/year award application; 19 HTR tools; 370-FTE workforce plan</w:t>
            </w:r>
          </w:p>
        </w:tc>
      </w:tr>
      <w:tr>
        <w:trPr/>
        <w:tc>
          <w:tcPr>
            <w:tcW w:w="1063" w:type="dxa"/>
          </w:tcPr>
          <w:p>
            <w:pPr>
              <w:pStyle w:val="Compact"/>
              <w:spacing w:before="0" w:after="0" w:line="240" w:lineRule="auto"/>
              <w:jc w:val="left"/>
            </w:pPr>
            <w:r>
              <w:rPr>
                <w:sz w:val="17"/>
              </w:rPr>
              <w:t xml:space="preserve">Dec 2025</w:t>
            </w:r>
          </w:p>
        </w:tc>
        <w:tc>
          <w:tcPr>
            <w:tcW w:w="2752" w:type="dxa"/>
          </w:tcPr>
          <w:p>
            <w:pPr>
              <w:pStyle w:val="Compact"/>
              <w:spacing w:before="0" w:after="0" w:line="240" w:lineRule="auto"/>
              <w:jc w:val="left"/>
            </w:pPr>
            <w:r>
              <w:rPr>
                <w:sz w:val="17"/>
              </w:rPr>
              <w:t xml:space="preserve">CMS BALANCE Model announced</w:t>
            </w:r>
          </w:p>
        </w:tc>
        <w:tc>
          <w:tcPr>
            <w:tcW w:w="1501" w:type="dxa"/>
          </w:tcPr>
          <w:p>
            <w:pPr>
              <w:pStyle w:val="Compact"/>
              <w:spacing w:before="0" w:after="0" w:line="240" w:lineRule="auto"/>
              <w:jc w:val="left"/>
            </w:pPr>
            <w:r>
              <w:rPr>
                <w:sz w:val="17"/>
              </w:rPr>
              <w:t xml:space="preserve">Economics / Clinical</w:t>
            </w:r>
          </w:p>
        </w:tc>
        <w:tc>
          <w:tcPr>
            <w:tcW w:w="3754" w:type="dxa"/>
          </w:tcPr>
          <w:p>
            <w:pPr>
              <w:pStyle w:val="Compact"/>
              <w:spacing w:before="0" w:after="0" w:line="240" w:lineRule="auto"/>
              <w:jc w:val="left"/>
            </w:pPr>
            <w:r>
              <w:rPr>
                <w:sz w:val="17"/>
              </w:rPr>
              <w:t xml:space="preserve">GLP-1 coverage at negotiated prices; Vermont DVHA opt-in decision pending</w:t>
            </w:r>
          </w:p>
        </w:tc>
      </w:tr>
      <w:tr>
        <w:trPr/>
        <w:tc>
          <w:tcPr>
            <w:tcW w:w="1063" w:type="dxa"/>
          </w:tcPr>
          <w:p>
            <w:pPr>
              <w:pStyle w:val="Compact"/>
              <w:spacing w:before="0" w:after="0" w:line="240" w:lineRule="auto"/>
              <w:jc w:val="left"/>
            </w:pPr>
            <w:r>
              <w:rPr>
                <w:sz w:val="17"/>
              </w:rPr>
              <w:t xml:space="preserve">Dec 29, 2025</w:t>
            </w:r>
          </w:p>
        </w:tc>
        <w:tc>
          <w:tcPr>
            <w:tcW w:w="2752" w:type="dxa"/>
          </w:tcPr>
          <w:p>
            <w:pPr>
              <w:pStyle w:val="Compact"/>
              <w:spacing w:before="0" w:after="0" w:line="240" w:lineRule="auto"/>
              <w:jc w:val="left"/>
            </w:pPr>
            <w:r>
              <w:rPr>
                <w:sz w:val="17"/>
              </w:rPr>
              <w:t xml:space="preserve">Vermont receives RHT award</w:t>
            </w:r>
          </w:p>
        </w:tc>
        <w:tc>
          <w:tcPr>
            <w:tcW w:w="1501" w:type="dxa"/>
          </w:tcPr>
          <w:p>
            <w:pPr>
              <w:pStyle w:val="Compact"/>
              <w:spacing w:before="0" w:after="0" w:line="240" w:lineRule="auto"/>
              <w:jc w:val="left"/>
            </w:pPr>
            <w:r>
              <w:rPr>
                <w:sz w:val="17"/>
              </w:rPr>
              <w:t xml:space="preserve">Policy / Technology</w:t>
            </w:r>
          </w:p>
        </w:tc>
        <w:tc>
          <w:tcPr>
            <w:tcW w:w="3754" w:type="dxa"/>
          </w:tcPr>
          <w:p>
            <w:pPr>
              <w:pStyle w:val="Compact"/>
              <w:spacing w:before="0" w:after="0" w:line="240" w:lineRule="auto"/>
              <w:jc w:val="left"/>
            </w:pPr>
            <w:r>
              <w:rPr>
                <w:sz w:val="17"/>
              </w:rPr>
              <w:t xml:space="preserve">$195M/year for 5 years — largest per-capita rural transformation award; funds CIN, telehealth, workforce</w:t>
            </w:r>
          </w:p>
        </w:tc>
      </w:tr>
      <w:tr>
        <w:trPr/>
        <w:tc>
          <w:tcPr>
            <w:tcW w:w="1063" w:type="dxa"/>
          </w:tcPr>
          <w:p>
            <w:pPr>
              <w:pStyle w:val="Compact"/>
              <w:spacing w:before="0" w:after="0" w:line="240" w:lineRule="auto"/>
              <w:jc w:val="left"/>
            </w:pPr>
            <w:r>
              <w:rPr>
                <w:sz w:val="17"/>
              </w:rPr>
              <w:t xml:space="preserve">Jul 2026</w:t>
            </w:r>
          </w:p>
        </w:tc>
        <w:tc>
          <w:tcPr>
            <w:tcW w:w="2752" w:type="dxa"/>
          </w:tcPr>
          <w:p>
            <w:pPr>
              <w:pStyle w:val="Compact"/>
              <w:spacing w:before="0" w:after="0" w:line="240" w:lineRule="auto"/>
              <w:jc w:val="left"/>
            </w:pPr>
            <w:r>
              <w:rPr>
                <w:sz w:val="17"/>
              </w:rPr>
              <w:t xml:space="preserve">Vermont withdraws from AHEAD</w:t>
            </w:r>
          </w:p>
        </w:tc>
        <w:tc>
          <w:tcPr>
            <w:tcW w:w="1501" w:type="dxa"/>
          </w:tcPr>
          <w:p>
            <w:pPr>
              <w:pStyle w:val="Compact"/>
              <w:spacing w:before="0" w:after="0" w:line="240" w:lineRule="auto"/>
              <w:jc w:val="left"/>
            </w:pPr>
            <w:r>
              <w:rPr>
                <w:sz w:val="17"/>
              </w:rPr>
              <w:t xml:space="preserve">Policy / Economics</w:t>
            </w:r>
          </w:p>
        </w:tc>
        <w:tc>
          <w:tcPr>
            <w:tcW w:w="3754" w:type="dxa"/>
          </w:tcPr>
          <w:p>
            <w:pPr>
              <w:pStyle w:val="Compact"/>
              <w:spacing w:before="0" w:after="0" w:line="240" w:lineRule="auto"/>
              <w:jc w:val="left"/>
            </w:pPr>
            <w:r>
              <w:rPr>
                <w:sz w:val="17"/>
              </w:rPr>
              <w:t xml:space="preserve">CMS renegotiation cut expected EAST Fund from ~$138M to a ~$10M cap; Vermont exits before its Cohort 2 performance period (Jan 2028) ever began. Act 68’s state-authority framework is unaffected — see</w:t>
            </w:r>
            <w:r>
              <w:rPr>
                <w:sz w:val="17"/>
              </w:rPr>
              <w:t xml:space="preserve"> </w:t>
            </w:r>
            <w:r>
              <w:rPr>
                <w:sz w:val="17"/>
              </w:rPr>
              <w:t xml:space="preserve">“The AHEAD Model”</w:t>
            </w:r>
            <w:r>
              <w:rPr>
                <w:sz w:val="17"/>
              </w:rPr>
              <w:t xml:space="preserve"> </w:t>
            </w:r>
            <w:r>
              <w:rPr>
                <w:sz w:val="17"/>
              </w:rPr>
              <w:t xml:space="preserve">in the Economics chapter.</w:t>
            </w:r>
          </w:p>
        </w:tc>
      </w:tr>
      <w:tr>
        <w:trPr/>
        <w:tc>
          <w:tcPr>
            <w:tcW w:w="1063" w:type="dxa"/>
          </w:tcPr>
          <w:p>
            <w:pPr>
              <w:pStyle w:val="Compact"/>
              <w:spacing w:before="0" w:after="0" w:line="240" w:lineRule="auto"/>
              <w:jc w:val="left"/>
            </w:pPr>
            <w:r>
              <w:rPr>
                <w:sz w:val="17"/>
              </w:rPr>
              <w:t xml:space="preserve">FY2027 (Oct 2026)</w:t>
            </w:r>
          </w:p>
        </w:tc>
        <w:tc>
          <w:tcPr>
            <w:tcW w:w="2752" w:type="dxa"/>
          </w:tcPr>
          <w:p>
            <w:pPr>
              <w:pStyle w:val="Compact"/>
              <w:spacing w:before="0" w:after="0" w:line="240" w:lineRule="auto"/>
              <w:jc w:val="left"/>
            </w:pPr>
            <w:r>
              <w:rPr>
                <w:sz w:val="17"/>
              </w:rPr>
              <w:t xml:space="preserve">RBP mandatory for all Vermont hospitals</w:t>
            </w:r>
          </w:p>
        </w:tc>
        <w:tc>
          <w:tcPr>
            <w:tcW w:w="1501" w:type="dxa"/>
          </w:tcPr>
          <w:p>
            <w:pPr>
              <w:pStyle w:val="Compact"/>
              <w:spacing w:before="0" w:after="0" w:line="240" w:lineRule="auto"/>
              <w:jc w:val="left"/>
            </w:pPr>
            <w:r>
              <w:rPr>
                <w:sz w:val="17"/>
              </w:rPr>
              <w:t xml:space="preserve">Economics</w:t>
            </w:r>
          </w:p>
        </w:tc>
        <w:tc>
          <w:tcPr>
            <w:tcW w:w="3754" w:type="dxa"/>
          </w:tcPr>
          <w:p>
            <w:pPr>
              <w:pStyle w:val="Compact"/>
              <w:spacing w:before="0" w:after="0" w:line="240" w:lineRule="auto"/>
              <w:jc w:val="left"/>
            </w:pPr>
            <w:r>
              <w:rPr>
                <w:sz w:val="17"/>
              </w:rPr>
              <w:t xml:space="preserve">First mandatory all-payer price cap in modern Vermont history; ≤200% Medicare target</w:t>
            </w:r>
          </w:p>
        </w:tc>
      </w:tr>
      <w:tr>
        <w:trPr/>
        <w:tc>
          <w:tcPr>
            <w:tcW w:w="1063" w:type="dxa"/>
          </w:tcPr>
          <w:p>
            <w:pPr>
              <w:pStyle w:val="Compact"/>
              <w:spacing w:before="0" w:after="0" w:line="240" w:lineRule="auto"/>
              <w:jc w:val="left"/>
            </w:pPr>
            <w:r>
              <w:rPr>
                <w:sz w:val="17"/>
              </w:rPr>
              <w:t xml:space="preserve">FY2028 (Oct 2027)</w:t>
            </w:r>
          </w:p>
        </w:tc>
        <w:tc>
          <w:tcPr>
            <w:tcW w:w="2752" w:type="dxa"/>
          </w:tcPr>
          <w:p>
            <w:pPr>
              <w:pStyle w:val="Compact"/>
              <w:spacing w:before="0" w:after="0" w:line="240" w:lineRule="auto"/>
              <w:jc w:val="left"/>
            </w:pPr>
            <w:r>
              <w:rPr>
                <w:sz w:val="17"/>
              </w:rPr>
              <w:t xml:space="preserve">Global budgets mandatory (non-CAH hospitals)</w:t>
            </w:r>
          </w:p>
        </w:tc>
        <w:tc>
          <w:tcPr>
            <w:tcW w:w="1501" w:type="dxa"/>
          </w:tcPr>
          <w:p>
            <w:pPr>
              <w:pStyle w:val="Compact"/>
              <w:spacing w:before="0" w:after="0" w:line="240" w:lineRule="auto"/>
              <w:jc w:val="left"/>
            </w:pPr>
            <w:r>
              <w:rPr>
                <w:sz w:val="17"/>
              </w:rPr>
              <w:t xml:space="preserve">Economics</w:t>
            </w:r>
          </w:p>
        </w:tc>
        <w:tc>
          <w:tcPr>
            <w:tcW w:w="3754" w:type="dxa"/>
          </w:tcPr>
          <w:p>
            <w:pPr>
              <w:pStyle w:val="Compact"/>
              <w:spacing w:before="0" w:after="0" w:line="240" w:lineRule="auto"/>
              <w:jc w:val="left"/>
            </w:pPr>
            <w:r>
              <w:rPr>
                <w:sz w:val="17"/>
              </w:rPr>
              <w:t xml:space="preserve">Fixed revenue envelopes; transforms financial incentive from volume to population health</w:t>
            </w:r>
          </w:p>
        </w:tc>
      </w:tr>
      <w:tr>
        <w:trPr/>
        <w:tc>
          <w:tcPr>
            <w:tcW w:w="1063" w:type="dxa"/>
          </w:tcPr>
          <w:p>
            <w:pPr>
              <w:pStyle w:val="Compact"/>
              <w:spacing w:before="0" w:after="0" w:line="240" w:lineRule="auto"/>
              <w:jc w:val="left"/>
            </w:pPr>
            <w:r>
              <w:rPr>
                <w:sz w:val="17"/>
              </w:rPr>
              <w:t xml:space="preserve">Jan 2028</w:t>
            </w:r>
          </w:p>
        </w:tc>
        <w:tc>
          <w:tcPr>
            <w:tcW w:w="2752" w:type="dxa"/>
          </w:tcPr>
          <w:p>
            <w:pPr>
              <w:pStyle w:val="Compact"/>
              <w:spacing w:before="0" w:after="0" w:line="240" w:lineRule="auto"/>
              <w:jc w:val="left"/>
            </w:pPr>
            <w:r>
              <w:rPr>
                <w:sz w:val="17"/>
              </w:rPr>
              <w:t xml:space="preserve">Act 68 hospital global budgets take effect (FY2028)</w:t>
            </w:r>
          </w:p>
        </w:tc>
        <w:tc>
          <w:tcPr>
            <w:tcW w:w="1501" w:type="dxa"/>
          </w:tcPr>
          <w:p>
            <w:pPr>
              <w:pStyle w:val="Compact"/>
              <w:spacing w:before="0" w:after="0" w:line="240" w:lineRule="auto"/>
              <w:jc w:val="left"/>
            </w:pPr>
            <w:r>
              <w:rPr>
                <w:sz w:val="17"/>
              </w:rPr>
              <w:t xml:space="preserve">Economics / Technology</w:t>
            </w:r>
          </w:p>
        </w:tc>
        <w:tc>
          <w:tcPr>
            <w:tcW w:w="3754" w:type="dxa"/>
          </w:tcPr>
          <w:p>
            <w:pPr>
              <w:pStyle w:val="Compact"/>
              <w:spacing w:before="0" w:after="0" w:line="240" w:lineRule="auto"/>
              <w:jc w:val="left"/>
            </w:pPr>
            <w:r>
              <w:rPr>
                <w:sz w:val="17"/>
              </w:rPr>
              <w:t xml:space="preserve">Updated per CMS Sept 2025; Vermont hospitals begin Act 68 global-budget accountability (FY2028)</w:t>
            </w:r>
          </w:p>
        </w:tc>
      </w:tr>
      <w:tr>
        <w:trPr/>
        <w:tc>
          <w:tcPr>
            <w:tcW w:w="1063" w:type="dxa"/>
          </w:tcPr>
          <w:p>
            <w:pPr>
              <w:pStyle w:val="Compact"/>
              <w:spacing w:before="0" w:after="0" w:line="240" w:lineRule="auto"/>
              <w:jc w:val="left"/>
            </w:pPr>
            <w:r>
              <w:rPr>
                <w:sz w:val="17"/>
              </w:rPr>
              <w:t xml:space="preserve">Dec 2028</w:t>
            </w:r>
          </w:p>
        </w:tc>
        <w:tc>
          <w:tcPr>
            <w:tcW w:w="2752" w:type="dxa"/>
          </w:tcPr>
          <w:p>
            <w:pPr>
              <w:pStyle w:val="Compact"/>
              <w:spacing w:before="0" w:after="0" w:line="240" w:lineRule="auto"/>
              <w:jc w:val="left"/>
            </w:pPr>
            <w:r>
              <w:rPr>
                <w:sz w:val="17"/>
              </w:rPr>
              <w:t xml:space="preserve">Statewide Strategic Plan due to legislature</w:t>
            </w:r>
          </w:p>
        </w:tc>
        <w:tc>
          <w:tcPr>
            <w:tcW w:w="1501" w:type="dxa"/>
          </w:tcPr>
          <w:p>
            <w:pPr>
              <w:pStyle w:val="Compact"/>
              <w:spacing w:before="0" w:after="0" w:line="240" w:lineRule="auto"/>
              <w:jc w:val="left"/>
            </w:pPr>
            <w:r>
              <w:rPr>
                <w:sz w:val="17"/>
              </w:rPr>
              <w:t xml:space="preserve">Operations / All pillars</w:t>
            </w:r>
          </w:p>
        </w:tc>
        <w:tc>
          <w:tcPr>
            <w:tcW w:w="3754" w:type="dxa"/>
          </w:tcPr>
          <w:p>
            <w:pPr>
              <w:pStyle w:val="Compact"/>
              <w:spacing w:before="0" w:after="0" w:line="240" w:lineRule="auto"/>
              <w:jc w:val="left"/>
            </w:pPr>
            <w:r>
              <w:rPr>
                <w:sz w:val="17"/>
              </w:rPr>
              <w:t xml:space="preserve">Act 68 binding deadline; must commit to specific targets, timelines, accountable owners</w:t>
            </w:r>
          </w:p>
        </w:tc>
      </w:tr>
      <w:tr>
        <w:trPr>
          <w:cantSplit/>
        </w:trPr>
        <w:tc>
          <w:tcPr>
            <w:tcW w:w="1063" w:type="dxa"/>
          </w:tcPr>
          <w:p>
            <w:pPr>
              <w:pStyle w:val="Compact"/>
              <w:spacing w:before="0" w:after="0" w:line="240" w:lineRule="auto"/>
              <w:jc w:val="left"/>
            </w:pPr>
            <w:r>
              <w:rPr>
                <w:sz w:val="17"/>
              </w:rPr>
              <w:t xml:space="preserve">FY2030 (Oct 2029)</w:t>
            </w:r>
          </w:p>
        </w:tc>
        <w:tc>
          <w:tcPr>
            <w:tcW w:w="2752" w:type="dxa"/>
          </w:tcPr>
          <w:p>
            <w:pPr>
              <w:pStyle w:val="Compact"/>
              <w:spacing w:before="0" w:after="0" w:line="240" w:lineRule="auto"/>
              <w:jc w:val="left"/>
            </w:pPr>
            <w:r>
              <w:rPr>
                <w:sz w:val="17"/>
              </w:rPr>
              <w:t xml:space="preserve">Global budgets mandatory — all 14 hospitals</w:t>
            </w:r>
          </w:p>
        </w:tc>
        <w:tc>
          <w:tcPr>
            <w:tcW w:w="1501" w:type="dxa"/>
          </w:tcPr>
          <w:p>
            <w:pPr>
              <w:pStyle w:val="Compact"/>
              <w:spacing w:before="0" w:after="0" w:line="240" w:lineRule="auto"/>
              <w:jc w:val="left"/>
            </w:pPr>
            <w:r>
              <w:rPr>
                <w:sz w:val="17"/>
              </w:rPr>
              <w:t xml:space="preserve">Economics</w:t>
            </w:r>
          </w:p>
        </w:tc>
        <w:tc>
          <w:tcPr>
            <w:tcW w:w="3754" w:type="dxa"/>
          </w:tcPr>
          <w:p>
            <w:pPr>
              <w:pStyle w:val="Compact"/>
              <w:spacing w:before="0" w:after="0" w:line="240" w:lineRule="auto"/>
              <w:jc w:val="left"/>
            </w:pPr>
            <w:r>
              <w:rPr>
                <w:sz w:val="17"/>
              </w:rPr>
              <w:t xml:space="preserve">Full all-payer global budget coverage; complete transition from fee-for-service signal</w:t>
            </w:r>
          </w:p>
        </w:tc>
      </w:tr>
    </w:tbl>
    <w:p>
      <w:pPr>
        <w:pStyle w:val="Caption"/>
        <w:spacing w:before="280"/>
      </w:pPr>
      <w:r>
        <w:rPr>
          <w:i/>
          <w:iCs/>
        </w:rPr>
        <w:t xml:space="preserve">Figure T.1 — Vermont Healthcare Transformation Timeline: 2022–2035. Source: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examines each act, the analytical infrastructure it created, and the five-pillar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line="240" w:lineRule="auto"/>
        <w:rPr>
          <w:sz w:val="16"/>
        </w:rPr>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line="240" w:lineRule="auto"/>
        <w:rPr>
          <w:sz w:val="16"/>
        </w:rPr>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$948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line="240" w:lineRule="auto"/>
        <w:rPr>
          <w:sz w:val="16"/>
        </w:rPr>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imperative’s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Figure 2.1 — Common perceptions of Vermont’s health system versus the data. Sources: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line="240" w:lineRule="auto"/>
        <w:rPr>
          <w:sz w:val="16"/>
        </w:rPr>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14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Figure 2.2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line="240" w:lineRule="auto"/>
        <w:rPr>
          <w:sz w:val="16"/>
        </w:rPr>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Act 68 commercial hospital global budgets take effect (FY2028)</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2.3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published 2018–2020 data — the highest of any hospital in Vermont.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010"/>
        <w:gridCol w:w="7065"/>
      </w:tblGrid>
      <w:tr>
        <w:trPr>
          <w:tblHeader w:val="on"/>
          <w:cantSplit/>
        </w:trPr>
        <w:tc>
          <w:tcPr>
            <w:shd w:val="clear" w:color="auto" w:fill="1B3A6B"/>
            <w:tcW w:w="2010" w:type="dxa"/>
          </w:tcPr>
          <w:p>
            <w:pPr>
              <w:pStyle w:val="Compact"/>
              <w:jc w:val="left"/>
            </w:pPr>
            <w:r>
              <w:rPr>
                <w:b/>
                <w:color w:val="FFFFFF"/>
                <w:sz w:val="18"/>
              </w:rPr>
              <w:t xml:space="preserve">State / Program</w:t>
            </w:r>
          </w:p>
        </w:tc>
        <w:tc>
          <w:tcPr>
            <w:shd w:val="clear" w:color="auto" w:fill="1B3A6B"/>
            <w:tcW w:w="7065" w:type="dxa"/>
          </w:tcPr>
          <w:p>
            <w:pPr>
              <w:pStyle w:val="Compact"/>
              <w:jc w:val="left"/>
            </w:pPr>
            <w:r>
              <w:rPr>
                <w:b/>
                <w:color w:val="FFFFFF"/>
                <w:sz w:val="18"/>
              </w:rPr>
              <w:t xml:space="preserve">Key design features and outcomes</w:t>
            </w:r>
          </w:p>
        </w:tc>
      </w:tr>
      <w:tr>
        <w:trPr>
          <w:cantSplit/>
        </w:trPr>
        <w:tc>
          <w:tcPr>
            <w:tcW w:w="2010" w:type="dxa"/>
          </w:tcPr>
          <w:p>
            <w:pPr>
              <w:pStyle w:val="Compact"/>
              <w:jc w:val="left"/>
            </w:pPr>
            <w:r>
              <w:rPr>
                <w:sz w:val="18"/>
              </w:rPr>
              <w:t xml:space="preserve">Vermont Act 68</w:t>
            </w:r>
          </w:p>
        </w:tc>
        <w:tc>
          <w:tcPr>
            <w:tcW w:w="7065"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010" w:type="dxa"/>
          </w:tcPr>
          <w:p>
            <w:pPr>
              <w:pStyle w:val="Compact"/>
              <w:jc w:val="left"/>
            </w:pPr>
            <w:r>
              <w:rPr>
                <w:sz w:val="18"/>
              </w:rPr>
              <w:t xml:space="preserve">Oregon (2019)</w:t>
            </w:r>
          </w:p>
        </w:tc>
        <w:tc>
          <w:tcPr>
            <w:tcW w:w="7065"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010" w:type="dxa"/>
          </w:tcPr>
          <w:p>
            <w:pPr>
              <w:pStyle w:val="Compact"/>
              <w:jc w:val="left"/>
            </w:pPr>
            <w:r>
              <w:rPr>
                <w:sz w:val="18"/>
              </w:rPr>
              <w:t xml:space="preserve">Montana (2016)</w:t>
            </w:r>
          </w:p>
        </w:tc>
        <w:tc>
          <w:tcPr>
            <w:tcW w:w="7065"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010" w:type="dxa"/>
          </w:tcPr>
          <w:p>
            <w:pPr>
              <w:pStyle w:val="Compact"/>
              <w:jc w:val="left"/>
            </w:pPr>
            <w:r>
              <w:rPr>
                <w:sz w:val="18"/>
              </w:rPr>
              <w:t xml:space="preserve">Washington (2021)</w:t>
            </w:r>
          </w:p>
        </w:tc>
        <w:tc>
          <w:tcPr>
            <w:tcW w:w="7065"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010" w:type="dxa"/>
          </w:tcPr>
          <w:p>
            <w:pPr>
              <w:pStyle w:val="Compact"/>
              <w:jc w:val="left"/>
            </w:pPr>
            <w:r>
              <w:rPr>
                <w:sz w:val="18"/>
              </w:rPr>
              <w:t xml:space="preserve">Maryland (2014–present)</w:t>
            </w:r>
          </w:p>
        </w:tc>
        <w:tc>
          <w:tcPr>
            <w:tcW w:w="7065"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Figure 2.4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operates under the Global Commitment to Health demonstration</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line="240" w:lineRule="auto"/>
        <w:rPr>
          <w:sz w:val="16"/>
        </w:rPr>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and among the highest per-capita awards nationally. Awards are made one year at a time; at a comparable annual level through FY2030 the five-year total would approach $1 billion, but only the first year is committed.</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Model an 1115 waiver or all-payer global budget design against a pre-loaded state scenario</w:t>
            </w:r>
          </w:p>
        </w:tc>
        <w:tc>
          <w:tcPr>
            <w:tcW w:w="2736"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3"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312" w:type="dxa"/>
          </w:tcPr>
          <w:p>
            <w:pPr>
              <w:pStyle w:val="Compact"/>
              <w:jc w:val="left"/>
            </w:pPr>
            <w:r>
              <w:rPr>
                <w:sz w:val="18"/>
              </w:rPr>
              <w:t xml:space="preserve">Trace how a statutory mandate cascades into operational deadlines</w:t>
            </w:r>
          </w:p>
        </w:tc>
        <w:tc>
          <w:tcPr>
            <w:tcW w:w="2736"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3" w:type="dxa"/>
          </w:tcPr>
          <w:p>
            <w:pPr>
              <w:pStyle w:val="Compact"/>
              <w:jc w:val="left"/>
            </w:pPr>
            <w:r>
              <w:rPr>
                <w:sz w:val="18"/>
              </w:rPr>
              <w:t xml:space="preserve">Map each statutory deadline to the pillar it gates.</w:t>
            </w:r>
          </w:p>
        </w:tc>
      </w:tr>
    </w:tbl>
    <w:p>
      <w:pPr>
        <w:pStyle w:val="Caption"/>
        <w:spacing w:before="120"/>
      </w:pPr>
      <w:r>
        <w:rPr>
          <w:i/>
          <w:iCs/>
        </w:rPr>
        <w:t xml:space="preserve">Figure 2.5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t xml:space="preserve"> </w:t>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t xml:space="preserve"> </w:t>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t xml:space="preserve"> </w:t>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t xml:space="preserve"> </w:t>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t xml:space="preserve"> </w:t>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t xml:space="preserve"> </w:t>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FirstParagraph"/>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Sources: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Five-state voluntary total cost of care model (Maryland, Connecticut, Hawaii, Rhode Island, New York). Hospital global budgets for Medicare FFS. Enhanced primary care payments. Vermont signed for Cohort 2 in January 2025 but withdrew in July 2026 after CMS cut the expected EAST Fund from ~$138M/year to a ~$10M cap. Still the most relevant model for state-level transformation — and Vermont’s experience with it is the clearest evidence yet of the risk it carries.</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Figure 3.2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Medicaid global budgets are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p>
        </w:tc>
      </w:tr>
    </w:tbl>
    <w:p>
      <w:pPr>
        <w:spacing w:after="120" w:line="240" w:lineRule="auto"/>
        <w:rPr>
          <w:sz w:val="16"/>
        </w:rPr>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13 hours per week on prior authorization tasks. Prior authorization denials delay care for a substantial share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0"/>
        <w:gridCol w:w="2640"/>
        <w:gridCol w:w="2790"/>
        <w:gridCol w:w="2490"/>
      </w:tblGrid>
      <w:tr>
        <w:trPr>
          <w:tblHeader w:val="on"/>
          <w:cantSplit/>
        </w:trPr>
        <w:tc>
          <w:tcPr>
            <w:shd w:val="clear" w:color="auto" w:fill="1B3A6B"/>
            <w:tcW w:w="1140" w:type="dxa"/>
          </w:tcPr>
          <w:p>
            <w:pPr>
              <w:pStyle w:val="Compact"/>
              <w:jc w:val="left"/>
            </w:pPr>
            <w:r>
              <w:rPr>
                <w:b/>
                <w:color w:val="FFFFFF"/>
                <w:sz w:val="18"/>
              </w:rPr>
              <w:t xml:space="preserve">Function</w:t>
            </w:r>
          </w:p>
        </w:tc>
        <w:tc>
          <w:tcPr>
            <w:shd w:val="clear" w:color="auto" w:fill="1B3A6B"/>
            <w:tcW w:w="2640" w:type="dxa"/>
          </w:tcPr>
          <w:p>
            <w:pPr>
              <w:pStyle w:val="Compact"/>
              <w:jc w:val="left"/>
            </w:pPr>
            <w:r>
              <w:rPr>
                <w:b/>
                <w:color w:val="FFFFFF"/>
                <w:sz w:val="18"/>
              </w:rPr>
              <w:t xml:space="preserve">Key activities</w:t>
            </w:r>
          </w:p>
        </w:tc>
        <w:tc>
          <w:tcPr>
            <w:shd w:val="clear" w:color="auto" w:fill="1B3A6B"/>
            <w:tcW w:w="2790" w:type="dxa"/>
          </w:tcPr>
          <w:p>
            <w:pPr>
              <w:pStyle w:val="Compact"/>
              <w:jc w:val="left"/>
            </w:pPr>
            <w:r>
              <w:rPr>
                <w:b/>
                <w:color w:val="FFFFFF"/>
                <w:sz w:val="18"/>
              </w:rPr>
              <w:t xml:space="preserve">Vermont-specific examples</w:t>
            </w:r>
          </w:p>
        </w:tc>
        <w:tc>
          <w:tcPr>
            <w:shd w:val="clear" w:color="auto" w:fill="1B3A6B"/>
            <w:tcW w:w="2490" w:type="dxa"/>
          </w:tcPr>
          <w:p>
            <w:pPr>
              <w:pStyle w:val="Compact"/>
              <w:jc w:val="left"/>
            </w:pPr>
            <w:r>
              <w:rPr>
                <w:b/>
                <w:color w:val="FFFFFF"/>
                <w:sz w:val="18"/>
              </w:rPr>
              <w:t xml:space="preserve">HTR Advisory service</w:t>
            </w:r>
          </w:p>
        </w:tc>
      </w:tr>
      <w:tr>
        <w:trPr>
          <w:cantSplit/>
        </w:trPr>
        <w:tc>
          <w:tcPr>
            <w:tcW w:w="1140" w:type="dxa"/>
          </w:tcPr>
          <w:p>
            <w:pPr>
              <w:pStyle w:val="Compact"/>
              <w:jc w:val="left"/>
            </w:pPr>
            <w:r>
              <w:rPr>
                <w:sz w:val="18"/>
              </w:rPr>
              <w:t xml:space="preserve">Regulatory compliance</w:t>
            </w:r>
          </w:p>
        </w:tc>
        <w:tc>
          <w:tcPr>
            <w:tcW w:w="2640" w:type="dxa"/>
          </w:tcPr>
          <w:p>
            <w:pPr>
              <w:pStyle w:val="Compact"/>
              <w:jc w:val="left"/>
            </w:pPr>
            <w:r>
              <w:rPr>
                <w:sz w:val="18"/>
              </w:rPr>
              <w:t xml:space="preserve">Monitor rulemaking; assess financial and operational impact of new requirements; develop compliance roadmaps; manage comment letter processes</w:t>
            </w:r>
          </w:p>
        </w:tc>
        <w:tc>
          <w:tcPr>
            <w:tcW w:w="2790" w:type="dxa"/>
          </w:tcPr>
          <w:p>
            <w:pPr>
              <w:pStyle w:val="Compact"/>
              <w:jc w:val="left"/>
            </w:pPr>
            <w:r>
              <w:rPr>
                <w:sz w:val="18"/>
              </w:rPr>
              <w:t xml:space="preserve">Act 68 RBP compliance planning for FY2027; AHEAD hospital global budget participation; H.R. 1 Medicaid work requirement implementation timeline</w:t>
            </w:r>
          </w:p>
        </w:tc>
        <w:tc>
          <w:tcPr>
            <w:tcW w:w="2490" w:type="dxa"/>
          </w:tcPr>
          <w:p>
            <w:pPr>
              <w:pStyle w:val="Compact"/>
              <w:jc w:val="left"/>
            </w:pPr>
            <w:r>
              <w:rPr>
                <w:sz w:val="18"/>
              </w:rPr>
              <w:t xml:space="preserve">Policy Strategy service line: Phase 1 Landscape and Exposure Assessment</w:t>
            </w:r>
          </w:p>
        </w:tc>
      </w:tr>
      <w:tr>
        <w:trPr/>
        <w:tc>
          <w:tcPr>
            <w:tcW w:w="1140" w:type="dxa"/>
          </w:tcPr>
          <w:p>
            <w:pPr>
              <w:pStyle w:val="Compact"/>
              <w:jc w:val="left"/>
            </w:pPr>
            <w:r>
              <w:rPr>
                <w:sz w:val="18"/>
              </w:rPr>
              <w:t xml:space="preserve">Opportunity identification</w:t>
            </w:r>
          </w:p>
        </w:tc>
        <w:tc>
          <w:tcPr>
            <w:tcW w:w="2640"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790" w:type="dxa"/>
          </w:tcPr>
          <w:p>
            <w:pPr>
              <w:pStyle w:val="Compact"/>
              <w:jc w:val="left"/>
            </w:pPr>
            <w:r>
              <w:rPr>
                <w:sz w:val="18"/>
              </w:rPr>
              <w:t xml:space="preserve">Vermont hospitals: Act 68 transformation grants ($2M); RHT Program subrecipient grants; BALANCE Model GLP-1 coverage</w:t>
            </w:r>
          </w:p>
        </w:tc>
        <w:tc>
          <w:tcPr>
            <w:tcW w:w="2490" w:type="dxa"/>
          </w:tcPr>
          <w:p>
            <w:pPr>
              <w:pStyle w:val="Compact"/>
              <w:jc w:val="left"/>
            </w:pPr>
            <w:r>
              <w:rPr>
                <w:sz w:val="18"/>
              </w:rPr>
              <w:t xml:space="preserve">Policy Strategy service line: federal program opportunity assessment</w:t>
            </w:r>
          </w:p>
        </w:tc>
      </w:tr>
      <w:tr>
        <w:trPr>
          <w:cantSplit/>
        </w:trPr>
        <w:tc>
          <w:tcPr>
            <w:tcW w:w="1140" w:type="dxa"/>
          </w:tcPr>
          <w:p>
            <w:pPr>
              <w:pStyle w:val="Compact"/>
              <w:jc w:val="left"/>
            </w:pPr>
            <w:r>
              <w:rPr>
                <w:sz w:val="18"/>
              </w:rPr>
              <w:t xml:space="preserve">Policy advocacy</w:t>
            </w:r>
          </w:p>
        </w:tc>
        <w:tc>
          <w:tcPr>
            <w:tcW w:w="2640"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790"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490"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3.3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numPr>
          <w:ilvl w:val="0"/>
          <w:numId w:val="1007"/>
        </w:numPr>
        <w:keepLines w:val="true"/>
        <w:keepNext w:val="true"/>
      </w:pPr>
      <w:r>
        <w:t xml:space="preserve">$911 billion in Medicaid cuts over 10 years — the largest reduction in federal health spending in American history.</w:t>
      </w:r>
    </w:p>
    <w:p>
      <w:pPr>
        <w:numPr>
          <w:ilvl w:val="0"/>
          <w:numId w:val="1007"/>
        </w:numPr>
        <w:keepLines w:val="true"/>
        <w:keepNext w:val="true"/>
      </w:pPr>
      <w:r>
        <w:t xml:space="preserve">10 million additional Americans projected uninsured by 2034 (CBO estimate).</w:t>
      </w:r>
    </w:p>
    <w:p>
      <w:pPr>
        <w:numPr>
          <w:ilvl w:val="0"/>
          <w:numId w:val="1007"/>
        </w:numPr>
        <w:keepLines w:val="true"/>
        <w:keepNext w:val="true"/>
      </w:pPr>
      <w:r>
        <w:t xml:space="preserve">Work requirements (80 hours/month) for Medicaid expansion enrollees beginning late 2026.</w:t>
      </w:r>
    </w:p>
    <w:p>
      <w:pPr>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00"/>
        <w:gridCol w:w="1695"/>
        <w:gridCol w:w="2265"/>
        <w:gridCol w:w="3015"/>
      </w:tblGrid>
      <w:tr>
        <w:trPr>
          <w:tblHeader w:val="on"/>
          <w:cantSplit/>
        </w:trPr>
        <w:tc>
          <w:tcPr>
            <w:shd w:val="clear" w:color="auto" w:fill="1B3A6B"/>
            <w:tcW w:w="2100" w:type="dxa"/>
          </w:tcPr>
          <w:p>
            <w:pPr>
              <w:pStyle w:val="Compact"/>
              <w:jc w:val="left"/>
            </w:pPr>
            <w:r>
              <w:rPr>
                <w:b/>
                <w:color w:val="FFFFFF"/>
                <w:sz w:val="18"/>
              </w:rPr>
              <w:t xml:space="preserve">H.R. 1 Medicaid provision</w:t>
            </w:r>
          </w:p>
        </w:tc>
        <w:tc>
          <w:tcPr>
            <w:shd w:val="clear" w:color="auto" w:fill="1B3A6B"/>
            <w:tcW w:w="1695" w:type="dxa"/>
          </w:tcPr>
          <w:p>
            <w:pPr>
              <w:pStyle w:val="Compact"/>
              <w:jc w:val="left"/>
            </w:pPr>
            <w:r>
              <w:rPr>
                <w:b/>
                <w:color w:val="FFFFFF"/>
                <w:sz w:val="18"/>
              </w:rPr>
              <w:t xml:space="preserve">When it takes effect</w:t>
            </w:r>
          </w:p>
        </w:tc>
        <w:tc>
          <w:tcPr>
            <w:shd w:val="clear" w:color="auto" w:fill="1B3A6B"/>
            <w:tcW w:w="2265" w:type="dxa"/>
          </w:tcPr>
          <w:p>
            <w:pPr>
              <w:pStyle w:val="Compact"/>
              <w:jc w:val="left"/>
            </w:pPr>
            <w:r>
              <w:rPr>
                <w:b/>
                <w:color w:val="FFFFFF"/>
                <w:sz w:val="18"/>
              </w:rPr>
              <w:t xml:space="preserve">Financial impact</w:t>
            </w:r>
          </w:p>
        </w:tc>
        <w:tc>
          <w:tcPr>
            <w:shd w:val="clear" w:color="auto" w:fill="1B3A6B"/>
            <w:tcW w:w="3015" w:type="dxa"/>
          </w:tcPr>
          <w:p>
            <w:pPr>
              <w:pStyle w:val="Compact"/>
              <w:jc w:val="left"/>
            </w:pPr>
            <w:r>
              <w:rPr>
                <w:b/>
                <w:color w:val="FFFFFF"/>
                <w:sz w:val="18"/>
              </w:rPr>
              <w:t xml:space="preserve">Vermont-specific implications</w:t>
            </w:r>
          </w:p>
        </w:tc>
      </w:tr>
      <w:tr>
        <w:trPr>
          <w:cantSplit/>
        </w:trPr>
        <w:tc>
          <w:tcPr>
            <w:tcW w:w="2100" w:type="dxa"/>
          </w:tcPr>
          <w:p>
            <w:pPr>
              <w:pStyle w:val="Compact"/>
              <w:jc w:val="left"/>
            </w:pPr>
            <w:r>
              <w:rPr>
                <w:sz w:val="18"/>
              </w:rPr>
              <w:t xml:space="preserve">Provider tax restrictions: ban on new or higher provider taxes in expansion states; phase-down of existing taxes</w:t>
            </w:r>
          </w:p>
        </w:tc>
        <w:tc>
          <w:tcPr>
            <w:tcW w:w="1695" w:type="dxa"/>
          </w:tcPr>
          <w:p>
            <w:pPr>
              <w:pStyle w:val="Compact"/>
              <w:jc w:val="left"/>
            </w:pPr>
            <w:r>
              <w:rPr>
                <w:sz w:val="18"/>
              </w:rPr>
              <w:t xml:space="preserve">In effect for new taxes; phase-down beginning 2027</w:t>
            </w:r>
          </w:p>
        </w:tc>
        <w:tc>
          <w:tcPr>
            <w:tcW w:w="2265" w:type="dxa"/>
          </w:tcPr>
          <w:p>
            <w:pPr>
              <w:pStyle w:val="Compact"/>
              <w:jc w:val="left"/>
            </w:pPr>
            <w:r>
              <w:rPr>
                <w:sz w:val="18"/>
              </w:rPr>
              <w:t xml:space="preserve">Reduces states’ ability to finance their Medicaid matching share; intensifies pressure on state Medicaid budgets</w:t>
            </w:r>
          </w:p>
        </w:tc>
        <w:tc>
          <w:tcPr>
            <w:tcW w:w="3015" w:type="dxa"/>
          </w:tcPr>
          <w:p>
            <w:pPr>
              <w:pStyle w:val="Compact"/>
              <w:jc w:val="left"/>
            </w:pPr>
            <w:r>
              <w:rPr>
                <w:sz w:val="18"/>
              </w:rPr>
              <w:t xml:space="preserve">Vermont’s financing mechanisms will need review; state budget implications require modeling through 2031</w:t>
            </w:r>
          </w:p>
        </w:tc>
      </w:tr>
      <w:tr>
        <w:trPr/>
        <w:tc>
          <w:tcPr>
            <w:tcW w:w="2100" w:type="dxa"/>
          </w:tcPr>
          <w:p>
            <w:pPr>
              <w:pStyle w:val="Compact"/>
              <w:jc w:val="left"/>
            </w:pPr>
            <w:r>
              <w:rPr>
                <w:sz w:val="18"/>
              </w:rPr>
              <w:t xml:space="preserve">State-directed payment caps at 100% of Medicare (expansion states)</w:t>
            </w:r>
          </w:p>
        </w:tc>
        <w:tc>
          <w:tcPr>
            <w:tcW w:w="1695" w:type="dxa"/>
          </w:tcPr>
          <w:p>
            <w:pPr>
              <w:pStyle w:val="Compact"/>
              <w:jc w:val="left"/>
            </w:pPr>
            <w:r>
              <w:rPr>
                <w:sz w:val="18"/>
              </w:rPr>
              <w:t xml:space="preserve">2027</w:t>
            </w:r>
          </w:p>
        </w:tc>
        <w:tc>
          <w:tcPr>
            <w:tcW w:w="2265"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3015"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00" w:type="dxa"/>
          </w:tcPr>
          <w:p>
            <w:pPr>
              <w:pStyle w:val="Compact"/>
              <w:jc w:val="left"/>
            </w:pPr>
            <w:r>
              <w:rPr>
                <w:sz w:val="18"/>
              </w:rPr>
              <w:t xml:space="preserve">Work and community engagement requirements (80 hours/month)</w:t>
            </w:r>
          </w:p>
        </w:tc>
        <w:tc>
          <w:tcPr>
            <w:tcW w:w="1695" w:type="dxa"/>
          </w:tcPr>
          <w:p>
            <w:pPr>
              <w:pStyle w:val="Compact"/>
              <w:jc w:val="left"/>
            </w:pPr>
            <w:r>
              <w:rPr>
                <w:sz w:val="18"/>
              </w:rPr>
              <w:t xml:space="preserve">Late 2026 (states must implement by December 31, 2026)</w:t>
            </w:r>
          </w:p>
        </w:tc>
        <w:tc>
          <w:tcPr>
            <w:tcW w:w="2265"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3015"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00" w:type="dxa"/>
          </w:tcPr>
          <w:p>
            <w:pPr>
              <w:pStyle w:val="Compact"/>
              <w:jc w:val="left"/>
            </w:pPr>
            <w:r>
              <w:rPr>
                <w:sz w:val="18"/>
              </w:rPr>
              <w:t xml:space="preserve">Eligibility redetermination every 6 months (vs. annual)</w:t>
            </w:r>
          </w:p>
        </w:tc>
        <w:tc>
          <w:tcPr>
            <w:tcW w:w="1695" w:type="dxa"/>
          </w:tcPr>
          <w:p>
            <w:pPr>
              <w:pStyle w:val="Compact"/>
              <w:jc w:val="left"/>
            </w:pPr>
            <w:r>
              <w:rPr>
                <w:sz w:val="18"/>
              </w:rPr>
              <w:t xml:space="preserve">2026</w:t>
            </w:r>
          </w:p>
        </w:tc>
        <w:tc>
          <w:tcPr>
            <w:tcW w:w="2265"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3015"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00" w:type="dxa"/>
          </w:tcPr>
          <w:p>
            <w:pPr>
              <w:pStyle w:val="Compact"/>
              <w:jc w:val="left"/>
            </w:pPr>
            <w:r>
              <w:rPr>
                <w:sz w:val="18"/>
              </w:rPr>
              <w:t xml:space="preserve">Medicaid reimbursement reductions (DSH cuts, payment rate changes)</w:t>
            </w:r>
          </w:p>
        </w:tc>
        <w:tc>
          <w:tcPr>
            <w:tcW w:w="1695" w:type="dxa"/>
          </w:tcPr>
          <w:p>
            <w:pPr>
              <w:pStyle w:val="Compact"/>
              <w:jc w:val="left"/>
            </w:pPr>
            <w:r>
              <w:rPr>
                <w:sz w:val="18"/>
              </w:rPr>
              <w:t xml:space="preserve">2026–2031 (phased)</w:t>
            </w:r>
          </w:p>
        </w:tc>
        <w:tc>
          <w:tcPr>
            <w:tcW w:w="2265" w:type="dxa"/>
          </w:tcPr>
          <w:p>
            <w:pPr>
              <w:pStyle w:val="Compact"/>
              <w:jc w:val="left"/>
            </w:pPr>
            <w:r>
              <w:rPr>
                <w:sz w:val="18"/>
              </w:rPr>
              <w:t xml:space="preserve">$911B over 10 years nationally; $137B in rural areas; hospitals will experience revenue reductions</w:t>
            </w:r>
          </w:p>
        </w:tc>
        <w:tc>
          <w:tcPr>
            <w:tcW w:w="3015"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3.4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pPr>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numPr>
          <w:ilvl w:val="0"/>
          <w:numId w:val="1009"/>
        </w:numPr>
        <w:keepLines w:val="true"/>
      </w:pPr>
      <w:r>
        <w:t xml:space="preserve">Response strategy: What is the optimal response — compliance roadmap, comment letter participation, CMMI model application, advocacy engagement?</w:t>
      </w:r>
    </w:p>
    <w:p>
      <w:pPr>
        <w:pStyle w:val="FirstParagraph"/>
      </w:pPr>
      <w: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Estimate Medicaid coverage loss under H.R. 1’s work-requirement and eligibility provisions</w:t>
            </w:r>
          </w:p>
        </w:tc>
        <w:tc>
          <w:tcPr>
            <w:tcW w:w="2736"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3" w:type="dxa"/>
          </w:tcPr>
          <w:p>
            <w:pPr>
              <w:pStyle w:val="Compact"/>
              <w:jc w:val="left"/>
            </w:pPr>
            <w:r>
              <w:rPr>
                <w:sz w:val="18"/>
              </w:rPr>
              <w:t xml:space="preserve">The gap between nominal exemptions and real-world coverage loss from administrative churn.</w:t>
            </w:r>
          </w:p>
        </w:tc>
      </w:tr>
      <w:tr>
        <w:trPr/>
        <w:tc>
          <w:tcPr>
            <w:tcW w:w="3312" w:type="dxa"/>
          </w:tcPr>
          <w:p>
            <w:pPr>
              <w:pStyle w:val="Compact"/>
              <w:jc w:val="left"/>
            </w:pPr>
            <w:r>
              <w:rPr>
                <w:sz w:val="18"/>
              </w:rPr>
              <w:t xml:space="preserve">Model the H.R. 1 funding cliff for a state’s Medicaid program</w:t>
            </w:r>
          </w:p>
        </w:tc>
        <w:tc>
          <w:tcPr>
            <w:tcW w:w="2736"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3" w:type="dxa"/>
          </w:tcPr>
          <w:p>
            <w:pPr>
              <w:pStyle w:val="Compact"/>
              <w:jc w:val="left"/>
            </w:pPr>
            <w:r>
              <w:rPr>
                <w:sz w:val="18"/>
              </w:rPr>
              <w:t xml:space="preserve">How federal policy shifts the financial assumptions every downstream pillar depends on.</w:t>
            </w:r>
          </w:p>
        </w:tc>
      </w:tr>
      <w:tr>
        <w:trPr>
          <w:cantSplit/>
        </w:trPr>
        <w:tc>
          <w:tcPr>
            <w:tcW w:w="3312" w:type="dxa"/>
          </w:tcPr>
          <w:p>
            <w:pPr>
              <w:pStyle w:val="Compact"/>
              <w:jc w:val="left"/>
            </w:pPr>
            <w:r>
              <w:rPr>
                <w:sz w:val="18"/>
              </w:rPr>
              <w:t xml:space="preserve">Test eligibility outcomes for a specific household</w:t>
            </w:r>
          </w:p>
        </w:tc>
        <w:tc>
          <w:tcPr>
            <w:tcW w:w="2736"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3" w:type="dxa"/>
          </w:tcPr>
          <w:p>
            <w:pPr>
              <w:pStyle w:val="Compact"/>
              <w:jc w:val="left"/>
            </w:pPr>
            <w:r>
              <w:rPr>
                <w:sz w:val="18"/>
              </w:rPr>
              <w:t xml:space="preserve">Where coverage transitions create gaps the clinical and equity imperatives must absorb.</w:t>
            </w:r>
          </w:p>
        </w:tc>
      </w:tr>
    </w:tbl>
    <w:p>
      <w:pPr>
        <w:pStyle w:val="Caption"/>
        <w:spacing w:before="120"/>
      </w:pPr>
      <w:r>
        <w:rPr>
          <w:i/>
          <w:iCs/>
        </w:rPr>
        <w:t xml:space="preserve">Figure 3.5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Act 68 mandate means your organization will be operating under prospective hospital global budgets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t xml:space="preserve"> </w:t>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t xml:space="preserve"> </w:t>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t xml:space="preserve"> </w:t>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t xml:space="preserve"> </w:t>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t xml:space="preserve"> </w:t>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t xml:space="preserve"> </w:t>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t xml:space="preserve"> </w:t>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FirstParagraph"/>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225"/>
        <w:gridCol w:w="5835"/>
      </w:tblGrid>
      <w:tr>
        <w:trPr>
          <w:tblHeader w:val="on"/>
          <w:cantSplit/>
        </w:trPr>
        <w:tc>
          <w:tcPr>
            <w:shd w:val="clear" w:color="auto" w:fill="1B3A6B"/>
            <w:tcW w:w="3225" w:type="dxa"/>
          </w:tcPr>
          <w:p>
            <w:pPr>
              <w:pStyle w:val="Compact"/>
              <w:jc w:val="left"/>
            </w:pPr>
            <w:r>
              <w:rPr>
                <w:b/>
                <w:color w:val="FFFFFF"/>
                <w:sz w:val="18"/>
              </w:rPr>
              <w:t xml:space="preserve">Layer</w:t>
            </w:r>
          </w:p>
        </w:tc>
        <w:tc>
          <w:tcPr>
            <w:shd w:val="clear" w:color="auto" w:fill="1B3A6B"/>
            <w:tcW w:w="5835" w:type="dxa"/>
          </w:tcPr>
          <w:p>
            <w:pPr>
              <w:pStyle w:val="Compact"/>
              <w:jc w:val="left"/>
            </w:pPr>
            <w:r>
              <w:rPr>
                <w:b/>
                <w:color w:val="FFFFFF"/>
                <w:sz w:val="18"/>
              </w:rPr>
              <w:t xml:space="preserve">Role in the data stack</w:t>
            </w:r>
          </w:p>
        </w:tc>
      </w:tr>
      <w:tr>
        <w:trPr>
          <w:cantSplit/>
        </w:trPr>
        <w:tc>
          <w:tcPr>
            <w:tcW w:w="3225" w:type="dxa"/>
          </w:tcPr>
          <w:p>
            <w:pPr>
              <w:pStyle w:val="Compact"/>
              <w:jc w:val="left"/>
            </w:pPr>
            <w:r>
              <w:rPr>
                <w:b/>
                <w:bCs/>
                <w:sz w:val="18"/>
              </w:rPr>
              <w:t xml:space="preserve">Layer 1</w:t>
            </w:r>
            <w:r>
              <w:rPr>
                <w:sz w:val="18"/>
              </w:rPr>
              <w:t xml:space="preserve"> </w:t>
            </w:r>
            <w:r>
              <w:rPr>
                <w:sz w:val="18"/>
              </w:rPr>
              <w:t xml:space="preserve">— VHCURES (All-Payer Claims Database)</w:t>
            </w:r>
          </w:p>
        </w:tc>
        <w:tc>
          <w:tcPr>
            <w:tcW w:w="5835" w:type="dxa"/>
          </w:tcPr>
          <w:p>
            <w:pPr>
              <w:pStyle w:val="Compact"/>
              <w:jc w:val="left"/>
            </w:pPr>
            <w:r>
              <w:rPr>
                <w:sz w:val="18"/>
              </w:rPr>
              <w:t xml:space="preserve">Foundation for total-cost-of-care measurement and HEDIS stratification. Gap: race/ethnicity data incomplete in commercial claims.</w:t>
            </w:r>
          </w:p>
        </w:tc>
      </w:tr>
      <w:tr>
        <w:trPr/>
        <w:tc>
          <w:tcPr>
            <w:tcW w:w="3225" w:type="dxa"/>
          </w:tcPr>
          <w:p>
            <w:pPr>
              <w:pStyle w:val="Compact"/>
              <w:jc w:val="left"/>
            </w:pPr>
            <w:r>
              <w:rPr>
                <w:b/>
                <w:bCs/>
                <w:sz w:val="18"/>
              </w:rPr>
              <w:t xml:space="preserve">Layer 2</w:t>
            </w:r>
            <w:r>
              <w:rPr>
                <w:sz w:val="18"/>
              </w:rPr>
              <w:t xml:space="preserve"> </w:t>
            </w:r>
            <w:r>
              <w:rPr>
                <w:sz w:val="18"/>
              </w:rPr>
              <w:t xml:space="preserve">— VITL / VHIE (Health Information Exchange)</w:t>
            </w:r>
          </w:p>
        </w:tc>
        <w:tc>
          <w:tcPr>
            <w:tcW w:w="5835" w:type="dxa"/>
          </w:tcPr>
          <w:p>
            <w:pPr>
              <w:pStyle w:val="Compact"/>
              <w:jc w:val="left"/>
            </w:pPr>
            <w:r>
              <w:rPr>
                <w:sz w:val="18"/>
              </w:rPr>
              <w:t xml:space="preserve">Clinical data substrate — diagnoses, labs, medications, care plans. Voluntary participation means not all providers are connected.</w:t>
            </w:r>
          </w:p>
        </w:tc>
      </w:tr>
      <w:tr>
        <w:trPr>
          <w:cantSplit/>
        </w:trPr>
        <w:tc>
          <w:tcPr>
            <w:tcW w:w="3225" w:type="dxa"/>
          </w:tcPr>
          <w:p>
            <w:pPr>
              <w:pStyle w:val="Compact"/>
              <w:jc w:val="left"/>
            </w:pPr>
            <w:r>
              <w:rPr>
                <w:b/>
                <w:bCs/>
                <w:sz w:val="18"/>
              </w:rPr>
              <w:t xml:space="preserve">Layer 3</w:t>
            </w:r>
            <w:r>
              <w:rPr>
                <w:sz w:val="18"/>
              </w:rPr>
              <w:t xml:space="preserve"> </w:t>
            </w:r>
            <w:r>
              <w:rPr>
                <w:sz w:val="18"/>
              </w:rPr>
              <w:t xml:space="preserve">— AHS-GMCB Analytics Vendor (procurement underway)</w:t>
            </w:r>
          </w:p>
        </w:tc>
        <w:tc>
          <w:tcPr>
            <w:tcW w:w="5835" w:type="dxa"/>
          </w:tcPr>
          <w:p>
            <w:pPr>
              <w:pStyle w:val="Compact"/>
              <w:jc w:val="left"/>
            </w:pPr>
            <w:r>
              <w:rPr>
                <w:sz w:val="18"/>
              </w:rPr>
              <w:t xml:space="preserve">Modeling layer for global budget design, TCOC tracking, risk stratification, and equity monitoring. Act 68 global budgets take effect FY2028.</w:t>
            </w:r>
          </w:p>
        </w:tc>
      </w:tr>
    </w:tbl>
    <w:p>
      <w:pPr>
        <w:pStyle w:val="Caption"/>
        <w:spacing w:before="120"/>
      </w:pPr>
      <w:r>
        <w:rPr>
          <w:i/>
          <w:iCs/>
        </w:rPr>
        <w:t xml:space="preserve">Figure 4.1 — Vermont’s three-layer health data infrastructure. Sources: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hospital outpatient services overall (specific high-cost lines such as imaging run higher — see Chapter 2));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485"/>
        <w:gridCol w:w="5010"/>
        <w:gridCol w:w="2580"/>
      </w:tblGrid>
      <w:tr>
        <w:trPr>
          <w:tblHeader w:val="on"/>
          <w:cantSplit/>
        </w:trPr>
        <w:tc>
          <w:tcPr>
            <w:shd w:val="clear" w:color="auto" w:fill="1B3A6B"/>
            <w:tcW w:w="1485" w:type="dxa"/>
          </w:tcPr>
          <w:p>
            <w:pPr>
              <w:pStyle w:val="Compact"/>
              <w:jc w:val="left"/>
            </w:pPr>
            <w:r>
              <w:rPr>
                <w:b/>
                <w:color w:val="FFFFFF"/>
                <w:sz w:val="18"/>
              </w:rPr>
              <w:t xml:space="preserve">Limitation</w:t>
            </w:r>
          </w:p>
        </w:tc>
        <w:tc>
          <w:tcPr>
            <w:shd w:val="clear" w:color="auto" w:fill="1B3A6B"/>
            <w:tcW w:w="5010" w:type="dxa"/>
          </w:tcPr>
          <w:p>
            <w:pPr>
              <w:pStyle w:val="Compact"/>
              <w:jc w:val="left"/>
            </w:pPr>
            <w:r>
              <w:rPr>
                <w:b/>
                <w:color w:val="FFFFFF"/>
                <w:sz w:val="18"/>
              </w:rPr>
              <w:t xml:space="preserve">What it means for transformation</w:t>
            </w:r>
          </w:p>
        </w:tc>
        <w:tc>
          <w:tcPr>
            <w:shd w:val="clear" w:color="auto" w:fill="1B3A6B"/>
            <w:tcW w:w="2580" w:type="dxa"/>
          </w:tcPr>
          <w:p>
            <w:pPr>
              <w:pStyle w:val="Compact"/>
              <w:jc w:val="left"/>
            </w:pPr>
            <w:r>
              <w:rPr>
                <w:b/>
                <w:color w:val="FFFFFF"/>
                <w:sz w:val="18"/>
              </w:rPr>
              <w:t xml:space="preserve">Required improvement</w:t>
            </w:r>
          </w:p>
        </w:tc>
      </w:tr>
      <w:tr>
        <w:trPr>
          <w:cantSplit/>
        </w:trPr>
        <w:tc>
          <w:tcPr>
            <w:tcW w:w="1485" w:type="dxa"/>
          </w:tcPr>
          <w:p>
            <w:pPr>
              <w:pStyle w:val="Compact"/>
              <w:jc w:val="left"/>
            </w:pPr>
            <w:r>
              <w:rPr>
                <w:sz w:val="18"/>
              </w:rPr>
              <w:t xml:space="preserve">Incomplete commercial coverage (60%)</w:t>
            </w:r>
          </w:p>
        </w:tc>
        <w:tc>
          <w:tcPr>
            <w:tcW w:w="501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580"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485" w:type="dxa"/>
          </w:tcPr>
          <w:p>
            <w:pPr>
              <w:pStyle w:val="Compact"/>
              <w:jc w:val="left"/>
            </w:pPr>
            <w:r>
              <w:rPr>
                <w:sz w:val="18"/>
              </w:rPr>
              <w:t xml:space="preserve">Data lag of 12-18+ months</w:t>
            </w:r>
          </w:p>
        </w:tc>
        <w:tc>
          <w:tcPr>
            <w:tcW w:w="501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580" w:type="dxa"/>
          </w:tcPr>
          <w:p>
            <w:pPr>
              <w:pStyle w:val="Compact"/>
              <w:jc w:val="left"/>
            </w:pPr>
            <w:r>
              <w:rPr>
                <w:sz w:val="18"/>
              </w:rPr>
              <w:t xml:space="preserve">Act 68 global budgets require more timely data reporting; RHT Program analytics investments; GMCB FY27 hospital budget guidance requires hospitals to report more frequently; push for 60-90 day claims lag instead of 12-18 months</w:t>
            </w:r>
          </w:p>
        </w:tc>
      </w:tr>
      <w:tr>
        <w:trPr/>
        <w:tc>
          <w:tcPr>
            <w:tcW w:w="1485" w:type="dxa"/>
          </w:tcPr>
          <w:p>
            <w:pPr>
              <w:pStyle w:val="Compact"/>
              <w:jc w:val="left"/>
            </w:pPr>
            <w:r>
              <w:rPr>
                <w:sz w:val="18"/>
              </w:rPr>
              <w:t xml:space="preserve">No behavioral health or SDOH data integration</w:t>
            </w:r>
          </w:p>
        </w:tc>
        <w:tc>
          <w:tcPr>
            <w:tcW w:w="501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580"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485" w:type="dxa"/>
          </w:tcPr>
          <w:p>
            <w:pPr>
              <w:pStyle w:val="Compact"/>
              <w:jc w:val="left"/>
            </w:pPr>
            <w:r>
              <w:rPr>
                <w:sz w:val="18"/>
              </w:rPr>
              <w:t xml:space="preserve">No clinical results, only billing records</w:t>
            </w:r>
          </w:p>
        </w:tc>
        <w:tc>
          <w:tcPr>
            <w:tcW w:w="501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580"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4.2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numPr>
          <w:ilvl w:val="0"/>
          <w:numId w:val="1010"/>
        </w:numPr>
        <w:keepLines w:val="true"/>
        <w:keepNext w:val="true"/>
      </w:pPr>
      <w:r>
        <w:t xml:space="preserve">Perception: Vermont has a statewide Health Information Exchange, operated under exclusive statutory designation by VITL.</w:t>
      </w:r>
    </w:p>
    <w:p>
      <w:pPr>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line="240" w:lineRule="auto"/>
        <w:rPr>
          <w:sz w:val="16"/>
        </w:rPr>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05"/>
        <w:gridCol w:w="3225"/>
        <w:gridCol w:w="1815"/>
        <w:gridCol w:w="2445"/>
      </w:tblGrid>
      <w:tr>
        <w:trPr>
          <w:tblHeader w:val="on"/>
          <w:cantSplit/>
        </w:trPr>
        <w:tc>
          <w:tcPr>
            <w:shd w:val="clear" w:color="auto" w:fill="1B3A6B"/>
            <w:tcW w:w="1605" w:type="dxa"/>
          </w:tcPr>
          <w:p>
            <w:pPr>
              <w:pStyle w:val="Compact"/>
              <w:jc w:val="left"/>
            </w:pPr>
            <w:r>
              <w:rPr>
                <w:b/>
                <w:color w:val="FFFFFF"/>
                <w:sz w:val="18"/>
              </w:rPr>
              <w:t xml:space="preserve">Step</w:t>
            </w:r>
          </w:p>
        </w:tc>
        <w:tc>
          <w:tcPr>
            <w:shd w:val="clear" w:color="auto" w:fill="1B3A6B"/>
            <w:tcW w:w="322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05" w:type="dxa"/>
          </w:tcPr>
          <w:p>
            <w:pPr>
              <w:pStyle w:val="Compact"/>
              <w:jc w:val="left"/>
            </w:pPr>
            <w:r>
              <w:rPr>
                <w:sz w:val="18"/>
              </w:rPr>
              <w:t xml:space="preserve">1. VHCURES-VHIE claims-clinical integration</w:t>
            </w:r>
          </w:p>
        </w:tc>
        <w:tc>
          <w:tcPr>
            <w:tcW w:w="322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Act 68 global budgets require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05" w:type="dxa"/>
          </w:tcPr>
          <w:p>
            <w:pPr>
              <w:pStyle w:val="Compact"/>
              <w:jc w:val="left"/>
            </w:pPr>
            <w:r>
              <w:rPr>
                <w:sz w:val="18"/>
              </w:rPr>
              <w:t xml:space="preserve">2. Mental health and SUD data integration</w:t>
            </w:r>
          </w:p>
        </w:tc>
        <w:tc>
          <w:tcPr>
            <w:tcW w:w="322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05" w:type="dxa"/>
          </w:tcPr>
          <w:p>
            <w:pPr>
              <w:pStyle w:val="Compact"/>
              <w:jc w:val="left"/>
            </w:pPr>
            <w:r>
              <w:rPr>
                <w:sz w:val="18"/>
              </w:rPr>
              <w:t xml:space="preserve">3. SDOH data integration</w:t>
            </w:r>
          </w:p>
        </w:tc>
        <w:tc>
          <w:tcPr>
            <w:tcW w:w="322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4.3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050"/>
        <w:gridCol w:w="3105"/>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050" w:type="dxa"/>
          </w:tcPr>
          <w:p>
            <w:pPr>
              <w:pStyle w:val="Compact"/>
              <w:jc w:val="left"/>
            </w:pPr>
            <w:r>
              <w:rPr>
                <w:b/>
                <w:color w:val="FFFFFF"/>
                <w:sz w:val="18"/>
              </w:rPr>
              <w:t xml:space="preserve">Name</w:t>
            </w:r>
          </w:p>
        </w:tc>
        <w:tc>
          <w:tcPr>
            <w:shd w:val="clear" w:color="auto" w:fill="1B3A6B"/>
            <w:tcW w:w="3105"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050" w:type="dxa"/>
          </w:tcPr>
          <w:p>
            <w:pPr>
              <w:pStyle w:val="Compact"/>
              <w:jc w:val="left"/>
            </w:pPr>
            <w:r>
              <w:rPr>
                <w:sz w:val="18"/>
              </w:rPr>
              <w:t xml:space="preserve">End-User Services</w:t>
            </w:r>
          </w:p>
        </w:tc>
        <w:tc>
          <w:tcPr>
            <w:tcW w:w="3105"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050" w:type="dxa"/>
          </w:tcPr>
          <w:p>
            <w:pPr>
              <w:pStyle w:val="Compact"/>
              <w:jc w:val="left"/>
            </w:pPr>
            <w:r>
              <w:rPr>
                <w:sz w:val="18"/>
              </w:rPr>
              <w:t xml:space="preserve">Exchange Services</w:t>
            </w:r>
          </w:p>
        </w:tc>
        <w:tc>
          <w:tcPr>
            <w:tcW w:w="3105"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050" w:type="dxa"/>
          </w:tcPr>
          <w:p>
            <w:pPr>
              <w:pStyle w:val="Compact"/>
              <w:jc w:val="left"/>
            </w:pPr>
            <w:r>
              <w:rPr>
                <w:sz w:val="18"/>
              </w:rPr>
              <w:t xml:space="preserve">Foundational Services</w:t>
            </w:r>
          </w:p>
        </w:tc>
        <w:tc>
          <w:tcPr>
            <w:tcW w:w="3105"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4.4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Act 68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4.5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numPr>
          <w:ilvl w:val="0"/>
          <w:numId w:val="1012"/>
        </w:numPr>
        <w:keepLines w:val="true"/>
        <w:keepNext w:val="true"/>
      </w:pPr>
      <w: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pPr>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4.6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30 to 45 minutes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later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later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455"/>
        <w:gridCol w:w="7620"/>
      </w:tblGrid>
      <w:tr>
        <w:trPr>
          <w:tblHeader w:val="on"/>
          <w:cantSplit/>
        </w:trPr>
        <w:tc>
          <w:tcPr>
            <w:shd w:val="clear" w:color="auto" w:fill="1B3A6B"/>
            <w:tcW w:w="1455" w:type="dxa"/>
          </w:tcPr>
          <w:p>
            <w:pPr>
              <w:pStyle w:val="Compact"/>
            </w:pPr>
            <w:r>
              <w:rPr>
                <w:b/>
                <w:color w:val="FFFFFF"/>
                <w:sz w:val="18"/>
              </w:rPr>
              <w:t xml:space="preserve">Layer</w:t>
            </w:r>
          </w:p>
        </w:tc>
        <w:tc>
          <w:tcPr>
            <w:shd w:val="clear" w:color="auto" w:fill="1B3A6B"/>
            <w:tcW w:w="7620" w:type="dxa"/>
          </w:tcPr>
          <w:p>
            <w:pPr>
              <w:pStyle w:val="Compact"/>
            </w:pPr>
            <w:r>
              <w:rPr>
                <w:b/>
                <w:color w:val="FFFFFF"/>
                <w:sz w:val="18"/>
              </w:rPr>
              <w:t xml:space="preserve">Components</w:t>
            </w:r>
          </w:p>
        </w:tc>
      </w:tr>
      <w:tr>
        <w:trPr>
          <w:cantSplit/>
        </w:trPr>
        <w:tc>
          <w:tcPr>
            <w:tcW w:w="1455" w:type="dxa"/>
          </w:tcPr>
          <w:p>
            <w:pPr>
              <w:pStyle w:val="Compact"/>
            </w:pPr>
            <w:r>
              <w:rPr>
                <w:b/>
                <w:bCs/>
                <w:sz w:val="18"/>
              </w:rPr>
              <w:t xml:space="preserve">Layer 5 (Top)</w:t>
            </w:r>
            <w:r>
              <w:rPr>
                <w:sz w:val="18"/>
              </w:rPr>
              <w:t xml:space="preserve"> </w:t>
            </w:r>
            <w:r>
              <w:rPr>
                <w:sz w:val="18"/>
              </w:rPr>
              <w:t xml:space="preserve">— Advanced Analytics &amp; AI Applications</w:t>
            </w:r>
          </w:p>
        </w:tc>
        <w:tc>
          <w:tcPr>
            <w:tcW w:w="7620" w:type="dxa"/>
          </w:tcPr>
          <w:p>
            <w:pPr>
              <w:numPr>
                <w:ilvl w:val="0"/>
                <w:numId w:val="1014"/>
              </w:numPr>
            </w:pPr>
            <w:r>
              <w:rPr>
                <w:sz w:val="18"/>
              </w:rPr>
              <w:t xml:space="preserve">Population health analytics platform (joint AHS-GMCB vendor): models transformation scenarios, evaluates hospital proposals, tracks outcome metrics</w:t>
            </w:r>
          </w:p>
          <w:p>
            <w:pPr>
              <w:numPr>
                <w:ilvl w:val="0"/>
                <w:numId w:val="1014"/>
              </w:numPr>
            </w:pPr>
            <w:r>
              <w:rPr>
                <w:sz w:val="18"/>
              </w:rPr>
              <w:t xml:space="preserve">AI scribe &amp; documentation automation: RHT grants; CIN enterprise contract</w:t>
            </w:r>
          </w:p>
          <w:p>
            <w:pPr>
              <w:numPr>
                <w:ilvl w:val="0"/>
                <w:numId w:val="1014"/>
              </w:numPr>
            </w:pPr>
            <w:r>
              <w:rPr>
                <w:sz w:val="18"/>
              </w:rPr>
              <w:t xml:space="preserve">Diagnostic AI: network-wide deployment via CIN shared services with shared AI governance</w:t>
            </w:r>
          </w:p>
          <w:p>
            <w:pPr>
              <w:numPr>
                <w:ilvl w:val="0"/>
                <w:numId w:val="1014"/>
              </w:numPr>
            </w:pPr>
            <w:r>
              <w:rPr>
                <w:sz w:val="18"/>
              </w:rPr>
              <w:t xml:space="preserve">Remote patient monitoring: RPM for CHF, COPD, diabetes; community paramedicine integration</w:t>
            </w:r>
          </w:p>
          <w:p>
            <w:pPr>
              <w:numPr>
                <w:ilvl w:val="0"/>
                <w:numId w:val="1014"/>
              </w:numPr>
            </w:pPr>
            <w:r>
              <w:rPr>
                <w:sz w:val="18"/>
              </w:rPr>
              <w:t xml:space="preserve">Price transparency dashboard: GMCB public tool; patient-facing comparison via RHT</w:t>
            </w:r>
          </w:p>
        </w:tc>
      </w:tr>
      <w:tr>
        <w:trPr/>
        <w:tc>
          <w:tcPr>
            <w:tcW w:w="1455" w:type="dxa"/>
          </w:tcPr>
          <w:p>
            <w:pPr>
              <w:pStyle w:val="Compact"/>
            </w:pPr>
            <w:r>
              <w:rPr>
                <w:b/>
                <w:bCs/>
                <w:sz w:val="18"/>
              </w:rPr>
              <w:t xml:space="preserve">Layer 4</w:t>
            </w:r>
            <w:r>
              <w:rPr>
                <w:sz w:val="18"/>
              </w:rPr>
              <w:t xml:space="preserve"> </w:t>
            </w:r>
            <w:r>
              <w:rPr>
                <w:sz w:val="18"/>
              </w:rPr>
              <w:t xml:space="preserve">— Population Health Management</w:t>
            </w:r>
          </w:p>
        </w:tc>
        <w:tc>
          <w:tcPr>
            <w:tcW w:w="7620" w:type="dxa"/>
          </w:tcPr>
          <w:p>
            <w:pPr>
              <w:numPr>
                <w:ilvl w:val="0"/>
                <w:numId w:val="1015"/>
              </w:numPr>
            </w:pPr>
            <w:r>
              <w:rPr>
                <w:sz w:val="18"/>
              </w:rPr>
              <w:t xml:space="preserve">Blueprint clinical data registry: HEDIS measurement, care-gap reporting, population risk stratification</w:t>
            </w:r>
          </w:p>
          <w:p>
            <w:pPr>
              <w:numPr>
                <w:ilvl w:val="0"/>
                <w:numId w:val="1015"/>
              </w:numPr>
            </w:pPr>
            <w:r>
              <w:rPr>
                <w:sz w:val="18"/>
              </w:rPr>
              <w:t xml:space="preserve">Attribution management: patient-to-hospital attribution for hospital global budgets</w:t>
            </w:r>
          </w:p>
          <w:p>
            <w:pPr>
              <w:numPr>
                <w:ilvl w:val="0"/>
                <w:numId w:val="1015"/>
              </w:numPr>
            </w:pPr>
            <w:r>
              <w:rPr>
                <w:sz w:val="18"/>
              </w:rPr>
              <w:t xml:space="preserve">SDOH screening data: Blueprint HRSN results linked to health records</w:t>
            </w:r>
          </w:p>
          <w:p>
            <w:pPr>
              <w:numPr>
                <w:ilvl w:val="0"/>
                <w:numId w:val="1015"/>
              </w:numPr>
            </w:pPr>
            <w:r>
              <w:rPr>
                <w:sz w:val="18"/>
              </w:rPr>
              <w:t xml:space="preserve">Care coordination registry: CHT patient registries; CCBHC care-management data</w:t>
            </w:r>
          </w:p>
        </w:tc>
      </w:tr>
      <w:tr>
        <w:trPr/>
        <w:tc>
          <w:tcPr>
            <w:tcW w:w="1455" w:type="dxa"/>
          </w:tcPr>
          <w:p>
            <w:pPr>
              <w:pStyle w:val="Compact"/>
            </w:pPr>
            <w:r>
              <w:rPr>
                <w:b/>
                <w:bCs/>
                <w:sz w:val="18"/>
              </w:rPr>
              <w:t xml:space="preserve">Layer 3</w:t>
            </w:r>
            <w:r>
              <w:rPr>
                <w:sz w:val="18"/>
              </w:rPr>
              <w:t xml:space="preserve"> </w:t>
            </w:r>
            <w:r>
              <w:rPr>
                <w:sz w:val="18"/>
              </w:rPr>
              <w:t xml:space="preserve">— Integrated Health Record (Target State)</w:t>
            </w:r>
          </w:p>
        </w:tc>
        <w:tc>
          <w:tcPr>
            <w:tcW w:w="7620" w:type="dxa"/>
          </w:tcPr>
          <w:p>
            <w:pPr>
              <w:numPr>
                <w:ilvl w:val="0"/>
                <w:numId w:val="1016"/>
              </w:numPr>
            </w:pPr>
            <w:r>
              <w:rPr>
                <w:sz w:val="18"/>
              </w:rPr>
              <w:t xml:space="preserve">VHCURES–VHIE integration: claims merged with clinical data per HIE Steering Committee mandate</w:t>
            </w:r>
          </w:p>
          <w:p>
            <w:pPr>
              <w:numPr>
                <w:ilvl w:val="0"/>
                <w:numId w:val="1016"/>
              </w:numPr>
            </w:pPr>
            <w:r>
              <w:rPr>
                <w:sz w:val="18"/>
              </w:rPr>
              <w:t xml:space="preserve">Mental health &amp; SUD data integration: 42 CFR Part 2 compliant consent; CCBHC and DA data</w:t>
            </w:r>
          </w:p>
          <w:p>
            <w:pPr>
              <w:numPr>
                <w:ilvl w:val="0"/>
                <w:numId w:val="1016"/>
              </w:numPr>
            </w:pPr>
            <w:r>
              <w:rPr>
                <w:sz w:val="18"/>
              </w:rPr>
              <w:t xml:space="preserve">SDOH data integration: social-service utilization linked to the health record with privacy protections</w:t>
            </w:r>
          </w:p>
          <w:p>
            <w:pPr>
              <w:numPr>
                <w:ilvl w:val="0"/>
                <w:numId w:val="1016"/>
              </w:numPr>
            </w:pPr>
            <w:r>
              <w:rPr>
                <w:sz w:val="18"/>
              </w:rPr>
              <w:t xml:space="preserve">Single patient identity: master patient index across all 14 hospitals and community providers</w:t>
            </w:r>
          </w:p>
        </w:tc>
      </w:tr>
      <w:tr>
        <w:trPr/>
        <w:tc>
          <w:tcPr>
            <w:tcW w:w="1455" w:type="dxa"/>
          </w:tcPr>
          <w:p>
            <w:pPr>
              <w:pStyle w:val="Compact"/>
            </w:pPr>
            <w:r>
              <w:rPr>
                <w:b/>
                <w:bCs/>
                <w:sz w:val="18"/>
              </w:rPr>
              <w:t xml:space="preserve">Layer 2</w:t>
            </w:r>
            <w:r>
              <w:rPr>
                <w:sz w:val="18"/>
              </w:rPr>
              <w:t xml:space="preserve"> </w:t>
            </w:r>
            <w:r>
              <w:rPr>
                <w:sz w:val="18"/>
              </w:rPr>
              <w:t xml:space="preserve">— Data Exchange Infrastructure</w:t>
            </w:r>
          </w:p>
        </w:tc>
        <w:tc>
          <w:tcPr>
            <w:tcW w:w="7620" w:type="dxa"/>
          </w:tcPr>
          <w:p>
            <w:pPr>
              <w:numPr>
                <w:ilvl w:val="0"/>
                <w:numId w:val="1017"/>
              </w:numPr>
            </w:pPr>
            <w:r>
              <w:rPr>
                <w:sz w:val="18"/>
              </w:rPr>
              <w:t xml:space="preserve">Vermont Health Information Exchange (VHIE/VITL): clinical data exchange; connectivity mandated by Act 68</w:t>
            </w:r>
          </w:p>
          <w:p>
            <w:pPr>
              <w:numPr>
                <w:ilvl w:val="0"/>
                <w:numId w:val="1017"/>
              </w:numPr>
            </w:pPr>
            <w:r>
              <w:rPr>
                <w:sz w:val="18"/>
              </w:rPr>
              <w:t xml:space="preserve">FHIR R4 APIs: CMS-mandated payer and provider APIs; expanding to community providers via RHT grants</w:t>
            </w:r>
          </w:p>
          <w:p>
            <w:pPr>
              <w:numPr>
                <w:ilvl w:val="0"/>
                <w:numId w:val="1017"/>
              </w:numPr>
            </w:pPr>
            <w:r>
              <w:rPr>
                <w:sz w:val="18"/>
              </w:rPr>
              <w:t xml:space="preserve">Vermont Clinically Integrated Network: shared data standards, protocols, exchange agreements across 14 hospitals</w:t>
            </w:r>
          </w:p>
          <w:p>
            <w:pPr>
              <w:numPr>
                <w:ilvl w:val="0"/>
                <w:numId w:val="1017"/>
              </w:numPr>
            </w:pPr>
            <w:r>
              <w:rPr>
                <w:sz w:val="18"/>
              </w:rPr>
              <w:t xml:space="preserve">CommonWell / Carequality: national network connectivity for out-of-state care records</w:t>
            </w:r>
          </w:p>
        </w:tc>
      </w:tr>
      <w:tr>
        <w:trPr>
          <w:cantSplit/>
        </w:trPr>
        <w:tc>
          <w:tcPr>
            <w:tcW w:w="1455" w:type="dxa"/>
          </w:tcPr>
          <w:p>
            <w:pPr>
              <w:pStyle w:val="Compact"/>
            </w:pPr>
            <w:r>
              <w:rPr>
                <w:b/>
                <w:bCs/>
                <w:sz w:val="18"/>
              </w:rPr>
              <w:t xml:space="preserve">Layer 1 (Foundation)</w:t>
            </w:r>
            <w:r>
              <w:rPr>
                <w:sz w:val="18"/>
              </w:rPr>
              <w:t xml:space="preserve"> </w:t>
            </w:r>
            <w:r>
              <w:rPr>
                <w:sz w:val="18"/>
              </w:rPr>
              <w:t xml:space="preserve">— Core Data Assets</w:t>
            </w:r>
          </w:p>
        </w:tc>
        <w:tc>
          <w:tcPr>
            <w:tcW w:w="7620" w:type="dxa"/>
          </w:tcPr>
          <w:p>
            <w:pPr>
              <w:numPr>
                <w:ilvl w:val="0"/>
                <w:numId w:val="1018"/>
              </w:numPr>
            </w:pPr>
            <w:r>
              <w:rPr>
                <w:sz w:val="18"/>
              </w:rPr>
              <w:t xml:space="preserve">VHCURES (all-payer claims database): 100% Medicaid/Medicare; 60% commercial; GMCB-managed; Onpoint vendor</w:t>
            </w:r>
          </w:p>
          <w:p>
            <w:pPr>
              <w:numPr>
                <w:ilvl w:val="0"/>
                <w:numId w:val="1018"/>
              </w:numPr>
            </w:pPr>
            <w:r>
              <w:rPr>
                <w:sz w:val="18"/>
              </w:rPr>
              <w:t xml:space="preserve">VUHDDS (hospital discharge database): all 14 hospitals; all inpatient, outpatient, ED discharges</w:t>
            </w:r>
          </w:p>
          <w:p>
            <w:pPr>
              <w:numPr>
                <w:ilvl w:val="0"/>
                <w:numId w:val="1018"/>
              </w:numPr>
            </w:pPr>
            <w:r>
              <w:rPr>
                <w:sz w:val="18"/>
              </w:rPr>
              <w:t xml:space="preserve">EHR systems at 14 hospitals: Epic (UVMMC, CVMC), Oracle Health (others), TruBridge (CAHs), Meditech (others)</w:t>
            </w:r>
          </w:p>
          <w:p>
            <w:pPr>
              <w:numPr>
                <w:ilvl w:val="0"/>
                <w:numId w:val="1018"/>
              </w:numPr>
            </w:pPr>
            <w:r>
              <w:rPr>
                <w:sz w:val="18"/>
              </w:rPr>
              <w:t xml:space="preserve">Blueprint clinical registry: quality-measure data linked to VHCURES for population-level HEDIS</w:t>
            </w:r>
          </w:p>
          <w:p>
            <w:pPr>
              <w:numPr>
                <w:ilvl w:val="0"/>
                <w:numId w:val="1018"/>
              </w:numPr>
            </w:pPr>
            <w:r>
              <w:rPr>
                <w:sz w:val="18"/>
              </w:rPr>
              <w:t xml:space="preserve">GMCB regulatory data: hospital budgets, rate filings, CON decisions, ACO budget data</w:t>
            </w:r>
          </w:p>
        </w:tc>
      </w:tr>
    </w:tbl>
    <w:p>
      <w:pPr>
        <w:pStyle w:val="Caption"/>
        <w:spacing w:before="120"/>
      </w:pPr>
      <w:r>
        <w:rPr>
          <w:i/>
          <w:iCs/>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Build FHIR R4 resources and map terminology across ICD-10, SNOMED, LOINC, RxNorm</w:t>
            </w:r>
          </w:p>
        </w:tc>
        <w:tc>
          <w:tcPr>
            <w:tcW w:w="2736"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3"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312" w:type="dxa"/>
          </w:tcPr>
          <w:p>
            <w:pPr>
              <w:pStyle w:val="Compact"/>
              <w:jc w:val="left"/>
            </w:pPr>
            <w:r>
              <w:rPr>
                <w:sz w:val="18"/>
              </w:rPr>
              <w:t xml:space="preserve">Stratify a population by CMS-HCC risk and see the attribution that global budgets require</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Why technology must precede economics: you cannot manage a budget for a population you cannot see.</w:t>
            </w:r>
          </w:p>
        </w:tc>
      </w:tr>
      <w:tr>
        <w:trPr/>
        <w:tc>
          <w:tcPr>
            <w:tcW w:w="3312" w:type="dxa"/>
          </w:tcPr>
          <w:p>
            <w:pPr>
              <w:pStyle w:val="Compact"/>
              <w:jc w:val="left"/>
            </w:pPr>
            <w:r>
              <w:rPr>
                <w:sz w:val="18"/>
              </w:rPr>
              <w:t xml:space="preserve">Compare EHR vendors, model adoption cost and 5-year ROI, and audit a record’s USCDI data quality</w:t>
            </w:r>
          </w:p>
        </w:tc>
        <w:tc>
          <w:tcPr>
            <w:tcW w:w="2736"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3"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312" w:type="dxa"/>
          </w:tcPr>
          <w:p>
            <w:pPr>
              <w:pStyle w:val="Compact"/>
              <w:jc w:val="left"/>
            </w:pPr>
            <w:r>
              <w:rPr>
                <w:sz w:val="18"/>
              </w:rPr>
              <w:t xml:space="preserve">Weigh a single statewide EHR against FHIR interoperability across Vermont’s existing platforms</w:t>
            </w:r>
          </w:p>
        </w:tc>
        <w:tc>
          <w:tcPr>
            <w:tcW w:w="2736"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3"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4.8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t xml:space="preserve"> </w:t>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t xml:space="preserve"> </w:t>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t xml:space="preserve"> </w:t>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t xml:space="preserve"> </w:t>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t xml:space="preserve"> </w:t>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t xml:space="preserve"> </w:t>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t xml:space="preserve"> </w:t>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t xml:space="preserve"> </w:t>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t xml:space="preserve"> </w:t>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FirstParagraph"/>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line="240" w:lineRule="auto"/>
        <w:rPr>
          <w:sz w:val="16"/>
        </w:rPr>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four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the attributed Medicare population; identify the top 5% highest-risk patients for intensive CHT engagement before global budgets take effect</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Caption"/>
        <w:spacing w:before="120"/>
      </w:pPr>
      <w:r>
        <w:rPr>
          <w:i/>
          <w:iCs/>
        </w:rPr>
        <w:t xml:space="preserve">Figure 5.3 — Technology pillar implementation matrix. Sources: HTR Advisory; Vermont RHT Program (2025); CMS interoperability rule.</w:t>
      </w:r>
    </w:p>
    <w:p>
      <w:pPr>
        <w:pStyle w:val="Heading2"/>
        <w:pBdr>
          <w:top w:val="single" w:sz="6" w:space="10" w:color="C9D2DF"/>
        </w:pBdr>
        <w:keepNext w:val="false"/>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Build an AI clinical governance framework across the model lifecycle</w:t>
            </w:r>
          </w:p>
        </w:tc>
        <w:tc>
          <w:tcPr>
            <w:tcW w:w="2736"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3" w:type="dxa"/>
          </w:tcPr>
          <w:p>
            <w:pPr>
              <w:pStyle w:val="Compact"/>
              <w:jc w:val="left"/>
            </w:pPr>
            <w:r>
              <w:rPr>
                <w:sz w:val="18"/>
              </w:rPr>
              <w:t xml:space="preserve">The 65-item checklist as a go/no-go gate before any clinical AI deployment.</w:t>
            </w:r>
          </w:p>
        </w:tc>
      </w:tr>
      <w:tr>
        <w:trPr/>
        <w:tc>
          <w:tcPr>
            <w:tcW w:w="3312" w:type="dxa"/>
          </w:tcPr>
          <w:p>
            <w:pPr>
              <w:pStyle w:val="Compact"/>
              <w:jc w:val="left"/>
            </w:pPr>
            <w:r>
              <w:rPr>
                <w:sz w:val="18"/>
              </w:rPr>
              <w:t xml:space="preserve">Model RPM and telehealth ROI by condition and CPT code</w:t>
            </w:r>
          </w:p>
        </w:tc>
        <w:tc>
          <w:tcPr>
            <w:tcW w:w="2736"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3" w:type="dxa"/>
          </w:tcPr>
          <w:p>
            <w:pPr>
              <w:pStyle w:val="Compact"/>
              <w:jc w:val="left"/>
            </w:pPr>
            <w:r>
              <w:rPr>
                <w:sz w:val="18"/>
              </w:rPr>
              <w:t xml:space="preserve">Where digital health earns its cost — and where it adds alert fatigue without value.</w:t>
            </w:r>
          </w:p>
        </w:tc>
      </w:tr>
      <w:tr>
        <w:trPr/>
        <w:tc>
          <w:tcPr>
            <w:tcW w:w="3312" w:type="dxa"/>
          </w:tcPr>
          <w:p>
            <w:pPr>
              <w:pStyle w:val="Compact"/>
              <w:jc w:val="left"/>
            </w:pPr>
            <w:r>
              <w:rPr>
                <w:sz w:val="18"/>
              </w:rPr>
              <w:t xml:space="preserve">Exercise clinical data exchange and HL7 messaging</w:t>
            </w:r>
          </w:p>
        </w:tc>
        <w:tc>
          <w:tcPr>
            <w:tcW w:w="2736"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3" w:type="dxa"/>
          </w:tcPr>
          <w:p>
            <w:pPr>
              <w:pStyle w:val="Compact"/>
              <w:jc w:val="left"/>
            </w:pPr>
            <w:r>
              <w:rPr>
                <w:sz w:val="18"/>
              </w:rPr>
              <w:t xml:space="preserve">The integration work that makes near-real-time care management possible.</w:t>
            </w:r>
          </w:p>
        </w:tc>
      </w:tr>
      <w:tr>
        <w:trPr>
          <w:cantSplit/>
        </w:trPr>
        <w:tc>
          <w:tcPr>
            <w:tcW w:w="3312" w:type="dxa"/>
          </w:tcPr>
          <w:p>
            <w:pPr>
              <w:pStyle w:val="Compact"/>
              <w:jc w:val="left"/>
            </w:pPr>
            <w:r>
              <w:rPr>
                <w:sz w:val="18"/>
              </w:rPr>
              <w:t xml:space="preserve">Test whether FHIR-based exchange can deliver what a statewide EHR would, at lower cost</w:t>
            </w:r>
          </w:p>
        </w:tc>
        <w:tc>
          <w:tcPr>
            <w:tcW w:w="2736"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3"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5.4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t xml:space="preserve"> </w:t>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t xml:space="preserve"> </w:t>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t xml:space="preserve"> </w:t>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t xml:space="preserve"> </w:t>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t xml:space="preserve"> </w:t>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t xml:space="preserve"> </w:t>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t xml:space="preserve"> </w:t>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t xml:space="preserve"> </w:t>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FirstParagraph"/>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five pillars in the five-pillar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358%</w:t>
            </w:r>
          </w:p>
          <w:p>
            <w:pPr>
              <w:jc w:val="center"/>
              <w:spacing w:after="40"/>
            </w:pPr>
            <w:r>
              <w:rPr>
                <w:rFonts w:ascii="Calibri" w:hAnsi="Calibri"/>
                <w:b/>
                <w:sz w:val="16"/>
                <w:color w:val="1B3A6B"/>
              </w:rPr>
              <w:t>UVMMC Commercial vs. Medicare (RAND)</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Average commercial-to-Medicare ratio, Vermont hospitals 250–300% vs. ~136% break-even point</w:t>
            </w:r>
          </w:p>
        </w:tc>
        <w:tc>
          <w:tcPr>
            <w:shd w:val="clear" w:color="auto" w:fill="EDF2F9"/>
            <w:tcW w:w="4536" w:type="dxa"/>
          </w:tcPr>
          <w:p>
            <w:pPr>
              <w:pStyle w:val="Compact"/>
              <w:jc w:val="left"/>
            </w:pPr>
            <w:r>
              <w:rPr>
                <w:b/>
                <w:color w:val="111111"/>
                <w:sz w:val="18"/>
              </w:rPr>
              <w:t xml:space="preserve">Outpatient imaging — worst case 944% of Medicare rate at one Vermont hospital</w:t>
            </w:r>
          </w:p>
        </w:tc>
      </w:tr>
      <w:tr>
        <w:trPr/>
        <w:tc>
          <w:tcPr>
            <w:tcW w:w="4536" w:type="dxa"/>
          </w:tcPr>
          <w:p>
            <w:pPr>
              <w:pStyle w:val="Compact"/>
              <w:jc w:val="left"/>
            </w:pPr>
            <w:r>
              <w:rPr>
                <w:sz w:val="18"/>
              </w:rPr>
              <w:t xml:space="preserve">UVMMC commercial prices 358% of Medicare (RAND, 2018–2020 data) — the highest in Vermont</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Figure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lef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lef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lef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lef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lef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lef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left"/>
            </w:pPr>
            <w:r>
              <w:rPr>
                <w:sz w:val="18"/>
              </w:rPr>
              <w:t xml:space="preserve">$948</w:t>
            </w:r>
          </w:p>
        </w:tc>
      </w:tr>
    </w:tbl>
    <w:p>
      <w:pPr>
        <w:pStyle w:val="Caption"/>
        <w:spacing w:before="120"/>
      </w:pPr>
      <w:r>
        <w:rPr>
          <w:i/>
          <w:iCs/>
        </w:rPr>
        <w:t xml:space="preserve">Figure 6.2 — Vermont silver marketplace premium trajectory 2018–2024, showing 108% increase over six years. Sources: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line="240" w:lineRule="auto"/>
        <w:rPr>
          <w:sz w:val="16"/>
        </w:rPr>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numPr>
          <w:ilvl w:val="0"/>
          <w:numId w:val="1019"/>
        </w:numPr>
        <w:keepLines w:val="true"/>
        <w:keepNext w:val="true"/>
      </w:pPr>
      <w:r>
        <w:t xml:space="preserve">Mandatory, not voluntary — every hospital, every commercial payer, by FY2027</w:t>
      </w:r>
    </w:p>
    <w:p>
      <w:pPr>
        <w:numPr>
          <w:ilvl w:val="0"/>
          <w:numId w:val="1019"/>
        </w:numPr>
        <w:keepLines w:val="true"/>
        <w:keepNext w:val="true"/>
      </w:pPr>
      <w:r>
        <w:t xml:space="preserve">Binding ceiling, not advisory guidance — hospitals cannot charge or collect more than the established rate</w:t>
      </w:r>
    </w:p>
    <w:p>
      <w:pPr>
        <w:numPr>
          <w:ilvl w:val="0"/>
          <w:numId w:val="1019"/>
        </w:numPr>
        <w:keepLines w:val="true"/>
        <w:keepNext w:val="true"/>
      </w:pPr>
      <w:r>
        <w:t xml:space="preserve">Transparent benchmark — Medicare rates provide a nationally comparable, publicly available anchor</w:t>
      </w:r>
    </w:p>
    <w:p>
      <w:pPr>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0"/>
        <w:gridCol w:w="2445"/>
        <w:gridCol w:w="2010"/>
        <w:gridCol w:w="3495"/>
      </w:tblGrid>
      <w:tr>
        <w:trPr>
          <w:tblHeader w:val="on"/>
          <w:cantSplit/>
        </w:trPr>
        <w:tc>
          <w:tcPr>
            <w:shd w:val="clear" w:color="auto" w:fill="1B3A6B"/>
            <w:tcW w:w="1110" w:type="dxa"/>
          </w:tcPr>
          <w:p>
            <w:pPr>
              <w:pStyle w:val="Compact"/>
              <w:jc w:val="left"/>
            </w:pPr>
            <w:r>
              <w:rPr>
                <w:b/>
                <w:color w:val="FFFFFF"/>
                <w:sz w:val="18"/>
              </w:rPr>
              <w:t xml:space="preserve">State / Program</w:t>
            </w:r>
          </w:p>
        </w:tc>
        <w:tc>
          <w:tcPr>
            <w:shd w:val="clear" w:color="auto" w:fill="1B3A6B"/>
            <w:tcW w:w="2445" w:type="dxa"/>
          </w:tcPr>
          <w:p>
            <w:pPr>
              <w:pStyle w:val="Compact"/>
              <w:jc w:val="left"/>
            </w:pPr>
            <w:r>
              <w:rPr>
                <w:b/>
                <w:color w:val="FFFFFF"/>
                <w:sz w:val="18"/>
              </w:rPr>
              <w:t xml:space="preserve">Design</w:t>
            </w:r>
          </w:p>
        </w:tc>
        <w:tc>
          <w:tcPr>
            <w:shd w:val="clear" w:color="auto" w:fill="1B3A6B"/>
            <w:tcW w:w="2010" w:type="dxa"/>
          </w:tcPr>
          <w:p>
            <w:pPr>
              <w:pStyle w:val="Compact"/>
              <w:jc w:val="left"/>
            </w:pPr>
            <w:r>
              <w:rPr>
                <w:b/>
                <w:color w:val="FFFFFF"/>
                <w:sz w:val="18"/>
              </w:rPr>
              <w:t xml:space="preserve">Scope</w:t>
            </w:r>
          </w:p>
        </w:tc>
        <w:tc>
          <w:tcPr>
            <w:shd w:val="clear" w:color="auto" w:fill="1B3A6B"/>
            <w:tcW w:w="3495" w:type="dxa"/>
          </w:tcPr>
          <w:p>
            <w:pPr>
              <w:pStyle w:val="Compact"/>
              <w:jc w:val="left"/>
            </w:pPr>
            <w:r>
              <w:rPr>
                <w:b/>
                <w:color w:val="FFFFFF"/>
                <w:sz w:val="18"/>
              </w:rPr>
              <w:t xml:space="preserve">Key Results</w:t>
            </w:r>
          </w:p>
        </w:tc>
      </w:tr>
      <w:tr>
        <w:trPr>
          <w:cantSplit/>
        </w:trPr>
        <w:tc>
          <w:tcPr>
            <w:tcW w:w="1110" w:type="dxa"/>
          </w:tcPr>
          <w:p>
            <w:pPr>
              <w:pStyle w:val="Compact"/>
              <w:jc w:val="left"/>
            </w:pPr>
            <w:r>
              <w:rPr>
                <w:sz w:val="18"/>
              </w:rPr>
              <w:t xml:space="preserve">Oregon (2019)</w:t>
            </w:r>
          </w:p>
        </w:tc>
        <w:tc>
          <w:tcPr>
            <w:tcW w:w="2445" w:type="dxa"/>
          </w:tcPr>
          <w:p>
            <w:pPr>
              <w:pStyle w:val="Compact"/>
              <w:jc w:val="left"/>
            </w:pPr>
            <w:r>
              <w:rPr>
                <w:sz w:val="18"/>
              </w:rPr>
              <w:t xml:space="preserve">200% of Medicare in-network; 185% out-of-network. CAH exemptions.</w:t>
            </w:r>
          </w:p>
        </w:tc>
        <w:tc>
          <w:tcPr>
            <w:tcW w:w="2010" w:type="dxa"/>
          </w:tcPr>
          <w:p>
            <w:pPr>
              <w:pStyle w:val="Compact"/>
              <w:jc w:val="left"/>
            </w:pPr>
            <w:r>
              <w:rPr>
                <w:sz w:val="18"/>
              </w:rPr>
              <w:t xml:space="preserve">State employee plan (~300,000 covered lives)</w:t>
            </w:r>
          </w:p>
        </w:tc>
        <w:tc>
          <w:tcPr>
            <w:tcW w:w="3495" w:type="dxa"/>
          </w:tcPr>
          <w:p>
            <w:pPr>
              <w:pStyle w:val="Compact"/>
              <w:jc w:val="left"/>
            </w:pPr>
            <w:r>
              <w:rPr>
                <w:sz w:val="18"/>
              </w:rPr>
              <w:t xml:space="preserve">$107.5M saved in first 27 months (Health Affairs). All 24 affected hospitals remained in-network. No documented access harm.</w:t>
            </w:r>
          </w:p>
        </w:tc>
      </w:tr>
      <w:tr>
        <w:trPr/>
        <w:tc>
          <w:tcPr>
            <w:tcW w:w="1110" w:type="dxa"/>
          </w:tcPr>
          <w:p>
            <w:pPr>
              <w:pStyle w:val="Compact"/>
              <w:jc w:val="left"/>
            </w:pPr>
            <w:r>
              <w:rPr>
                <w:sz w:val="18"/>
              </w:rPr>
              <w:t xml:space="preserve">Montana (2016)</w:t>
            </w:r>
          </w:p>
        </w:tc>
        <w:tc>
          <w:tcPr>
            <w:tcW w:w="2445" w:type="dxa"/>
          </w:tcPr>
          <w:p>
            <w:pPr>
              <w:pStyle w:val="Compact"/>
              <w:jc w:val="left"/>
            </w:pPr>
            <w:r>
              <w:rPr>
                <w:sz w:val="18"/>
              </w:rPr>
              <w:t xml:space="preserve">Direct contracting at % of Medicare for state employee plan.</w:t>
            </w:r>
          </w:p>
        </w:tc>
        <w:tc>
          <w:tcPr>
            <w:tcW w:w="2010" w:type="dxa"/>
          </w:tcPr>
          <w:p>
            <w:pPr>
              <w:pStyle w:val="Compact"/>
              <w:jc w:val="left"/>
            </w:pPr>
            <w:r>
              <w:rPr>
                <w:sz w:val="18"/>
              </w:rPr>
              <w:t xml:space="preserve">State employee plan</w:t>
            </w:r>
          </w:p>
        </w:tc>
        <w:tc>
          <w:tcPr>
            <w:tcW w:w="3495"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0" w:type="dxa"/>
          </w:tcPr>
          <w:p>
            <w:pPr>
              <w:pStyle w:val="Compact"/>
              <w:jc w:val="left"/>
            </w:pPr>
            <w:r>
              <w:rPr>
                <w:sz w:val="18"/>
              </w:rPr>
              <w:t xml:space="preserve">Washington (2021)</w:t>
            </w:r>
          </w:p>
        </w:tc>
        <w:tc>
          <w:tcPr>
            <w:tcW w:w="2445"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010" w:type="dxa"/>
          </w:tcPr>
          <w:p>
            <w:pPr>
              <w:pStyle w:val="Compact"/>
              <w:jc w:val="left"/>
            </w:pPr>
            <w:r>
              <w:rPr>
                <w:sz w:val="18"/>
              </w:rPr>
              <w:t xml:space="preserve">Voluntary public option</w:t>
            </w:r>
          </w:p>
        </w:tc>
        <w:tc>
          <w:tcPr>
            <w:tcW w:w="3495" w:type="dxa"/>
          </w:tcPr>
          <w:p>
            <w:pPr>
              <w:pStyle w:val="Compact"/>
              <w:jc w:val="left"/>
            </w:pPr>
            <w:r>
              <w:rPr>
                <w:sz w:val="18"/>
              </w:rPr>
              <w:t xml:space="preserve">Expanding to state employee plans. Growing commercial adoption.</w:t>
            </w:r>
          </w:p>
        </w:tc>
      </w:tr>
      <w:tr>
        <w:trPr/>
        <w:tc>
          <w:tcPr>
            <w:tcW w:w="1110" w:type="dxa"/>
          </w:tcPr>
          <w:p>
            <w:pPr>
              <w:pStyle w:val="Compact"/>
              <w:jc w:val="left"/>
            </w:pPr>
            <w:r>
              <w:rPr>
                <w:sz w:val="18"/>
              </w:rPr>
              <w:t xml:space="preserve">Maryland (2014–present)</w:t>
            </w:r>
          </w:p>
        </w:tc>
        <w:tc>
          <w:tcPr>
            <w:tcW w:w="2445" w:type="dxa"/>
          </w:tcPr>
          <w:p>
            <w:pPr>
              <w:pStyle w:val="Compact"/>
              <w:jc w:val="left"/>
            </w:pPr>
            <w:r>
              <w:rPr>
                <w:sz w:val="18"/>
              </w:rPr>
              <w:t xml:space="preserve">All-payer rate setting; hospitals receive fixed annual revenue (global budget). Medicare waiver.</w:t>
            </w:r>
          </w:p>
        </w:tc>
        <w:tc>
          <w:tcPr>
            <w:tcW w:w="2010" w:type="dxa"/>
          </w:tcPr>
          <w:p>
            <w:pPr>
              <w:pStyle w:val="Compact"/>
              <w:jc w:val="left"/>
            </w:pPr>
            <w:r>
              <w:rPr>
                <w:sz w:val="18"/>
              </w:rPr>
              <w:t xml:space="preserve">All payers, all hospitals statewide</w:t>
            </w:r>
          </w:p>
        </w:tc>
        <w:tc>
          <w:tcPr>
            <w:tcW w:w="3495"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0" w:type="dxa"/>
          </w:tcPr>
          <w:p>
            <w:pPr>
              <w:pStyle w:val="Compact"/>
              <w:jc w:val="left"/>
            </w:pPr>
            <w:r>
              <w:rPr>
                <w:sz w:val="18"/>
              </w:rPr>
              <w:t xml:space="preserve">Vermont Act 68 (FY2027)</w:t>
            </w:r>
          </w:p>
        </w:tc>
        <w:tc>
          <w:tcPr>
            <w:tcW w:w="2445" w:type="dxa"/>
          </w:tcPr>
          <w:p>
            <w:pPr>
              <w:pStyle w:val="Compact"/>
              <w:jc w:val="left"/>
            </w:pPr>
            <w:r>
              <w:rPr>
                <w:sz w:val="18"/>
              </w:rPr>
              <w:t xml:space="preserve">Mandatory statewide RBP maximum set by GMCB rule. Initially commercial payers; excludes Medicare/Medicaid.</w:t>
            </w:r>
          </w:p>
        </w:tc>
        <w:tc>
          <w:tcPr>
            <w:tcW w:w="2010" w:type="dxa"/>
          </w:tcPr>
          <w:p>
            <w:pPr>
              <w:pStyle w:val="Compact"/>
              <w:jc w:val="left"/>
            </w:pPr>
            <w:r>
              <w:rPr>
                <w:sz w:val="18"/>
              </w:rPr>
              <w:t xml:space="preserve">All Vermont hospitals, all commercial payers</w:t>
            </w:r>
          </w:p>
        </w:tc>
        <w:tc>
          <w:tcPr>
            <w:tcW w:w="3495"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Figure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numPr>
          <w:ilvl w:val="0"/>
          <w:numId w:val="1020"/>
        </w:numPr>
        <w:keepLines w:val="true"/>
        <w:keepNext w:val="true"/>
      </w:pPr>
      <w:r>
        <w:t xml:space="preserve">Reduce hospital leverage to demand excessive prices from commercial payers</w:t>
      </w:r>
    </w:p>
    <w:p>
      <w:pPr>
        <w:numPr>
          <w:ilvl w:val="0"/>
          <w:numId w:val="1020"/>
        </w:numPr>
        <w:keepLines w:val="true"/>
        <w:keepNext w:val="true"/>
      </w:pPr>
      <w:r>
        <w:t xml:space="preserve">Narrow unjustified price variation across hospitals for the same service</w:t>
      </w:r>
    </w:p>
    <w:p>
      <w:pPr>
        <w:numPr>
          <w:ilvl w:val="0"/>
          <w:numId w:val="1020"/>
        </w:numPr>
        <w:keepLines w:val="true"/>
        <w:keepNext w:val="true"/>
      </w:pPr>
      <w:r>
        <w:t xml:space="preserve">Protect patient affordability by establishing binding price ceilings</w:t>
      </w:r>
    </w:p>
    <w:p>
      <w:pPr>
        <w:numPr>
          <w:ilvl w:val="0"/>
          <w:numId w:val="1020"/>
        </w:numPr>
        <w:keepLines w:val="true"/>
        <w:keepNext w:val="true"/>
      </w:pPr>
      <w:r>
        <w:t xml:space="preserve">Limit monopolistic pricing power in concentrated markets</w:t>
      </w:r>
    </w:p>
    <w:p>
      <w:pPr>
        <w:numPr>
          <w:ilvl w:val="0"/>
          <w:numId w:val="1020"/>
        </w:numPr>
        <w:keepLines w:val="true"/>
        <w:keepNext w:val="true"/>
      </w:pPr>
      <w:r>
        <w:t xml:space="preserve">Incentivize operational efficiencies over price increases as the margin lever</w:t>
      </w:r>
    </w:p>
    <w:p>
      <w:pPr>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numPr>
          <w:ilvl w:val="0"/>
          <w:numId w:val="1021"/>
        </w:numPr>
        <w:keepLines w:val="true"/>
        <w:keepNext w:val="true"/>
      </w:pPr>
      <w:r>
        <w:t xml:space="preserve">Control total hospital spending — only the price component, not volume</w:t>
      </w:r>
    </w:p>
    <w:p>
      <w:pPr>
        <w:numPr>
          <w:ilvl w:val="0"/>
          <w:numId w:val="1021"/>
        </w:numPr>
        <w:keepLines w:val="true"/>
        <w:keepNext w:val="true"/>
      </w:pPr>
      <w:r>
        <w:t xml:space="preserve">Guarantee savings pass-through to consumers without explicit monitoring requirements</w:t>
      </w:r>
    </w:p>
    <w:p>
      <w:pPr>
        <w:numPr>
          <w:ilvl w:val="0"/>
          <w:numId w:val="1021"/>
        </w:numPr>
        <w:keepLines w:val="true"/>
        <w:keepNext w:val="true"/>
      </w:pPr>
      <w:r>
        <w:t xml:space="preserve">Restructure incentives around prevention or population health</w:t>
      </w:r>
    </w:p>
    <w:p>
      <w:pPr>
        <w:numPr>
          <w:ilvl w:val="0"/>
          <w:numId w:val="1021"/>
        </w:numPr>
        <w:keepLines w:val="true"/>
        <w:keepNext w:val="true"/>
      </w:pPr>
      <w:r>
        <w:t xml:space="preserve">Guarantee hospital efficiency, sustainability, or quality performance</w:t>
      </w:r>
    </w:p>
    <w:p>
      <w:pPr>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1260"/>
        <w:gridCol w:w="2340"/>
        <w:gridCol w:w="2790"/>
        <w:gridCol w:w="2700"/>
      </w:tblGrid>
      <w:tr>
        <w:trPr>
          <w:tblHeader w:val="on"/>
          <w:cantSplit/>
        </w:trPr>
        <w:tc>
          <w:tcPr>
            <w:shd w:val="clear" w:color="auto" w:fill="1B3A6B"/>
            <w:tcW w:w="1260" w:type="dxa"/>
          </w:tcPr>
          <w:p>
            <w:pPr>
              <w:pStyle w:val="Compact"/>
              <w:jc w:val="left"/>
            </w:pPr>
            <w:r>
              <w:rPr>
                <w:b/>
                <w:color w:val="FFFFFF"/>
                <w:sz w:val="18"/>
              </w:rPr>
              <w:t xml:space="preserve">Design dimension</w:t>
            </w:r>
          </w:p>
        </w:tc>
        <w:tc>
          <w:tcPr>
            <w:shd w:val="clear" w:color="auto" w:fill="1B3A6B"/>
            <w:tcW w:w="2340" w:type="dxa"/>
          </w:tcPr>
          <w:p>
            <w:pPr>
              <w:pStyle w:val="Compact"/>
              <w:jc w:val="left"/>
            </w:pPr>
            <w:r>
              <w:rPr>
                <w:b/>
                <w:color w:val="FFFFFF"/>
                <w:sz w:val="18"/>
              </w:rPr>
              <w:t xml:space="preserve">The choice</w:t>
            </w:r>
          </w:p>
        </w:tc>
        <w:tc>
          <w:tcPr>
            <w:shd w:val="clear" w:color="auto" w:fill="1B3A6B"/>
            <w:tcW w:w="2790" w:type="dxa"/>
          </w:tcPr>
          <w:p>
            <w:pPr>
              <w:pStyle w:val="Compact"/>
              <w:jc w:val="left"/>
            </w:pPr>
            <w:r>
              <w:rPr>
                <w:b/>
                <w:color w:val="FFFFFF"/>
                <w:sz w:val="18"/>
              </w:rPr>
              <w:t xml:space="preserve">Key tradeoff</w:t>
            </w:r>
          </w:p>
        </w:tc>
        <w:tc>
          <w:tcPr>
            <w:shd w:val="clear" w:color="auto" w:fill="1B3A6B"/>
            <w:tcW w:w="2700" w:type="dxa"/>
          </w:tcPr>
          <w:p>
            <w:pPr>
              <w:pStyle w:val="Compact"/>
              <w:jc w:val="left"/>
            </w:pPr>
            <w:r>
              <w:rPr>
                <w:b/>
                <w:color w:val="FFFFFF"/>
                <w:sz w:val="18"/>
              </w:rPr>
              <w:t xml:space="preserve">Vermont’s current direction</w:t>
            </w:r>
          </w:p>
        </w:tc>
      </w:tr>
      <w:tr>
        <w:trPr>
          <w:cantSplit/>
        </w:trPr>
        <w:tc>
          <w:tcPr>
            <w:tcW w:w="1260" w:type="dxa"/>
          </w:tcPr>
          <w:p>
            <w:pPr>
              <w:pStyle w:val="Compact"/>
              <w:jc w:val="left"/>
            </w:pPr>
            <w:r>
              <w:rPr>
                <w:sz w:val="18"/>
              </w:rPr>
              <w:t xml:space="preserve">Scope</w:t>
            </w:r>
          </w:p>
        </w:tc>
        <w:tc>
          <w:tcPr>
            <w:tcW w:w="2340" w:type="dxa"/>
          </w:tcPr>
          <w:p>
            <w:pPr>
              <w:pStyle w:val="Compact"/>
              <w:jc w:val="left"/>
            </w:pPr>
            <w:r>
              <w:rPr>
                <w:sz w:val="18"/>
              </w:rPr>
              <w:t xml:space="preserve">Which services are inside vs. outside the budget? (Capital, high-cost drugs, outpatient, physician services?)</w:t>
            </w:r>
          </w:p>
        </w:tc>
        <w:tc>
          <w:tcPr>
            <w:tcW w:w="2790" w:type="dxa"/>
          </w:tcPr>
          <w:p>
            <w:pPr>
              <w:pStyle w:val="Compact"/>
              <w:jc w:val="left"/>
            </w:pPr>
            <w:r>
              <w:rPr>
                <w:sz w:val="18"/>
              </w:rPr>
              <w:t xml:space="preserve">Broader scope = more comprehensive cost control. Narrower scope = simpler to administer but leaves cost-shifting opportunities.</w:t>
            </w:r>
          </w:p>
        </w:tc>
        <w:tc>
          <w:tcPr>
            <w:tcW w:w="2700"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1260" w:type="dxa"/>
          </w:tcPr>
          <w:p>
            <w:pPr>
              <w:pStyle w:val="Compact"/>
              <w:jc w:val="left"/>
            </w:pPr>
            <w:r>
              <w:rPr>
                <w:sz w:val="18"/>
              </w:rPr>
              <w:t xml:space="preserve">Population adjustment</w:t>
            </w:r>
          </w:p>
        </w:tc>
        <w:tc>
          <w:tcPr>
            <w:tcW w:w="2340" w:type="dxa"/>
          </w:tcPr>
          <w:p>
            <w:pPr>
              <w:pStyle w:val="Compact"/>
              <w:jc w:val="left"/>
            </w:pPr>
            <w:r>
              <w:rPr>
                <w:sz w:val="18"/>
              </w:rPr>
              <w:t xml:space="preserve">How does the budget account for patient demographics, complexity, and socioeconomic factors?</w:t>
            </w:r>
          </w:p>
        </w:tc>
        <w:tc>
          <w:tcPr>
            <w:tcW w:w="2790" w:type="dxa"/>
          </w:tcPr>
          <w:p>
            <w:pPr>
              <w:pStyle w:val="Compact"/>
              <w:jc w:val="left"/>
            </w:pPr>
            <w:r>
              <w:rPr>
                <w:sz w:val="18"/>
              </w:rPr>
              <w:t xml:space="preserve">No adjustment rewards hospitals serving healthier populations. Over-adjustment reduces cost-control incentives.</w:t>
            </w:r>
          </w:p>
        </w:tc>
        <w:tc>
          <w:tcPr>
            <w:tcW w:w="2700" w:type="dxa"/>
          </w:tcPr>
          <w:p>
            <w:pPr>
              <w:pStyle w:val="Compact"/>
              <w:jc w:val="left"/>
            </w:pPr>
            <w:r>
              <w:rPr>
                <w:sz w:val="18"/>
              </w:rPr>
              <w:t xml:space="preserve">GMCB considering payer mix, labor costs, social risk factors for each hospital. Critical for Vermont’s CAHs vs. UVMMC.</w:t>
            </w:r>
          </w:p>
        </w:tc>
      </w:tr>
      <w:tr>
        <w:trPr/>
        <w:tc>
          <w:tcPr>
            <w:tcW w:w="1260" w:type="dxa"/>
          </w:tcPr>
          <w:p>
            <w:pPr>
              <w:pStyle w:val="Compact"/>
              <w:jc w:val="left"/>
            </w:pPr>
            <w:r>
              <w:rPr>
                <w:sz w:val="18"/>
              </w:rPr>
              <w:t xml:space="preserve">Volume treatment</w:t>
            </w:r>
          </w:p>
        </w:tc>
        <w:tc>
          <w:tcPr>
            <w:tcW w:w="2340" w:type="dxa"/>
          </w:tcPr>
          <w:p>
            <w:pPr>
              <w:pStyle w:val="Compact"/>
              <w:jc w:val="left"/>
            </w:pPr>
            <w:r>
              <w:rPr>
                <w:sz w:val="18"/>
              </w:rPr>
              <w:t xml:space="preserve">Does the budget adjust if patient volume changes significantly?</w:t>
            </w:r>
          </w:p>
        </w:tc>
        <w:tc>
          <w:tcPr>
            <w:tcW w:w="2790" w:type="dxa"/>
          </w:tcPr>
          <w:p>
            <w:pPr>
              <w:pStyle w:val="Compact"/>
              <w:jc w:val="left"/>
            </w:pPr>
            <w:r>
              <w:rPr>
                <w:sz w:val="18"/>
              </w:rPr>
              <w:t xml:space="preserve">Fixed budget = maximum cost-control incentive. Volume-adjusted budget = lower risk for hospitals, less population health incentive.</w:t>
            </w:r>
          </w:p>
        </w:tc>
        <w:tc>
          <w:tcPr>
            <w:tcW w:w="2700" w:type="dxa"/>
          </w:tcPr>
          <w:p>
            <w:pPr>
              <w:pStyle w:val="Compact"/>
              <w:jc w:val="left"/>
            </w:pPr>
            <w:r>
              <w:rPr>
                <w:sz w:val="18"/>
              </w:rPr>
              <w:t xml:space="preserve">Maryland preserved revenue initially when volume decreased to ease transition. Vermont likely to adopt similar glide path.</w:t>
            </w:r>
          </w:p>
        </w:tc>
      </w:tr>
      <w:tr>
        <w:trPr/>
        <w:tc>
          <w:tcPr>
            <w:tcW w:w="1260" w:type="dxa"/>
          </w:tcPr>
          <w:p>
            <w:pPr>
              <w:pStyle w:val="Compact"/>
              <w:jc w:val="left"/>
            </w:pPr>
            <w:r>
              <w:rPr>
                <w:sz w:val="18"/>
              </w:rPr>
              <w:t xml:space="preserve">Quality linkage</w:t>
            </w:r>
          </w:p>
        </w:tc>
        <w:tc>
          <w:tcPr>
            <w:tcW w:w="2340" w:type="dxa"/>
          </w:tcPr>
          <w:p>
            <w:pPr>
              <w:pStyle w:val="Compact"/>
              <w:jc w:val="left"/>
            </w:pPr>
            <w:r>
              <w:rPr>
                <w:sz w:val="18"/>
              </w:rPr>
              <w:t xml:space="preserve">How are quality metrics integrated — penalty, incentive, or both?</w:t>
            </w:r>
          </w:p>
        </w:tc>
        <w:tc>
          <w:tcPr>
            <w:tcW w:w="2790" w:type="dxa"/>
          </w:tcPr>
          <w:p>
            <w:pPr>
              <w:pStyle w:val="Compact"/>
              <w:jc w:val="left"/>
            </w:pPr>
            <w:r>
              <w:rPr>
                <w:sz w:val="18"/>
              </w:rPr>
              <w:t xml:space="preserve">Too small a linkage = no behavioral change. Too large = financial instability for hospitals still improving.</w:t>
            </w:r>
          </w:p>
        </w:tc>
        <w:tc>
          <w:tcPr>
            <w:tcW w:w="2700" w:type="dxa"/>
          </w:tcPr>
          <w:p>
            <w:pPr>
              <w:pStyle w:val="Compact"/>
              <w:jc w:val="left"/>
            </w:pPr>
            <w:r>
              <w:rPr>
                <w:sz w:val="18"/>
              </w:rPr>
              <w:t xml:space="preserve">Act 68 requires standardized accountability metrics. GMCB quality programs (readmissions, HACs) will be embedded.</w:t>
            </w:r>
          </w:p>
        </w:tc>
      </w:tr>
      <w:tr>
        <w:trPr>
          <w:cantSplit/>
        </w:trPr>
        <w:tc>
          <w:tcPr>
            <w:tcW w:w="1260" w:type="dxa"/>
          </w:tcPr>
          <w:p>
            <w:pPr>
              <w:pStyle w:val="Compact"/>
              <w:jc w:val="left"/>
            </w:pPr>
            <w:r>
              <w:rPr>
                <w:sz w:val="18"/>
              </w:rPr>
              <w:t xml:space="preserve">Flexibility mechanisms</w:t>
            </w:r>
          </w:p>
        </w:tc>
        <w:tc>
          <w:tcPr>
            <w:tcW w:w="2340" w:type="dxa"/>
          </w:tcPr>
          <w:p>
            <w:pPr>
              <w:pStyle w:val="Compact"/>
              <w:jc w:val="left"/>
            </w:pPr>
            <w:r>
              <w:rPr>
                <w:sz w:val="18"/>
              </w:rPr>
              <w:t xml:space="preserve">Provisions for mid-year adjustments, carryover of savings, risk corridors?</w:t>
            </w:r>
          </w:p>
        </w:tc>
        <w:tc>
          <w:tcPr>
            <w:tcW w:w="2790" w:type="dxa"/>
          </w:tcPr>
          <w:p>
            <w:pPr>
              <w:pStyle w:val="Compact"/>
              <w:jc w:val="left"/>
            </w:pPr>
            <w:r>
              <w:rPr>
                <w:sz w:val="18"/>
              </w:rPr>
              <w:t xml:space="preserve">More flexibility = lower hospital risk, easier adoption. Less flexibility = stronger cost-control signal.</w:t>
            </w:r>
          </w:p>
        </w:tc>
        <w:tc>
          <w:tcPr>
            <w:tcW w:w="2700"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Figure 6.5 — Five dimensions of global budget design with Vermont’s current direction. Sources: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560"/>
        <w:gridCol w:w="1185"/>
        <w:gridCol w:w="2835"/>
        <w:gridCol w:w="3495"/>
      </w:tblGrid>
      <w:tr>
        <w:trPr>
          <w:tblHeader w:val="on"/>
          <w:cantSplit/>
        </w:trPr>
        <w:tc>
          <w:tcPr>
            <w:shd w:val="clear" w:color="auto" w:fill="1B3A6B"/>
            <w:tcW w:w="1560" w:type="dxa"/>
          </w:tcPr>
          <w:p>
            <w:pPr>
              <w:pStyle w:val="Compact"/>
              <w:jc w:val="left"/>
            </w:pPr>
            <w:r>
              <w:rPr>
                <w:b/>
                <w:color w:val="FFFFFF"/>
                <w:sz w:val="18"/>
              </w:rPr>
              <w:t xml:space="preserve">Approach</w:t>
            </w:r>
          </w:p>
        </w:tc>
        <w:tc>
          <w:tcPr>
            <w:shd w:val="clear" w:color="auto" w:fill="1B3A6B"/>
            <w:tcW w:w="1185" w:type="dxa"/>
          </w:tcPr>
          <w:p>
            <w:pPr>
              <w:pStyle w:val="Compact"/>
              <w:jc w:val="left"/>
            </w:pPr>
            <w:r>
              <w:rPr>
                <w:b/>
                <w:color w:val="FFFFFF"/>
                <w:sz w:val="18"/>
              </w:rPr>
              <w:t xml:space="preserve">Year(s)</w:t>
            </w:r>
          </w:p>
        </w:tc>
        <w:tc>
          <w:tcPr>
            <w:shd w:val="clear" w:color="auto" w:fill="1B3A6B"/>
            <w:tcW w:w="2835" w:type="dxa"/>
          </w:tcPr>
          <w:p>
            <w:pPr>
              <w:pStyle w:val="Compact"/>
              <w:jc w:val="left"/>
            </w:pPr>
            <w:r>
              <w:rPr>
                <w:b/>
                <w:color w:val="FFFFFF"/>
                <w:sz w:val="18"/>
              </w:rPr>
              <w:t xml:space="preserve">Structure</w:t>
            </w:r>
          </w:p>
        </w:tc>
        <w:tc>
          <w:tcPr>
            <w:shd w:val="clear" w:color="auto" w:fill="1B3A6B"/>
            <w:tcW w:w="3495" w:type="dxa"/>
          </w:tcPr>
          <w:p>
            <w:pPr>
              <w:pStyle w:val="Compact"/>
              <w:jc w:val="left"/>
            </w:pPr>
            <w:r>
              <w:rPr>
                <w:b/>
                <w:color w:val="FFFFFF"/>
                <w:sz w:val="18"/>
              </w:rPr>
              <w:t xml:space="preserve">Outcome and lesson</w:t>
            </w:r>
          </w:p>
        </w:tc>
      </w:tr>
      <w:tr>
        <w:trPr>
          <w:cantSplit/>
        </w:trPr>
        <w:tc>
          <w:tcPr>
            <w:tcW w:w="1560" w:type="dxa"/>
          </w:tcPr>
          <w:p>
            <w:pPr>
              <w:pStyle w:val="Compact"/>
              <w:jc w:val="left"/>
            </w:pPr>
            <w:r>
              <w:rPr>
                <w:sz w:val="18"/>
              </w:rPr>
              <w:t xml:space="preserve">GMCB Net Patient Revenue Cap</w:t>
            </w:r>
          </w:p>
        </w:tc>
        <w:tc>
          <w:tcPr>
            <w:tcW w:w="1185" w:type="dxa"/>
          </w:tcPr>
          <w:p>
            <w:pPr>
              <w:pStyle w:val="Compact"/>
              <w:jc w:val="left"/>
            </w:pPr>
            <w:r>
              <w:rPr>
                <w:sz w:val="18"/>
              </w:rPr>
              <w:t xml:space="preserve">2012–present</w:t>
            </w:r>
          </w:p>
        </w:tc>
        <w:tc>
          <w:tcPr>
            <w:tcW w:w="2835" w:type="dxa"/>
          </w:tcPr>
          <w:p>
            <w:pPr>
              <w:pStyle w:val="Compact"/>
              <w:jc w:val="left"/>
            </w:pPr>
            <w:r>
              <w:rPr>
                <w:sz w:val="18"/>
              </w:rPr>
              <w:t xml:space="preserve">Regulatory cap on net patient revenue each hospital may receive</w:t>
            </w:r>
          </w:p>
        </w:tc>
        <w:tc>
          <w:tcPr>
            <w:tcW w:w="3495"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560" w:type="dxa"/>
          </w:tcPr>
          <w:p>
            <w:pPr>
              <w:pStyle w:val="Compact"/>
              <w:jc w:val="left"/>
            </w:pPr>
            <w:r>
              <w:rPr>
                <w:sz w:val="18"/>
              </w:rPr>
              <w:t xml:space="preserve">Rutland Regional Medical Center Pilot</w:t>
            </w:r>
          </w:p>
        </w:tc>
        <w:tc>
          <w:tcPr>
            <w:tcW w:w="1185" w:type="dxa"/>
          </w:tcPr>
          <w:p>
            <w:pPr>
              <w:pStyle w:val="Compact"/>
              <w:jc w:val="left"/>
            </w:pPr>
            <w:r>
              <w:rPr>
                <w:sz w:val="18"/>
              </w:rPr>
              <w:t xml:space="preserve">2014 (proposed)</w:t>
            </w:r>
          </w:p>
        </w:tc>
        <w:tc>
          <w:tcPr>
            <w:tcW w:w="2835" w:type="dxa"/>
          </w:tcPr>
          <w:p>
            <w:pPr>
              <w:pStyle w:val="Compact"/>
              <w:jc w:val="left"/>
            </w:pPr>
            <w:r>
              <w:rPr>
                <w:sz w:val="18"/>
              </w:rPr>
              <w:t xml:space="preserve">Hospital payments based on historical revenue plus inflation, adjusted for demographics</w:t>
            </w:r>
          </w:p>
        </w:tc>
        <w:tc>
          <w:tcPr>
            <w:tcW w:w="3495"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560" w:type="dxa"/>
          </w:tcPr>
          <w:p>
            <w:pPr>
              <w:pStyle w:val="Compact"/>
              <w:jc w:val="left"/>
            </w:pPr>
            <w:r>
              <w:rPr>
                <w:sz w:val="18"/>
              </w:rPr>
              <w:t xml:space="preserve">Vermont All-Payer ACO Model</w:t>
            </w:r>
          </w:p>
        </w:tc>
        <w:tc>
          <w:tcPr>
            <w:tcW w:w="1185" w:type="dxa"/>
          </w:tcPr>
          <w:p>
            <w:pPr>
              <w:pStyle w:val="Compact"/>
              <w:jc w:val="left"/>
            </w:pPr>
            <w:r>
              <w:rPr>
                <w:sz w:val="18"/>
              </w:rPr>
              <w:t xml:space="preserve">2017–2025</w:t>
            </w:r>
          </w:p>
        </w:tc>
        <w:tc>
          <w:tcPr>
            <w:tcW w:w="2835"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495"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560" w:type="dxa"/>
          </w:tcPr>
          <w:p>
            <w:pPr>
              <w:pStyle w:val="Compact"/>
              <w:jc w:val="left"/>
            </w:pPr>
            <w:r>
              <w:rPr>
                <w:sz w:val="18"/>
              </w:rPr>
              <w:t xml:space="preserve">Act 167 / Act 68 Mandate</w:t>
            </w:r>
          </w:p>
        </w:tc>
        <w:tc>
          <w:tcPr>
            <w:tcW w:w="1185" w:type="dxa"/>
          </w:tcPr>
          <w:p>
            <w:pPr>
              <w:pStyle w:val="Compact"/>
              <w:jc w:val="left"/>
            </w:pPr>
            <w:r>
              <w:rPr>
                <w:sz w:val="18"/>
              </w:rPr>
              <w:t xml:space="preserve">2022–present</w:t>
            </w:r>
          </w:p>
        </w:tc>
        <w:tc>
          <w:tcPr>
            <w:tcW w:w="2835" w:type="dxa"/>
          </w:tcPr>
          <w:p>
            <w:pPr>
              <w:pStyle w:val="Compact"/>
              <w:jc w:val="left"/>
            </w:pPr>
            <w:r>
              <w:rPr>
                <w:sz w:val="18"/>
              </w:rPr>
              <w:t xml:space="preserve">GMCB directed to design and implement mandatory global budgets: non-CAH hospitals by FY2028, all hospitals by FY2030</w:t>
            </w:r>
          </w:p>
        </w:tc>
        <w:tc>
          <w:tcPr>
            <w:tcW w:w="3495"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Figure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Global budgets without primary care investment reduce volume without improving population health — a gap Vermont now addresses with the time-limited Rural Health Transformation Program.</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Medicare hospital savings to date $1.4B vs. projected national trend (HSCRC)</w:t>
            </w:r>
          </w:p>
        </w:tc>
        <w:tc>
          <w:tcPr>
            <w:shd w:val="clear" w:color="auto" w:fill="EDF2F9"/>
            <w:tcW w:w="4536" w:type="dxa"/>
          </w:tcPr>
          <w:p>
            <w:pPr>
              <w:pStyle w:val="Compact"/>
              <w:jc w:val="left"/>
            </w:pPr>
            <w:r>
              <w:rPr>
                <w:b/>
                <w:color w:val="111111"/>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Figure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pPr>
      <w:r>
        <w:rPr>
          <w:color w:val="161B22"/>
        </w:rPr>
        <w:t xml:space="preserve">6.6  </w:t>
      </w:r>
      <w:bookmarkStart w:id="1191" w:name="_Toc1190"/>
      <w:r>
        <w:rPr>
          <w:b/>
          <w:bCs/>
          <w:color w:val="161B22"/>
        </w:rPr>
        <w:t xml:space="preserve">The AHEAD Model — Medicare’s Entry That Vermont Signed, Then Withdrew</w:t>
      </w:r>
      <w:bookmarkEnd w:id="1191"/>
    </w:p>
    <w:p>
      <w:pPr>
        <w:pStyle w:val="FirstParagraph"/>
      </w:pPr>
      <w: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$195-million-per-year Rural Health Transformation Program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pPr>
        <w:pStyle w:val="Heading2"/>
        <w:pBdr>
          <w:top w:val="single" w:sz="6" w:space="10" w:color="C9D2DF"/>
        </w:pBdr>
      </w:pPr>
      <w:r>
        <w:rPr>
          <w:color w:val="161B22"/>
        </w:rPr>
        <w:t xml:space="preserve">6.7  </w:t>
      </w:r>
      <w:bookmarkStart w:id="1192" w:name="_Toc1191"/>
      <w:r>
        <w:rPr>
          <w:b/>
          <w:bCs/>
          <w:color w:val="161B22"/>
        </w:rPr>
        <w:t xml:space="preserve">Hospital Financial Modeling — Reading the Numbers That Matter</w:t>
      </w:r>
      <w:bookmarkEnd w:id="1192"/>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3" w:name="_Toc1192"/>
      <w:r>
        <w:rPr>
          <w:b/>
          <w:bCs/>
          <w:color w:val="161B22"/>
        </w:rPr>
        <w:t xml:space="preserve">The Oliver Wyman Projection Scenarios</w:t>
      </w:r>
      <w:bookmarkEnd w:id="1193"/>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1680"/>
        <w:gridCol w:w="7380"/>
      </w:tblGrid>
      <w:tr>
        <w:trPr>
          <w:tblHeader w:val="on"/>
          <w:cantSplit/>
        </w:trPr>
        <w:tc>
          <w:tcPr>
            <w:shd w:val="clear" w:color="auto" w:fill="1B3A6B"/>
            <w:tcW w:w="1680" w:type="dxa"/>
          </w:tcPr>
          <w:p>
            <w:pPr>
              <w:pStyle w:val="Compact"/>
              <w:jc w:val="left"/>
            </w:pPr>
            <w:r>
              <w:rPr>
                <w:b/>
                <w:color w:val="FFFFFF"/>
                <w:sz w:val="18"/>
              </w:rPr>
              <w:t xml:space="preserve">Scenario</w:t>
            </w:r>
          </w:p>
        </w:tc>
        <w:tc>
          <w:tcPr>
            <w:shd w:val="clear" w:color="auto" w:fill="1B3A6B"/>
            <w:tcW w:w="7380" w:type="dxa"/>
          </w:tcPr>
          <w:p>
            <w:pPr>
              <w:pStyle w:val="Compact"/>
              <w:jc w:val="left"/>
            </w:pPr>
            <w:r>
              <w:rPr>
                <w:b/>
                <w:color w:val="FFFFFF"/>
                <w:sz w:val="18"/>
              </w:rPr>
              <w:t xml:space="preserve">Assumptions and 5-year system deficit</w:t>
            </w:r>
          </w:p>
        </w:tc>
      </w:tr>
      <w:tr>
        <w:trPr/>
        <w:tc>
          <w:tcPr>
            <w:tcW w:w="1680" w:type="dxa"/>
          </w:tcPr>
          <w:p>
            <w:pPr>
              <w:pStyle w:val="Compact"/>
              <w:jc w:val="left"/>
            </w:pPr>
            <w:r>
              <w:rPr>
                <w:sz w:val="18"/>
              </w:rPr>
              <w:t xml:space="preserve">Conservative: 3.5% revenue / 5% expense growth</w:t>
            </w:r>
          </w:p>
        </w:tc>
        <w:tc>
          <w:tcPr>
            <w:tcW w:w="7380"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1680" w:type="dxa"/>
          </w:tcPr>
          <w:p>
            <w:pPr>
              <w:pStyle w:val="Compact"/>
              <w:jc w:val="left"/>
            </w:pPr>
            <w:r>
              <w:rPr>
                <w:sz w:val="18"/>
              </w:rPr>
              <w:t xml:space="preserve">Realistic: 3.5% revenue / 7-8% expense growth</w:t>
            </w:r>
          </w:p>
        </w:tc>
        <w:tc>
          <w:tcPr>
            <w:tcW w:w="7380"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6.8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4" w:name="_Toc1193"/>
      <w:r>
        <w:rPr>
          <w:b/>
          <w:bCs/>
          <w:color w:val="161B22"/>
        </w:rPr>
        <w:t xml:space="preserve">Reading the Metrics That Actually Matter Under Global Budgets</w:t>
      </w:r>
      <w:bookmarkEnd w:id="1194"/>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2805"/>
        <w:gridCol w:w="6270"/>
      </w:tblGrid>
      <w:tr>
        <w:trPr>
          <w:tblHeader w:val="on"/>
          <w:cantSplit/>
        </w:trPr>
        <w:tc>
          <w:tcPr>
            <w:shd w:val="clear" w:color="auto" w:fill="1B3A6B"/>
            <w:tcW w:w="2805" w:type="dxa"/>
          </w:tcPr>
          <w:p>
            <w:pPr>
              <w:pStyle w:val="Compact"/>
              <w:jc w:val="left"/>
            </w:pPr>
            <w:r>
              <w:rPr>
                <w:b/>
                <w:color w:val="FFFFFF"/>
                <w:sz w:val="18"/>
              </w:rPr>
              <w:t xml:space="preserve">In a fee-for-service environment, watch:</w:t>
            </w:r>
          </w:p>
        </w:tc>
        <w:tc>
          <w:tcPr>
            <w:shd w:val="clear" w:color="auto" w:fill="1B3A6B"/>
            <w:tcW w:w="6270" w:type="dxa"/>
          </w:tcPr>
          <w:p>
            <w:pPr>
              <w:pStyle w:val="Compact"/>
              <w:jc w:val="left"/>
            </w:pPr>
            <w:r>
              <w:rPr>
                <w:b/>
                <w:color w:val="FFFFFF"/>
                <w:sz w:val="18"/>
              </w:rPr>
              <w:t xml:space="preserve">In a global budget environment, watch:</w:t>
            </w:r>
          </w:p>
        </w:tc>
      </w:tr>
      <w:tr>
        <w:trPr>
          <w:cantSplit/>
        </w:trPr>
        <w:tc>
          <w:tcPr>
            <w:tcW w:w="2805" w:type="dxa"/>
          </w:tcPr>
          <w:p>
            <w:pPr>
              <w:pStyle w:val="Compact"/>
              <w:jc w:val="left"/>
            </w:pPr>
            <w:r>
              <w:rPr>
                <w:sz w:val="18"/>
              </w:rPr>
              <w:t xml:space="preserve">Net patient revenue growth</w:t>
            </w:r>
          </w:p>
        </w:tc>
        <w:tc>
          <w:tcPr>
            <w:tcW w:w="6270" w:type="dxa"/>
          </w:tcPr>
          <w:p>
            <w:pPr>
              <w:pStyle w:val="Compact"/>
              <w:jc w:val="left"/>
            </w:pPr>
            <w:r>
              <w:rPr>
                <w:sz w:val="18"/>
              </w:rPr>
              <w:t xml:space="preserve">Per-member-per-month cost trend vs. global budget cap</w:t>
            </w:r>
          </w:p>
        </w:tc>
      </w:tr>
      <w:tr>
        <w:trPr/>
        <w:tc>
          <w:tcPr>
            <w:tcW w:w="2805" w:type="dxa"/>
          </w:tcPr>
          <w:p>
            <w:pPr>
              <w:pStyle w:val="Compact"/>
              <w:jc w:val="left"/>
            </w:pPr>
            <w:r>
              <w:rPr>
                <w:sz w:val="18"/>
              </w:rPr>
              <w:t xml:space="preserve">Volume growth (admissions, procedures, visits)</w:t>
            </w:r>
          </w:p>
        </w:tc>
        <w:tc>
          <w:tcPr>
            <w:tcW w:w="6270" w:type="dxa"/>
          </w:tcPr>
          <w:p>
            <w:pPr>
              <w:pStyle w:val="Compact"/>
              <w:jc w:val="left"/>
            </w:pPr>
            <w:r>
              <w:rPr>
                <w:sz w:val="18"/>
              </w:rPr>
              <w:t xml:space="preserve">Potentially avoidable utilization rate — every avoidable admission is a cost, not revenue</w:t>
            </w:r>
          </w:p>
        </w:tc>
      </w:tr>
      <w:tr>
        <w:trPr/>
        <w:tc>
          <w:tcPr>
            <w:tcW w:w="2805" w:type="dxa"/>
          </w:tcPr>
          <w:p>
            <w:pPr>
              <w:pStyle w:val="Compact"/>
              <w:jc w:val="left"/>
            </w:pPr>
            <w:r>
              <w:rPr>
                <w:sz w:val="18"/>
              </w:rPr>
              <w:t xml:space="preserve">Case mix index — higher acuity = more revenue</w:t>
            </w:r>
          </w:p>
        </w:tc>
        <w:tc>
          <w:tcPr>
            <w:tcW w:w="6270" w:type="dxa"/>
          </w:tcPr>
          <w:p>
            <w:pPr>
              <w:pStyle w:val="Compact"/>
              <w:jc w:val="left"/>
            </w:pPr>
            <w:r>
              <w:rPr>
                <w:sz w:val="18"/>
              </w:rPr>
              <w:t xml:space="preserve">Population health outcomes — better outcomes reduce costs</w:t>
            </w:r>
          </w:p>
        </w:tc>
      </w:tr>
      <w:tr>
        <w:trPr/>
        <w:tc>
          <w:tcPr>
            <w:tcW w:w="2805" w:type="dxa"/>
          </w:tcPr>
          <w:p>
            <w:pPr>
              <w:pStyle w:val="Compact"/>
              <w:jc w:val="left"/>
            </w:pPr>
            <w:r>
              <w:rPr>
                <w:sz w:val="18"/>
              </w:rPr>
              <w:t xml:space="preserve">Market share — capturing more patients = more revenue</w:t>
            </w:r>
          </w:p>
        </w:tc>
        <w:tc>
          <w:tcPr>
            <w:tcW w:w="6270" w:type="dxa"/>
          </w:tcPr>
          <w:p>
            <w:pPr>
              <w:pStyle w:val="Compact"/>
              <w:jc w:val="left"/>
            </w:pPr>
            <w:r>
              <w:rPr>
                <w:sz w:val="18"/>
              </w:rPr>
              <w:t xml:space="preserve">ED diversion rate — keeping patients out of the ED saves money</w:t>
            </w:r>
          </w:p>
        </w:tc>
      </w:tr>
      <w:tr>
        <w:trPr/>
        <w:tc>
          <w:tcPr>
            <w:tcW w:w="2805" w:type="dxa"/>
          </w:tcPr>
          <w:p>
            <w:pPr>
              <w:pStyle w:val="Compact"/>
              <w:jc w:val="left"/>
            </w:pPr>
            <w:r>
              <w:rPr>
                <w:sz w:val="18"/>
              </w:rPr>
              <w:t xml:space="preserve">Payer mix — more commercial = better margins</w:t>
            </w:r>
          </w:p>
        </w:tc>
        <w:tc>
          <w:tcPr>
            <w:tcW w:w="6270" w:type="dxa"/>
          </w:tcPr>
          <w:p>
            <w:pPr>
              <w:pStyle w:val="Compact"/>
              <w:jc w:val="left"/>
            </w:pPr>
            <w:r>
              <w:rPr>
                <w:sz w:val="18"/>
              </w:rPr>
              <w:t xml:space="preserve">Readmission rate — every readmission is a cost without additional revenue</w:t>
            </w:r>
          </w:p>
        </w:tc>
      </w:tr>
      <w:tr>
        <w:trPr/>
        <w:tc>
          <w:tcPr>
            <w:tcW w:w="2805" w:type="dxa"/>
          </w:tcPr>
          <w:p>
            <w:pPr>
              <w:pStyle w:val="Compact"/>
              <w:jc w:val="left"/>
            </w:pPr>
            <w:r>
              <w:rPr>
                <w:sz w:val="18"/>
              </w:rPr>
              <w:t xml:space="preserve">Discharge volume</w:t>
            </w:r>
          </w:p>
        </w:tc>
        <w:tc>
          <w:tcPr>
            <w:tcW w:w="6270" w:type="dxa"/>
          </w:tcPr>
          <w:p>
            <w:pPr>
              <w:pStyle w:val="Compact"/>
              <w:jc w:val="left"/>
            </w:pPr>
            <w:r>
              <w:rPr>
                <w:sz w:val="18"/>
              </w:rPr>
              <w:t xml:space="preserve">Days to discharge — length of stay is a cost driver, not a revenue driver</w:t>
            </w:r>
          </w:p>
        </w:tc>
      </w:tr>
      <w:tr>
        <w:trPr/>
        <w:tc>
          <w:tcPr>
            <w:tcW w:w="2805" w:type="dxa"/>
          </w:tcPr>
          <w:p>
            <w:pPr>
              <w:pStyle w:val="Compact"/>
              <w:jc w:val="left"/>
            </w:pPr>
            <w:r>
              <w:rPr>
                <w:sz w:val="18"/>
              </w:rPr>
              <w:t xml:space="preserve">Revenue cycle efficiency — maximize what each claim pays</w:t>
            </w:r>
          </w:p>
        </w:tc>
        <w:tc>
          <w:tcPr>
            <w:tcW w:w="6270" w:type="dxa"/>
          </w:tcPr>
          <w:p>
            <w:pPr>
              <w:pStyle w:val="Compact"/>
              <w:jc w:val="left"/>
            </w:pPr>
            <w:r>
              <w:rPr>
                <w:sz w:val="18"/>
              </w:rPr>
              <w:t xml:space="preserve">Total cost of care per attributed member — efficiency across the whole continuum</w:t>
            </w:r>
          </w:p>
        </w:tc>
      </w:tr>
      <w:tr>
        <w:trPr>
          <w:cantSplit/>
        </w:trPr>
        <w:tc>
          <w:tcPr>
            <w:tcW w:w="2805" w:type="dxa"/>
          </w:tcPr>
          <w:p>
            <w:pPr>
              <w:pStyle w:val="Compact"/>
              <w:jc w:val="left"/>
            </w:pPr>
            <w:r>
              <w:rPr>
                <w:sz w:val="18"/>
              </w:rPr>
              <w:t xml:space="preserve">Operating margin per inpatient day</w:t>
            </w:r>
          </w:p>
        </w:tc>
        <w:tc>
          <w:tcPr>
            <w:tcW w:w="6270"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6.9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5" w:name="_Toc1194"/>
      <w:r>
        <w:rPr>
          <w:b/>
          <w:bCs/>
          <w:color w:val="161B22"/>
        </w:rPr>
        <w:t xml:space="preserve">The Savings Roadmap: Where Vermont’s $400M+ Can Come From</w:t>
      </w:r>
      <w:bookmarkEnd w:id="1195"/>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&amp; indirect savings (5-year total)</w:t>
            </w:r>
          </w:p>
        </w:tc>
        <w:tc>
          <w:tcPr>
            <w:shd w:val="clear" w:color="auto" w:fill="1B3A6B"/>
            <w:tcW w:w="1116" w:type="dxa"/>
          </w:tcPr>
          <w:p>
            <w:pPr>
              <w:pStyle w:val="Compact"/>
              <w:jc w:val="lef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lef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lef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lef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lef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left"/>
            </w:pPr>
            <w:r>
              <w:rPr>
                <w:sz w:val="18"/>
              </w:rPr>
              <w:t xml:space="preserve">$80M+</w:t>
            </w:r>
          </w:p>
        </w:tc>
      </w:tr>
    </w:tbl>
    <w:p>
      <w:pPr>
        <w:pStyle w:val="Caption"/>
        <w:spacing w:before="120"/>
      </w:pPr>
      <w:r>
        <w:rPr>
          <w:i/>
          <w:iCs/>
        </w:rPr>
        <w:t xml:space="preserve">Figure 6.10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6" w:name="_Toc1195"/>
      <w:r>
        <w:rPr>
          <w:b/>
          <w:bCs/>
          <w:color w:val="161B22"/>
        </w:rPr>
        <w:t xml:space="preserve">APM Transition Strategy for Vermont Healthcare Organizations</w:t>
      </w:r>
      <w:bookmarkEnd w:id="1196"/>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7" w:name="_Toc1196"/>
      <w:r>
        <w:rPr>
          <w:b/>
          <w:bCs/>
          <w:color w:val="161B22"/>
        </w:rPr>
        <w:t xml:space="preserve">The Three-Phase Transition Model</w:t>
      </w:r>
      <w:bookmarkEnd w:id="1197"/>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75"/>
        <w:gridCol w:w="930"/>
        <w:gridCol w:w="2445"/>
        <w:gridCol w:w="5040"/>
      </w:tblGrid>
      <w:tr>
        <w:trPr>
          <w:tblHeader w:val="on"/>
          <w:cantSplit/>
        </w:trPr>
        <w:tc>
          <w:tcPr>
            <w:shd w:val="clear" w:color="auto" w:fill="1B3A6B"/>
            <w:tcW w:w="675" w:type="dxa"/>
          </w:tcPr>
          <w:p>
            <w:pPr>
              <w:pStyle w:val="Compact"/>
              <w:jc w:val="left"/>
            </w:pPr>
            <w:r>
              <w:rPr>
                <w:b/>
                <w:color w:val="FFFFFF"/>
                <w:sz w:val="18"/>
              </w:rPr>
              <w:t xml:space="preserve">Phase</w:t>
            </w:r>
          </w:p>
        </w:tc>
        <w:tc>
          <w:tcPr>
            <w:shd w:val="clear" w:color="auto" w:fill="1B3A6B"/>
            <w:tcW w:w="930"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Payment environment</w:t>
            </w:r>
          </w:p>
        </w:tc>
        <w:tc>
          <w:tcPr>
            <w:shd w:val="clear" w:color="auto" w:fill="1B3A6B"/>
            <w:tcW w:w="5040" w:type="dxa"/>
          </w:tcPr>
          <w:p>
            <w:pPr>
              <w:pStyle w:val="Compact"/>
              <w:jc w:val="left"/>
            </w:pPr>
            <w:r>
              <w:rPr>
                <w:b/>
                <w:color w:val="FFFFFF"/>
                <w:sz w:val="18"/>
              </w:rPr>
              <w:t xml:space="preserve">Strategic priorities</w:t>
            </w:r>
          </w:p>
        </w:tc>
      </w:tr>
      <w:tr>
        <w:trPr>
          <w:cantSplit/>
        </w:trPr>
        <w:tc>
          <w:tcPr>
            <w:tcW w:w="675" w:type="dxa"/>
          </w:tcPr>
          <w:p>
            <w:pPr>
              <w:pStyle w:val="Compact"/>
              <w:jc w:val="left"/>
            </w:pPr>
            <w:r>
              <w:rPr>
                <w:sz w:val="18"/>
              </w:rPr>
              <w:t xml:space="preserve">Preparation</w:t>
            </w:r>
          </w:p>
        </w:tc>
        <w:tc>
          <w:tcPr>
            <w:tcW w:w="930" w:type="dxa"/>
          </w:tcPr>
          <w:p>
            <w:pPr>
              <w:pStyle w:val="Compact"/>
              <w:jc w:val="left"/>
            </w:pPr>
            <w:r>
              <w:rPr>
                <w:sz w:val="18"/>
              </w:rPr>
              <w:t xml:space="preserve">Now through FY2026</w:t>
            </w:r>
          </w:p>
        </w:tc>
        <w:tc>
          <w:tcPr>
            <w:tcW w:w="2445" w:type="dxa"/>
          </w:tcPr>
          <w:p>
            <w:pPr>
              <w:pStyle w:val="Compact"/>
              <w:jc w:val="left"/>
            </w:pPr>
            <w:r>
              <w:rPr>
                <w:sz w:val="18"/>
              </w:rPr>
              <w:t xml:space="preserve">FFS with increasing budget pressure; -1% commercial rate benchmark; Act 55 drug cap in effect</w:t>
            </w:r>
          </w:p>
        </w:tc>
        <w:tc>
          <w:tcPr>
            <w:tcW w:w="5040"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75" w:type="dxa"/>
          </w:tcPr>
          <w:p>
            <w:pPr>
              <w:pStyle w:val="Compact"/>
              <w:jc w:val="left"/>
            </w:pPr>
            <w:r>
              <w:rPr>
                <w:sz w:val="18"/>
              </w:rPr>
              <w:t xml:space="preserve">Transition</w:t>
            </w:r>
          </w:p>
        </w:tc>
        <w:tc>
          <w:tcPr>
            <w:tcW w:w="930" w:type="dxa"/>
          </w:tcPr>
          <w:p>
            <w:pPr>
              <w:pStyle w:val="Compact"/>
              <w:jc w:val="left"/>
            </w:pPr>
            <w:r>
              <w:rPr>
                <w:sz w:val="18"/>
              </w:rPr>
              <w:t xml:space="preserve">FY2027</w:t>
            </w:r>
          </w:p>
        </w:tc>
        <w:tc>
          <w:tcPr>
            <w:tcW w:w="2445" w:type="dxa"/>
          </w:tcPr>
          <w:p>
            <w:pPr>
              <w:pStyle w:val="Compact"/>
              <w:jc w:val="left"/>
            </w:pPr>
            <w:r>
              <w:rPr>
                <w:sz w:val="18"/>
              </w:rPr>
              <w:t xml:space="preserve">RBP maximum rates in effect for commercial payers; Act 68 hospital global budgets take effect FY2028</w:t>
            </w:r>
          </w:p>
        </w:tc>
        <w:tc>
          <w:tcPr>
            <w:tcW w:w="5040"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75" w:type="dxa"/>
          </w:tcPr>
          <w:p>
            <w:pPr>
              <w:pStyle w:val="Compact"/>
              <w:jc w:val="left"/>
            </w:pPr>
            <w:r>
              <w:rPr>
                <w:sz w:val="18"/>
              </w:rPr>
              <w:t xml:space="preserve">Operation</w:t>
            </w:r>
          </w:p>
        </w:tc>
        <w:tc>
          <w:tcPr>
            <w:tcW w:w="930" w:type="dxa"/>
          </w:tcPr>
          <w:p>
            <w:pPr>
              <w:pStyle w:val="Compact"/>
              <w:jc w:val="left"/>
            </w:pPr>
            <w:r>
              <w:rPr>
                <w:sz w:val="18"/>
              </w:rPr>
              <w:t xml:space="preserve">FY2028 and beyond</w:t>
            </w:r>
          </w:p>
        </w:tc>
        <w:tc>
          <w:tcPr>
            <w:tcW w:w="2445" w:type="dxa"/>
          </w:tcPr>
          <w:p>
            <w:pPr>
              <w:pStyle w:val="Compact"/>
              <w:jc w:val="left"/>
            </w:pPr>
            <w:r>
              <w:rPr>
                <w:sz w:val="18"/>
              </w:rPr>
              <w:t xml:space="preserve">Global hospital budgets for non-CAH hospitals; Statewide Strategic Plan delivered December 2028</w:t>
            </w:r>
          </w:p>
        </w:tc>
        <w:tc>
          <w:tcPr>
            <w:tcW w:w="5040"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6.11 — Three-phase APM transition model for Vermont healthcare organizations.</w:t>
      </w:r>
    </w:p>
    <w:p>
      <w:pPr>
        <w:pStyle w:val="Heading3"/>
      </w:pPr>
      <w:r>
        <w:rPr>
          <w:color w:val="161B22"/>
        </w:rPr>
        <w:t xml:space="preserve">6.8.2  </w:t>
      </w:r>
      <w:bookmarkStart w:id="1198" w:name="_Toc1197"/>
      <w:r>
        <w:rPr>
          <w:b/>
          <w:bCs/>
          <w:color w:val="161B22"/>
        </w:rPr>
        <w:t xml:space="preserve">The VBC Readiness Assessment in a Global Budget Context</w:t>
      </w:r>
      <w:bookmarkEnd w:id="1198"/>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BodyText"/>
      </w:pPr>
      <w: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keepNext w:val="false"/>
      </w:pPr>
      <w:r>
        <w:rPr>
          <w:color w:val="161B22"/>
        </w:rPr>
        <w:t xml:space="preserve">6.9  </w:t>
      </w:r>
      <w:bookmarkStart w:id="1199" w:name="_Toc1198"/>
      <w:r>
        <w:rPr>
          <w:b/>
          <w:bCs/>
          <w:color w:val="161B22"/>
        </w:rPr>
        <w:t xml:space="preserve">Work This Chapter on the Platform</w:t>
      </w:r>
      <w:bookmarkEnd w:id="1199"/>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Design an APM and model a 5-year global-budget transition with Vermont’s All-Payer TCOC preset</w:t>
            </w:r>
          </w:p>
        </w:tc>
        <w:tc>
          <w:tcPr>
            <w:tcW w:w="2736"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3" w:type="dxa"/>
          </w:tcPr>
          <w:p>
            <w:pPr>
              <w:pStyle w:val="Compact"/>
              <w:jc w:val="left"/>
            </w:pPr>
            <w:r>
              <w:rPr>
                <w:sz w:val="18"/>
              </w:rPr>
              <w:t xml:space="preserve">How a binding revenue envelope changes the volume incentive the chapter describes.</w:t>
            </w:r>
          </w:p>
        </w:tc>
      </w:tr>
      <w:tr>
        <w:trPr/>
        <w:tc>
          <w:tcPr>
            <w:tcW w:w="3312" w:type="dxa"/>
          </w:tcPr>
          <w:p>
            <w:pPr>
              <w:pStyle w:val="Compact"/>
              <w:jc w:val="left"/>
            </w:pPr>
            <w:r>
              <w:rPr>
                <w:sz w:val="18"/>
              </w:rPr>
              <w:t xml:space="preserve">Stress-test a hospital’s finances under RBP, global-budget, and Medicaid-cut scenarios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6.12 — Hands-on platform tools for the Economics Pillar.</w:t>
      </w:r>
    </w:p>
    <w:p>
      <w:pPr>
        <w:pStyle w:val="Heading2"/>
        <w:pBdr>
          <w:top w:val="single" w:sz="6" w:space="10" w:color="C9D2DF"/>
        </w:pBdr>
      </w:pPr>
      <w:r>
        <w:rPr>
          <w:color w:val="161B22"/>
        </w:rPr>
        <w:t xml:space="preserve">6.10  </w:t>
      </w:r>
      <w:bookmarkStart w:id="1200" w:name="_Toc1199"/>
      <w:r>
        <w:rPr>
          <w:b/>
          <w:bCs/>
          <w:color w:val="161B22"/>
        </w:rPr>
        <w:t xml:space="preserve">Implications for You</w:t>
      </w:r>
      <w:bookmarkEnd w:id="1200"/>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Rural Health Transformation Program — $195 million per year for five years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Heading2"/>
        <w:pBdr>
          <w:top w:val="single" w:sz="6" w:space="10" w:color="C9D2DF"/>
        </w:pBdr>
      </w:pPr>
      <w:r>
        <w:rPr>
          <w:color w:val="161B22"/>
        </w:rPr>
        <w:t xml:space="preserve">6.11  </w:t>
      </w:r>
      <w:bookmarkStart w:id="1201" w:name="_Toc1200"/>
      <w:r>
        <w:rPr>
          <w:b/>
          <w:bCs/>
          <w:color w:val="161B22"/>
        </w:rPr>
        <w:t xml:space="preserve">Key Concepts in This Chapter</w:t>
      </w:r>
      <w:bookmarkEnd w:id="1201"/>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t xml:space="preserve"> </w:t>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t xml:space="preserve"> </w:t>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t xml:space="preserve"> </w:t>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t xml:space="preserve"> </w:t>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t xml:space="preserve"> </w:t>
      </w:r>
      <w:r>
        <w:rPr>
          <w:rFonts w:ascii="Calibri" w:hAnsi="Calibri"/>
          <w:color w:val="000000"/>
          <w:sz w:val="18"/>
        </w:rPr>
        <w:t xml:space="preserve">Equity, Access, and Statewide Transformation Fund — the component of Vermont’s AHEAD State Agreement that was to provide up to $150M annually in additional Medicare funds for investment in primary care, behavioral health, home health, and long-term care. A subsequent CMS renegotiation cut this expectation to a ~$10M cap, and Vermont withdrew from AHEAD in July 2026 before ever receiving it.</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now operating in five states (Maryland, Connecticut, Hawaii, Rhode Island, and New York). Vermont signed for Cohort 2 in January 2025 but withdrew in July 2026. Provides Medicare FFS hospital global budgets, enhanced primary care payments, and accountability for total cost of care growth for its current participants.</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t xml:space="preserve"> </w:t>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t xml:space="preserve"> </w:t>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2" w:name="_Toc1201"/>
      <w:r>
        <w:rPr>
          <w:b/>
          <w:bCs/>
          <w:color w:val="161B22"/>
        </w:rPr>
        <w:t xml:space="preserve">Chapter 7: The Economics Pillar in Practice — VBC Financial Modeling and APM Readiness</w:t>
      </w:r>
      <w:bookmarkEnd w:id="1202"/>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FirstParagraph"/>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3" w:name="_Toc1202"/>
      <w:r>
        <w:rPr>
          <w:b/>
          <w:bCs/>
          <w:color w:val="161B22"/>
        </w:rPr>
        <w:t xml:space="preserve">From Payment Architecture to Financial Practice</w:t>
      </w:r>
      <w:bookmarkEnd w:id="1203"/>
    </w:p>
    <w:p>
      <w:pPr>
        <w:pStyle w:val="FirstParagraph"/>
      </w:pPr>
      <w: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4" w:name="_Toc1203"/>
      <w:r>
        <w:rPr>
          <w:b/>
          <w:bCs/>
          <w:color w:val="161B22"/>
        </w:rPr>
        <w:t xml:space="preserve">The APM Financial Modeling Framework</w:t>
      </w:r>
      <w:bookmarkEnd w:id="1204"/>
    </w:p>
    <w:p>
      <w:pPr>
        <w:pStyle w:val="Heading3"/>
      </w:pPr>
      <w:r>
        <w:rPr>
          <w:color w:val="161B22"/>
        </w:rPr>
        <w:t xml:space="preserve">7.2.1  </w:t>
      </w:r>
      <w:bookmarkStart w:id="1205" w:name="_Toc1204"/>
      <w:r>
        <w:rPr>
          <w:b/>
          <w:bCs/>
          <w:color w:val="161B22"/>
        </w:rPr>
        <w:t xml:space="preserve">Understanding Benchmarks — The Foundation of VBC Economics</w:t>
      </w:r>
      <w:bookmarkEnd w:id="1205"/>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6" w:name="_Toc1205"/>
      <w:r>
        <w:rPr>
          <w:b/>
          <w:bCs/>
          <w:color w:val="161B22"/>
        </w:rPr>
        <w:t xml:space="preserve">Historical Spending Baseline</w:t>
      </w:r>
      <w:bookmarkEnd w:id="1206"/>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global budgets.</w:t>
            </w:r>
          </w:p>
        </w:tc>
      </w:tr>
    </w:tbl>
    <w:p>
      <w:pPr>
        <w:spacing w:after="120" w:line="240" w:lineRule="auto"/>
        <w:rPr>
          <w:sz w:val="16"/>
        </w:rPr>
      </w:pPr>
    </w:p>
    <w:p>
      <w:pPr>
        <w:pStyle w:val="Heading3"/>
        <w:keepNext w:val="false"/>
      </w:pPr>
      <w:r>
        <w:rPr>
          <w:color w:val="161B22"/>
        </w:rPr>
        <w:t xml:space="preserve">7.2.3  </w:t>
      </w:r>
      <w:bookmarkStart w:id="1207" w:name="_Toc1206"/>
      <w:r>
        <w:rPr>
          <w:b/>
          <w:bCs/>
          <w:color w:val="161B22"/>
        </w:rPr>
        <w:t xml:space="preserve">Regional Benchmark</w:t>
      </w:r>
      <w:bookmarkEnd w:id="1207"/>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line="240" w:lineRule="auto"/>
        <w:rPr>
          <w:sz w:val="16"/>
        </w:rPr>
      </w:pPr>
    </w:p>
    <w:p>
      <w:pPr>
        <w:pStyle w:val="Heading3"/>
        <w:keepNext w:val="false"/>
      </w:pPr>
      <w:r>
        <w:rPr>
          <w:color w:val="161B22"/>
        </w:rPr>
        <w:t xml:space="preserve">7.2.4  </w:t>
      </w:r>
      <w:bookmarkStart w:id="1208" w:name="_Toc1207"/>
      <w:r>
        <w:rPr>
          <w:b/>
          <w:bCs/>
          <w:color w:val="161B22"/>
        </w:rPr>
        <w:t xml:space="preserve">Prospective Benchmark</w:t>
      </w:r>
      <w:bookmarkEnd w:id="1208"/>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line="240" w:lineRule="auto"/>
        <w:rPr>
          <w:sz w:val="16"/>
        </w:rPr>
      </w:pPr>
    </w:p>
    <w:p>
      <w:pPr>
        <w:pStyle w:val="Heading3"/>
        <w:keepNext w:val="false"/>
      </w:pPr>
      <w:r>
        <w:rPr>
          <w:color w:val="161B22"/>
        </w:rPr>
        <w:t xml:space="preserve">7.2.5  </w:t>
      </w:r>
      <w:bookmarkStart w:id="1209" w:name="_Toc1208"/>
      <w:r>
        <w:rPr>
          <w:b/>
          <w:bCs/>
          <w:color w:val="161B22"/>
        </w:rPr>
        <w:t xml:space="preserve">The Shared Savings Calculation — A Working Model</w:t>
      </w:r>
      <w:bookmarkEnd w:id="1209"/>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425"/>
        <w:gridCol w:w="2085"/>
        <w:gridCol w:w="2625"/>
        <w:gridCol w:w="2955"/>
      </w:tblGrid>
      <w:tr>
        <w:trPr>
          <w:tblHeader w:val="on"/>
          <w:cantSplit/>
        </w:trPr>
        <w:tc>
          <w:tcPr>
            <w:shd w:val="clear" w:color="auto" w:fill="1B3A6B"/>
            <w:tcW w:w="1425" w:type="dxa"/>
          </w:tcPr>
          <w:p>
            <w:pPr>
              <w:pStyle w:val="Compact"/>
              <w:jc w:val="left"/>
            </w:pPr>
            <w:r>
              <w:rPr>
                <w:b/>
                <w:color w:val="FFFFFF"/>
                <w:sz w:val="18"/>
              </w:rPr>
              <w:t xml:space="preserve">Step</w:t>
            </w:r>
          </w:p>
        </w:tc>
        <w:tc>
          <w:tcPr>
            <w:shd w:val="clear" w:color="auto" w:fill="1B3A6B"/>
            <w:tcW w:w="2085" w:type="dxa"/>
          </w:tcPr>
          <w:p>
            <w:pPr>
              <w:pStyle w:val="Compact"/>
              <w:jc w:val="left"/>
            </w:pPr>
            <w:r>
              <w:rPr>
                <w:b/>
                <w:color w:val="FFFFFF"/>
                <w:sz w:val="18"/>
              </w:rPr>
              <w:t xml:space="preserve">Formula / concept</w:t>
            </w:r>
          </w:p>
        </w:tc>
        <w:tc>
          <w:tcPr>
            <w:shd w:val="clear" w:color="auto" w:fill="1B3A6B"/>
            <w:tcW w:w="2625" w:type="dxa"/>
          </w:tcPr>
          <w:p>
            <w:pPr>
              <w:pStyle w:val="Compact"/>
              <w:jc w:val="left"/>
            </w:pPr>
            <w:r>
              <w:rPr>
                <w:b/>
                <w:color w:val="FFFFFF"/>
                <w:sz w:val="18"/>
              </w:rPr>
              <w:t xml:space="preserve">Practical meaning</w:t>
            </w:r>
          </w:p>
        </w:tc>
        <w:tc>
          <w:tcPr>
            <w:shd w:val="clear" w:color="auto" w:fill="1B3A6B"/>
            <w:tcW w:w="2955" w:type="dxa"/>
          </w:tcPr>
          <w:p>
            <w:pPr>
              <w:pStyle w:val="Compact"/>
              <w:jc w:val="left"/>
            </w:pPr>
            <w:r>
              <w:rPr>
                <w:b/>
                <w:color w:val="FFFFFF"/>
                <w:sz w:val="18"/>
              </w:rPr>
              <w:t xml:space="preserve">Vermont application</w:t>
            </w:r>
          </w:p>
        </w:tc>
      </w:tr>
      <w:tr>
        <w:trPr>
          <w:cantSplit/>
        </w:trPr>
        <w:tc>
          <w:tcPr>
            <w:tcW w:w="1425" w:type="dxa"/>
          </w:tcPr>
          <w:p>
            <w:pPr>
              <w:pStyle w:val="Compact"/>
              <w:jc w:val="left"/>
            </w:pPr>
            <w:r>
              <w:rPr>
                <w:sz w:val="18"/>
              </w:rPr>
              <w:t xml:space="preserve">1. Benchmark setting</w:t>
            </w:r>
          </w:p>
        </w:tc>
        <w:tc>
          <w:tcPr>
            <w:tcW w:w="2085" w:type="dxa"/>
          </w:tcPr>
          <w:p>
            <w:pPr>
              <w:pStyle w:val="Compact"/>
              <w:jc w:val="left"/>
            </w:pPr>
            <w:r>
              <w:rPr>
                <w:sz w:val="18"/>
              </w:rPr>
              <w:t xml:space="preserve">Benchmark PMPM × attributed member months = Total benchmark spending</w:t>
            </w:r>
          </w:p>
        </w:tc>
        <w:tc>
          <w:tcPr>
            <w:tcW w:w="2625"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955" w:type="dxa"/>
          </w:tcPr>
          <w:p>
            <w:pPr>
              <w:pStyle w:val="Compact"/>
              <w:jc w:val="left"/>
            </w:pPr>
            <w:r>
              <w:rPr>
                <w:sz w:val="18"/>
              </w:rPr>
              <w:t xml:space="preserve">A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425" w:type="dxa"/>
          </w:tcPr>
          <w:p>
            <w:pPr>
              <w:pStyle w:val="Compact"/>
              <w:jc w:val="left"/>
            </w:pPr>
            <w:r>
              <w:rPr>
                <w:sz w:val="18"/>
              </w:rPr>
              <w:t xml:space="preserve">2. Performance measurement</w:t>
            </w:r>
          </w:p>
        </w:tc>
        <w:tc>
          <w:tcPr>
            <w:tcW w:w="2085" w:type="dxa"/>
          </w:tcPr>
          <w:p>
            <w:pPr>
              <w:pStyle w:val="Compact"/>
              <w:jc w:val="left"/>
            </w:pPr>
            <w:r>
              <w:rPr>
                <w:sz w:val="18"/>
              </w:rPr>
              <w:t xml:space="preserve">Actual total cost of care for attributed population</w:t>
            </w:r>
          </w:p>
        </w:tc>
        <w:tc>
          <w:tcPr>
            <w:tcW w:w="2625"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955" w:type="dxa"/>
          </w:tcPr>
          <w:p>
            <w:pPr>
              <w:pStyle w:val="Compact"/>
              <w:jc w:val="left"/>
            </w:pPr>
            <w:r>
              <w:rPr>
                <w:sz w:val="18"/>
              </w:rPr>
              <w:t xml:space="preserve">AHEAD tracks total cost of care for Medicare FFS beneficiaries attributed to Vermont hospitals across all payer settings.</w:t>
            </w:r>
          </w:p>
        </w:tc>
      </w:tr>
      <w:tr>
        <w:trPr/>
        <w:tc>
          <w:tcPr>
            <w:tcW w:w="1425" w:type="dxa"/>
          </w:tcPr>
          <w:p>
            <w:pPr>
              <w:pStyle w:val="Compact"/>
              <w:jc w:val="left"/>
            </w:pPr>
            <w:r>
              <w:rPr>
                <w:sz w:val="18"/>
              </w:rPr>
              <w:t xml:space="preserve">3. Savings calculation</w:t>
            </w:r>
          </w:p>
        </w:tc>
        <w:tc>
          <w:tcPr>
            <w:tcW w:w="2085" w:type="dxa"/>
          </w:tcPr>
          <w:p>
            <w:pPr>
              <w:pStyle w:val="Compact"/>
              <w:jc w:val="left"/>
            </w:pPr>
            <w:r>
              <w:rPr>
                <w:sz w:val="18"/>
              </w:rPr>
              <w:t xml:space="preserve">Benchmark - Actual TCOC = Gross savings (or loss)</w:t>
            </w:r>
          </w:p>
        </w:tc>
        <w:tc>
          <w:tcPr>
            <w:tcW w:w="2625" w:type="dxa"/>
          </w:tcPr>
          <w:p>
            <w:pPr>
              <w:pStyle w:val="Compact"/>
              <w:jc w:val="left"/>
            </w:pPr>
            <w:r>
              <w:rPr>
                <w:sz w:val="18"/>
              </w:rPr>
              <w:t xml:space="preserve">If actual spending is below benchmark, gross savings exist. If above, gross loss.</w:t>
            </w:r>
          </w:p>
        </w:tc>
        <w:tc>
          <w:tcPr>
            <w:tcW w:w="2955"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425" w:type="dxa"/>
          </w:tcPr>
          <w:p>
            <w:pPr>
              <w:pStyle w:val="Compact"/>
              <w:jc w:val="left"/>
            </w:pPr>
            <w:r>
              <w:rPr>
                <w:sz w:val="18"/>
              </w:rPr>
              <w:t xml:space="preserve">4. Minimum savings rate (MSR)</w:t>
            </w:r>
          </w:p>
        </w:tc>
        <w:tc>
          <w:tcPr>
            <w:tcW w:w="2085" w:type="dxa"/>
          </w:tcPr>
          <w:p>
            <w:pPr>
              <w:pStyle w:val="Compact"/>
              <w:jc w:val="left"/>
            </w:pPr>
            <w:r>
              <w:rPr>
                <w:sz w:val="18"/>
              </w:rPr>
              <w:t xml:space="preserve">In most shared savings models, savings must exceed a minimum threshold (typically 2-3.5%) before the organization shares in them</w:t>
            </w:r>
          </w:p>
        </w:tc>
        <w:tc>
          <w:tcPr>
            <w:tcW w:w="2625" w:type="dxa"/>
          </w:tcPr>
          <w:p>
            <w:pPr>
              <w:pStyle w:val="Compact"/>
              <w:jc w:val="left"/>
            </w:pPr>
            <w:r>
              <w:rPr>
                <w:sz w:val="18"/>
              </w:rPr>
              <w:t xml:space="preserve">Protects against natural year-to-year cost variation triggering shared savings or losses that don’t reflect genuine performance changes.</w:t>
            </w:r>
          </w:p>
        </w:tc>
        <w:tc>
          <w:tcPr>
            <w:tcW w:w="2955"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425" w:type="dxa"/>
          </w:tcPr>
          <w:p>
            <w:pPr>
              <w:pStyle w:val="Compact"/>
              <w:jc w:val="left"/>
            </w:pPr>
            <w:r>
              <w:rPr>
                <w:sz w:val="18"/>
              </w:rPr>
              <w:t xml:space="preserve">5. Shared savings calculation</w:t>
            </w:r>
          </w:p>
        </w:tc>
        <w:tc>
          <w:tcPr>
            <w:tcW w:w="2085" w:type="dxa"/>
          </w:tcPr>
          <w:p>
            <w:pPr>
              <w:pStyle w:val="Compact"/>
              <w:jc w:val="left"/>
            </w:pPr>
            <w:r>
              <w:rPr>
                <w:sz w:val="18"/>
              </w:rPr>
              <w:t xml:space="preserve">Gross savings × sharing rate = Organization’s shared savings payment (or loss obligation)</w:t>
            </w:r>
          </w:p>
        </w:tc>
        <w:tc>
          <w:tcPr>
            <w:tcW w:w="2625" w:type="dxa"/>
          </w:tcPr>
          <w:p>
            <w:pPr>
              <w:pStyle w:val="Compact"/>
              <w:jc w:val="left"/>
            </w:pPr>
            <w:r>
              <w:rPr>
                <w:sz w:val="18"/>
              </w:rPr>
              <w:t xml:space="preserve">Sharing rates vary by model and risk track — typically 50-75% for one-sided models; may reach 80% for full-risk models.</w:t>
            </w:r>
          </w:p>
        </w:tc>
        <w:tc>
          <w:tcPr>
            <w:tcW w:w="2955"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Sources: HTR’s APM Shared Savings Calculator methodology; CMS ACO model documentation.</w:t>
      </w:r>
    </w:p>
    <w:p>
      <w:pPr>
        <w:pStyle w:val="Heading3"/>
      </w:pPr>
      <w:r>
        <w:rPr>
          <w:color w:val="161B22"/>
        </w:rPr>
        <w:t xml:space="preserve">7.2.6  </w:t>
      </w:r>
      <w:bookmarkStart w:id="1210" w:name="_Toc1209"/>
      <w:r>
        <w:rPr>
          <w:b/>
          <w:bCs/>
          <w:color w:val="161B22"/>
        </w:rPr>
        <w:t xml:space="preserve">Risk Stratification — The Economic Engine of Population Health Management</w:t>
      </w:r>
      <w:bookmarkEnd w:id="1210"/>
    </w:p>
    <w:p>
      <w:pPr>
        <w:pStyle w:val="Heading3"/>
      </w:pPr>
      <w:r>
        <w:rPr>
          <w:color w:val="161B22"/>
        </w:rPr>
        <w:t xml:space="preserve">7.2.7  </w:t>
      </w:r>
      <w:bookmarkStart w:id="1211" w:name="_Toc1210"/>
      <w:r>
        <w:rPr>
          <w:b/>
          <w:bCs/>
          <w:color w:val="161B22"/>
        </w:rPr>
        <w:t xml:space="preserve">The Care Management ROI Calculation</w:t>
      </w:r>
      <w:bookmarkEnd w:id="1211"/>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$15,000</w:t>
            </w:r>
          </w:p>
          <w:p>
            <w:pPr>
              <w:jc w:val="center"/>
              <w:spacing w:after="40"/>
            </w:pPr>
            <w:r>
              <w:rPr>
                <w:rFonts w:ascii="Calibri" w:hAnsi="Calibri"/>
                <w:b/>
                <w:sz w:val="16"/>
                <w:color w:val="1B3A6B"/>
              </w:rPr>
              <w:t>Avg. Inpatient Cost Prevented</w:t>
            </w:r>
          </w:p>
        </w:tc>
        <w:tc>
          <w:tcPr>
            <w:tcW w:w="2268" w:type="dxa"/>
            <w:shd w:val="clear" w:color="auto" w:fill="E8F0FB"/>
            <w:vAlign w:val="center"/>
          </w:tcPr>
          <w:p>
            <w:pPr>
              <w:jc w:val="center"/>
              <w:spacing w:after="20" w:before="40"/>
            </w:pPr>
            <w:r>
              <w:rPr>
                <w:rFonts w:ascii="Calibri" w:hAnsi="Calibri"/>
                <w:b/>
                <w:sz w:val="16"/>
                <w:color w:val="1B3A6B"/>
              </w:rPr>
              <w:t>$1,800</w:t>
            </w:r>
          </w:p>
          <w:p>
            <w:pPr>
              <w:jc w:val="center"/>
              <w:spacing w:after="40"/>
            </w:pPr>
            <w:r>
              <w:rPr>
                <w:rFonts w:ascii="Calibri" w:hAnsi="Calibri"/>
                <w:b/>
                <w:sz w:val="16"/>
                <w:color w:val="1B3A6B"/>
              </w:rPr>
              <w:t>Avg. Preventable ED Visit</w:t>
            </w:r>
          </w:p>
        </w:tc>
        <w:tc>
          <w:tcPr>
            <w:tcW w:w="2268" w:type="dxa"/>
            <w:shd w:val="clear" w:color="auto" w:fill="E8F0FB"/>
            <w:vAlign w:val="center"/>
          </w:tcPr>
          <w:p>
            <w:pPr>
              <w:jc w:val="center"/>
              <w:spacing w:after="20" w:before="40"/>
            </w:pPr>
            <w:r>
              <w:rPr>
                <w:rFonts w:ascii="Calibri" w:hAnsi="Calibri"/>
                <w:b/>
                <w:sz w:val="16"/>
                <w:color w:val="1B3A6B"/>
              </w:rPr>
              <w:t>3–5x</w:t>
            </w:r>
          </w:p>
          <w:p>
            <w:pPr>
              <w:jc w:val="center"/>
              <w:spacing w:after="40"/>
            </w:pPr>
            <w:r>
              <w:rPr>
                <w:rFonts w:ascii="Calibri" w:hAnsi="Calibri"/>
                <w:b/>
                <w:sz w:val="16"/>
                <w:color w:val="1B3A6B"/>
              </w:rPr>
              <w:t>Care Management ROI Range</w:t>
            </w:r>
          </w:p>
        </w:tc>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VT Potentially Avoidable ED Visits</w:t>
            </w:r>
          </w:p>
        </w:tc>
      </w:tr>
    </w:tbl>
    <w:p>
      <w:pPr>
        <w:spacing w:after="120"/>
      </w:pPr>
    </w:p>
    <w:p>
      <w:pPr>
        <w:pStyle w:val="Heading2"/>
        <w:pBdr>
          <w:top w:val="single" w:sz="6" w:space="10" w:color="C9D2DF"/>
        </w:pBdr>
        <w:keepNext w:val="false"/>
      </w:pPr>
      <w:r>
        <w:rPr>
          <w:color w:val="161B22"/>
        </w:rPr>
        <w:t xml:space="preserve">7.3  </w:t>
      </w:r>
      <w:bookmarkStart w:id="1212" w:name="_Toc1211"/>
      <w:r>
        <w:rPr>
          <w:b/>
          <w:bCs/>
          <w:color w:val="161B22"/>
        </w:rPr>
        <w:t xml:space="preserve">Economics Pillar Implementation Matrix</w:t>
      </w:r>
      <w:bookmarkEnd w:id="1212"/>
    </w:p>
    <w:p>
      <w:pPr>
        <w:pStyle w:val="FirstParagraph"/>
        <w:keepNext w:val="false"/>
      </w:pPr>
      <w: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3" w:name="_Toc1212"/>
      <w:r>
        <w:rPr>
          <w:b/>
          <w:bCs/>
          <w:color w:val="161B22"/>
        </w:rPr>
        <w:t xml:space="preserve">APM Readiness Assessment — The 30-Dimension Framework</w:t>
      </w:r>
      <w:bookmarkEnd w:id="1213"/>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4" w:name="_Toc1213"/>
      <w:r>
        <w:rPr>
          <w:b/>
          <w:bCs/>
          <w:color w:val="161B22"/>
        </w:rPr>
        <w:t xml:space="preserve">The Six Readiness Domains</w:t>
      </w:r>
      <w:bookmarkEnd w:id="1214"/>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elsewhere in this book.</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5" w:name="_Toc1214"/>
      <w:r>
        <w:rPr>
          <w:b/>
          <w:bCs/>
          <w:color w:val="161B22"/>
        </w:rPr>
        <w:t xml:space="preserve">VBC Readiness Scoring — What the Numbers Mean</w:t>
      </w:r>
      <w:bookmarkEnd w:id="1215"/>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6" w:name="_Toc1215"/>
      <w:r>
        <w:rPr>
          <w:b/>
          <w:bCs/>
          <w:color w:val="161B22"/>
        </w:rPr>
        <w:t xml:space="preserve">Contract Analysis — Reading an APM Contract for Financial Risk</w:t>
      </w:r>
      <w:bookmarkEnd w:id="1216"/>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7" w:name="_Toc1216"/>
      <w:r>
        <w:rPr>
          <w:b/>
          <w:bCs/>
          <w:color w:val="161B22"/>
        </w:rPr>
        <w:t xml:space="preserve">The 65-Item VBC Contract Review Checklist: Key Categories</w:t>
      </w:r>
      <w:bookmarkEnd w:id="1217"/>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115"/>
        <w:gridCol w:w="6945"/>
      </w:tblGrid>
      <w:tr>
        <w:trPr>
          <w:tblHeader w:val="on"/>
          <w:cantSplit/>
        </w:trPr>
        <w:tc>
          <w:tcPr>
            <w:shd w:val="clear" w:color="auto" w:fill="1B3A6B"/>
            <w:tcW w:w="2115" w:type="dxa"/>
          </w:tcPr>
          <w:p>
            <w:pPr>
              <w:pStyle w:val="Compact"/>
              <w:jc w:val="left"/>
            </w:pPr>
            <w:r>
              <w:rPr>
                <w:b/>
                <w:color w:val="FFFFFF"/>
                <w:sz w:val="18"/>
              </w:rPr>
              <w:t xml:space="preserve">Contract provision category</w:t>
            </w:r>
          </w:p>
        </w:tc>
        <w:tc>
          <w:tcPr>
            <w:shd w:val="clear" w:color="auto" w:fill="1B3A6B"/>
            <w:tcW w:w="6945" w:type="dxa"/>
          </w:tcPr>
          <w:p>
            <w:pPr>
              <w:pStyle w:val="Compact"/>
              <w:jc w:val="left"/>
            </w:pPr>
            <w:r>
              <w:rPr>
                <w:b/>
                <w:color w:val="FFFFFF"/>
                <w:sz w:val="18"/>
              </w:rPr>
              <w:t xml:space="preserve">Key questions and financial risk</w:t>
            </w:r>
          </w:p>
        </w:tc>
      </w:tr>
      <w:tr>
        <w:trPr>
          <w:cantSplit/>
        </w:trPr>
        <w:tc>
          <w:tcPr>
            <w:tcW w:w="2115" w:type="dxa"/>
          </w:tcPr>
          <w:p>
            <w:pPr>
              <w:pStyle w:val="Compact"/>
              <w:jc w:val="left"/>
            </w:pPr>
            <w:r>
              <w:rPr>
                <w:sz w:val="18"/>
              </w:rPr>
              <w:t xml:space="preserve">Benchmark methodology</w:t>
            </w:r>
          </w:p>
        </w:tc>
        <w:tc>
          <w:tcPr>
            <w:tcW w:w="694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115" w:type="dxa"/>
          </w:tcPr>
          <w:p>
            <w:pPr>
              <w:pStyle w:val="Compact"/>
              <w:jc w:val="left"/>
            </w:pPr>
            <w:r>
              <w:rPr>
                <w:sz w:val="18"/>
              </w:rPr>
              <w:t xml:space="preserve">Attribution methodology</w:t>
            </w:r>
          </w:p>
        </w:tc>
        <w:tc>
          <w:tcPr>
            <w:tcW w:w="694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115" w:type="dxa"/>
          </w:tcPr>
          <w:p>
            <w:pPr>
              <w:pStyle w:val="Compact"/>
              <w:jc w:val="left"/>
            </w:pPr>
            <w:r>
              <w:rPr>
                <w:sz w:val="18"/>
              </w:rPr>
              <w:t xml:space="preserve">Quality withhold</w:t>
            </w:r>
          </w:p>
        </w:tc>
        <w:tc>
          <w:tcPr>
            <w:tcW w:w="694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115" w:type="dxa"/>
          </w:tcPr>
          <w:p>
            <w:pPr>
              <w:pStyle w:val="Compact"/>
              <w:jc w:val="left"/>
            </w:pPr>
            <w:r>
              <w:rPr>
                <w:sz w:val="18"/>
              </w:rPr>
              <w:t xml:space="preserve">Risk corridors and stop-loss</w:t>
            </w:r>
          </w:p>
        </w:tc>
        <w:tc>
          <w:tcPr>
            <w:tcW w:w="694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115" w:type="dxa"/>
          </w:tcPr>
          <w:p>
            <w:pPr>
              <w:pStyle w:val="Compact"/>
              <w:jc w:val="left"/>
            </w:pPr>
            <w:r>
              <w:rPr>
                <w:sz w:val="18"/>
              </w:rPr>
              <w:t xml:space="preserve">Carve-outs</w:t>
            </w:r>
          </w:p>
        </w:tc>
        <w:tc>
          <w:tcPr>
            <w:tcW w:w="694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115" w:type="dxa"/>
          </w:tcPr>
          <w:p>
            <w:pPr>
              <w:pStyle w:val="Compact"/>
              <w:jc w:val="left"/>
            </w:pPr>
            <w:r>
              <w:rPr>
                <w:sz w:val="18"/>
              </w:rPr>
              <w:t xml:space="preserve">Reconciliation timing</w:t>
            </w:r>
          </w:p>
        </w:tc>
        <w:tc>
          <w:tcPr>
            <w:tcW w:w="694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Figure 7.3 — APM contract review framework: provisions and key questions. Source: HTR Advisory framework.</w:t>
      </w:r>
    </w:p>
    <w:p>
      <w:pPr>
        <w:pStyle w:val="Heading2"/>
        <w:pBdr>
          <w:top w:val="single" w:sz="6" w:space="10" w:color="C9D2DF"/>
        </w:pBdr>
      </w:pPr>
      <w:r>
        <w:rPr>
          <w:color w:val="161B22"/>
        </w:rPr>
        <w:t xml:space="preserve">7.6  </w:t>
      </w:r>
      <w:bookmarkStart w:id="1218" w:name="_Toc1217"/>
      <w:r>
        <w:rPr>
          <w:b/>
          <w:bCs/>
          <w:color w:val="161B22"/>
        </w:rPr>
        <w:t xml:space="preserve">Hospital Financial Modeling Under Global Budgets — The Vermont Framework</w:t>
      </w:r>
      <w:bookmarkEnd w:id="1218"/>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9" w:name="_Toc1218"/>
      <w:r>
        <w:rPr>
          <w:b/>
          <w:bCs/>
          <w:color w:val="161B22"/>
        </w:rPr>
        <w:t xml:space="preserve">The Global Budget Financial Management Model</w:t>
      </w:r>
      <w:bookmarkEnd w:id="1219"/>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3930"/>
        <w:gridCol w:w="5145"/>
      </w:tblGrid>
      <w:tr>
        <w:trPr>
          <w:tblHeader w:val="on"/>
          <w:cantSplit/>
        </w:trPr>
        <w:tc>
          <w:tcPr>
            <w:shd w:val="clear" w:color="auto" w:fill="1B3A6B"/>
            <w:tcW w:w="3930" w:type="dxa"/>
          </w:tcPr>
          <w:p>
            <w:pPr>
              <w:pStyle w:val="Compact"/>
              <w:jc w:val="left"/>
            </w:pPr>
            <w:r>
              <w:rPr>
                <w:b/>
                <w:color w:val="FFFFFF"/>
                <w:sz w:val="18"/>
              </w:rPr>
              <w:t xml:space="preserve">Under FFS — optimize these metrics</w:t>
            </w:r>
          </w:p>
        </w:tc>
        <w:tc>
          <w:tcPr>
            <w:shd w:val="clear" w:color="auto" w:fill="1B3A6B"/>
            <w:tcW w:w="5145" w:type="dxa"/>
          </w:tcPr>
          <w:p>
            <w:pPr>
              <w:pStyle w:val="Compact"/>
              <w:jc w:val="left"/>
            </w:pPr>
            <w:r>
              <w:rPr>
                <w:b/>
                <w:color w:val="FFFFFF"/>
                <w:sz w:val="18"/>
              </w:rPr>
              <w:t xml:space="preserve">Under global budget — optimize these metrics</w:t>
            </w:r>
          </w:p>
        </w:tc>
      </w:tr>
      <w:tr>
        <w:trPr>
          <w:cantSplit/>
        </w:trPr>
        <w:tc>
          <w:tcPr>
            <w:tcW w:w="3930" w:type="dxa"/>
          </w:tcPr>
          <w:p>
            <w:pPr>
              <w:pStyle w:val="Compact"/>
              <w:jc w:val="left"/>
            </w:pPr>
            <w:r>
              <w:rPr>
                <w:sz w:val="18"/>
              </w:rPr>
              <w:t xml:space="preserve">Revenue per discharge — maximize reimbursement per case</w:t>
            </w:r>
          </w:p>
        </w:tc>
        <w:tc>
          <w:tcPr>
            <w:tcW w:w="5145" w:type="dxa"/>
          </w:tcPr>
          <w:p>
            <w:pPr>
              <w:pStyle w:val="Compact"/>
              <w:jc w:val="left"/>
            </w:pPr>
            <w:r>
              <w:rPr>
                <w:sz w:val="18"/>
              </w:rPr>
              <w:t xml:space="preserve">Cost per discharge — minimize unnecessary cost while maintaining quality</w:t>
            </w:r>
          </w:p>
        </w:tc>
      </w:tr>
      <w:tr>
        <w:trPr/>
        <w:tc>
          <w:tcPr>
            <w:tcW w:w="3930" w:type="dxa"/>
          </w:tcPr>
          <w:p>
            <w:pPr>
              <w:pStyle w:val="Compact"/>
              <w:jc w:val="left"/>
            </w:pPr>
            <w:r>
              <w:rPr>
                <w:sz w:val="18"/>
              </w:rPr>
              <w:t xml:space="preserve">Admission volume — more admissions = more revenue</w:t>
            </w:r>
          </w:p>
        </w:tc>
        <w:tc>
          <w:tcPr>
            <w:tcW w:w="5145" w:type="dxa"/>
          </w:tcPr>
          <w:p>
            <w:pPr>
              <w:pStyle w:val="Compact"/>
              <w:jc w:val="left"/>
            </w:pPr>
            <w:r>
              <w:rPr>
                <w:sz w:val="18"/>
              </w:rPr>
              <w:t xml:space="preserve">Avoidable admission rate — every preventable admission is a cost, not revenue</w:t>
            </w:r>
          </w:p>
        </w:tc>
      </w:tr>
      <w:tr>
        <w:trPr/>
        <w:tc>
          <w:tcPr>
            <w:tcW w:w="3930" w:type="dxa"/>
          </w:tcPr>
          <w:p>
            <w:pPr>
              <w:pStyle w:val="Compact"/>
              <w:jc w:val="left"/>
            </w:pPr>
            <w:r>
              <w:rPr>
                <w:sz w:val="18"/>
              </w:rPr>
              <w:t xml:space="preserve">Length of stay — maximize revenue per stay</w:t>
            </w:r>
          </w:p>
        </w:tc>
        <w:tc>
          <w:tcPr>
            <w:tcW w:w="5145" w:type="dxa"/>
          </w:tcPr>
          <w:p>
            <w:pPr>
              <w:pStyle w:val="Compact"/>
              <w:jc w:val="left"/>
            </w:pPr>
            <w:r>
              <w:rPr>
                <w:sz w:val="18"/>
              </w:rPr>
              <w:t xml:space="preserve">Efficient length of stay — unnecessary days are costs without revenue offset</w:t>
            </w:r>
          </w:p>
        </w:tc>
      </w:tr>
      <w:tr>
        <w:trPr/>
        <w:tc>
          <w:tcPr>
            <w:tcW w:w="3930" w:type="dxa"/>
          </w:tcPr>
          <w:p>
            <w:pPr>
              <w:pStyle w:val="Compact"/>
              <w:jc w:val="left"/>
            </w:pPr>
            <w:r>
              <w:rPr>
                <w:sz w:val="18"/>
              </w:rPr>
              <w:t xml:space="preserve">Service line volume — grow profitable service lines</w:t>
            </w:r>
          </w:p>
        </w:tc>
        <w:tc>
          <w:tcPr>
            <w:tcW w:w="5145" w:type="dxa"/>
          </w:tcPr>
          <w:p>
            <w:pPr>
              <w:pStyle w:val="Compact"/>
              <w:jc w:val="left"/>
            </w:pPr>
            <w:r>
              <w:rPr>
                <w:sz w:val="18"/>
              </w:rPr>
              <w:t xml:space="preserve">PMPM population health cost — manage population health to stay within budget</w:t>
            </w:r>
          </w:p>
        </w:tc>
      </w:tr>
      <w:tr>
        <w:trPr/>
        <w:tc>
          <w:tcPr>
            <w:tcW w:w="3930" w:type="dxa"/>
          </w:tcPr>
          <w:p>
            <w:pPr>
              <w:pStyle w:val="Compact"/>
              <w:jc w:val="left"/>
            </w:pPr>
            <w:r>
              <w:rPr>
                <w:sz w:val="18"/>
              </w:rPr>
              <w:t xml:space="preserve">Payer mix — maximize commercially insured cases</w:t>
            </w:r>
          </w:p>
        </w:tc>
        <w:tc>
          <w:tcPr>
            <w:tcW w:w="5145" w:type="dxa"/>
          </w:tcPr>
          <w:p>
            <w:pPr>
              <w:pStyle w:val="Compact"/>
              <w:jc w:val="left"/>
            </w:pPr>
            <w:r>
              <w:rPr>
                <w:sz w:val="18"/>
              </w:rPr>
              <w:t xml:space="preserve">Quality performance — quality metrics determine budget adjustments and AHEAD performance</w:t>
            </w:r>
          </w:p>
        </w:tc>
      </w:tr>
      <w:tr>
        <w:trPr/>
        <w:tc>
          <w:tcPr>
            <w:tcW w:w="3930" w:type="dxa"/>
          </w:tcPr>
          <w:p>
            <w:pPr>
              <w:pStyle w:val="Compact"/>
              <w:jc w:val="left"/>
            </w:pPr>
            <w:r>
              <w:rPr>
                <w:sz w:val="18"/>
              </w:rPr>
              <w:t xml:space="preserve">Denials management — recover denied claims</w:t>
            </w:r>
          </w:p>
        </w:tc>
        <w:tc>
          <w:tcPr>
            <w:tcW w:w="5145" w:type="dxa"/>
          </w:tcPr>
          <w:p>
            <w:pPr>
              <w:pStyle w:val="Compact"/>
              <w:jc w:val="left"/>
            </w:pPr>
            <w:r>
              <w:rPr>
                <w:sz w:val="18"/>
              </w:rPr>
              <w:t xml:space="preserve">Potentially avoidable utilization — prevent the ED visits and admissions that waste budget</w:t>
            </w:r>
          </w:p>
        </w:tc>
      </w:tr>
      <w:tr>
        <w:trPr/>
        <w:tc>
          <w:tcPr>
            <w:tcW w:w="3930" w:type="dxa"/>
          </w:tcPr>
          <w:p>
            <w:pPr>
              <w:pStyle w:val="Compact"/>
              <w:jc w:val="left"/>
            </w:pPr>
            <w:r>
              <w:rPr>
                <w:sz w:val="18"/>
              </w:rPr>
              <w:t xml:space="preserve">Case mix index — capture higher-acuity cases</w:t>
            </w:r>
          </w:p>
        </w:tc>
        <w:tc>
          <w:tcPr>
            <w:tcW w:w="5145" w:type="dxa"/>
          </w:tcPr>
          <w:p>
            <w:pPr>
              <w:pStyle w:val="Compact"/>
              <w:jc w:val="left"/>
            </w:pPr>
            <w:r>
              <w:rPr>
                <w:sz w:val="18"/>
              </w:rPr>
              <w:t xml:space="preserve">Community investment ROI — SDOH programs that reduce utilization have direct financial return</w:t>
            </w:r>
          </w:p>
        </w:tc>
      </w:tr>
      <w:tr>
        <w:trPr>
          <w:cantSplit/>
        </w:trPr>
        <w:tc>
          <w:tcPr>
            <w:tcW w:w="3930" w:type="dxa"/>
          </w:tcPr>
          <w:p>
            <w:pPr>
              <w:pStyle w:val="Compact"/>
              <w:jc w:val="left"/>
            </w:pPr>
            <w:r>
              <w:rPr>
                <w:sz w:val="18"/>
              </w:rPr>
              <w:t xml:space="preserve">Operating margin per adjusted discharge</w:t>
            </w:r>
          </w:p>
        </w:tc>
        <w:tc>
          <w:tcPr>
            <w:tcW w:w="5145"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20" w:name="_Toc1219"/>
      <w:r>
        <w:rPr>
          <w:b/>
          <w:bCs/>
          <w:color w:val="161B22"/>
        </w:rPr>
        <w:t xml:space="preserve">The Hospital Financial Stress Test Model</w:t>
      </w:r>
      <w:bookmarkEnd w:id="1220"/>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numPr>
          <w:ilvl w:val="0"/>
          <w:numId w:val="1022"/>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numPr>
          <w:ilvl w:val="0"/>
          <w:numId w:val="1022"/>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numPr>
          <w:ilvl w:val="0"/>
          <w:numId w:val="1022"/>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numPr>
          <w:ilvl w:val="0"/>
          <w:numId w:val="1022"/>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1" w:name="_Toc1220"/>
      <w:r>
        <w:rPr>
          <w:b/>
          <w:bCs/>
          <w:color w:val="161B22"/>
        </w:rPr>
        <w:t xml:space="preserve">The ROI of Transformation — Building the Financial Case</w:t>
      </w:r>
      <w:bookmarkEnd w:id="1221"/>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2" w:name="_Toc1221"/>
      <w:r>
        <w:rPr>
          <w:b/>
          <w:bCs/>
          <w:color w:val="161B22"/>
        </w:rPr>
        <w:t xml:space="preserve">The Transformation ROI Framework</w:t>
      </w:r>
      <w:bookmarkEnd w:id="1222"/>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470"/>
        <w:gridCol w:w="2085"/>
        <w:gridCol w:w="2475"/>
        <w:gridCol w:w="3030"/>
      </w:tblGrid>
      <w:tr>
        <w:trPr>
          <w:tblHeader w:val="on"/>
          <w:cantSplit/>
        </w:trPr>
        <w:tc>
          <w:tcPr>
            <w:shd w:val="clear" w:color="auto" w:fill="1B3A6B"/>
            <w:tcW w:w="1470" w:type="dxa"/>
          </w:tcPr>
          <w:p>
            <w:pPr>
              <w:pStyle w:val="Compact"/>
              <w:jc w:val="left"/>
            </w:pPr>
            <w:r>
              <w:rPr>
                <w:b/>
                <w:color w:val="FFFFFF"/>
                <w:sz w:val="18"/>
              </w:rPr>
              <w:t xml:space="preserve">Investment type</w:t>
            </w:r>
          </w:p>
        </w:tc>
        <w:tc>
          <w:tcPr>
            <w:shd w:val="clear" w:color="auto" w:fill="1B3A6B"/>
            <w:tcW w:w="2085" w:type="dxa"/>
          </w:tcPr>
          <w:p>
            <w:pPr>
              <w:pStyle w:val="Compact"/>
              <w:jc w:val="left"/>
            </w:pPr>
            <w:r>
              <w:rPr>
                <w:b/>
                <w:color w:val="FFFFFF"/>
                <w:sz w:val="18"/>
              </w:rPr>
              <w:t xml:space="preserve">Revenue/savings mechanism</w:t>
            </w:r>
          </w:p>
        </w:tc>
        <w:tc>
          <w:tcPr>
            <w:shd w:val="clear" w:color="auto" w:fill="1B3A6B"/>
            <w:tcW w:w="2475" w:type="dxa"/>
          </w:tcPr>
          <w:p>
            <w:pPr>
              <w:pStyle w:val="Compact"/>
              <w:jc w:val="left"/>
            </w:pPr>
            <w:r>
              <w:rPr>
                <w:b/>
                <w:color w:val="FFFFFF"/>
                <w:sz w:val="18"/>
              </w:rPr>
              <w:t xml:space="preserve">Calculation approach</w:t>
            </w:r>
          </w:p>
        </w:tc>
        <w:tc>
          <w:tcPr>
            <w:shd w:val="clear" w:color="auto" w:fill="1B3A6B"/>
            <w:tcW w:w="3030" w:type="dxa"/>
          </w:tcPr>
          <w:p>
            <w:pPr>
              <w:pStyle w:val="Compact"/>
              <w:jc w:val="left"/>
            </w:pPr>
            <w:r>
              <w:rPr>
                <w:b/>
                <w:color w:val="FFFFFF"/>
                <w:sz w:val="18"/>
              </w:rPr>
              <w:t xml:space="preserve">Vermont example</w:t>
            </w:r>
          </w:p>
        </w:tc>
      </w:tr>
      <w:tr>
        <w:trPr>
          <w:cantSplit/>
        </w:trPr>
        <w:tc>
          <w:tcPr>
            <w:tcW w:w="1470" w:type="dxa"/>
          </w:tcPr>
          <w:p>
            <w:pPr>
              <w:pStyle w:val="Compact"/>
              <w:jc w:val="left"/>
            </w:pPr>
            <w:r>
              <w:rPr>
                <w:sz w:val="18"/>
              </w:rPr>
              <w:t xml:space="preserve">Care management program</w:t>
            </w:r>
          </w:p>
        </w:tc>
        <w:tc>
          <w:tcPr>
            <w:tcW w:w="2085" w:type="dxa"/>
          </w:tcPr>
          <w:p>
            <w:pPr>
              <w:pStyle w:val="Compact"/>
              <w:jc w:val="left"/>
            </w:pPr>
            <w:r>
              <w:rPr>
                <w:sz w:val="18"/>
              </w:rPr>
              <w:t xml:space="preserve">Prevents hospitalizations and ED visits that, under VBC, are costs without offsetting revenue</w:t>
            </w:r>
          </w:p>
        </w:tc>
        <w:tc>
          <w:tcPr>
            <w:tcW w:w="2475" w:type="dxa"/>
          </w:tcPr>
          <w:p>
            <w:pPr>
              <w:pStyle w:val="Compact"/>
              <w:jc w:val="left"/>
            </w:pPr>
            <w:r>
              <w:rPr>
                <w:sz w:val="18"/>
              </w:rPr>
              <w:t xml:space="preserve">(Prevented events) × (average cost per event) - (program operating cost) = Net savings. Divide by program cost for ROI.</w:t>
            </w:r>
          </w:p>
        </w:tc>
        <w:tc>
          <w:tcPr>
            <w:tcW w:w="3030"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470" w:type="dxa"/>
          </w:tcPr>
          <w:p>
            <w:pPr>
              <w:pStyle w:val="Compact"/>
              <w:jc w:val="left"/>
            </w:pPr>
            <w:r>
              <w:rPr>
                <w:sz w:val="18"/>
              </w:rPr>
              <w:t xml:space="preserve">Behavioral health integration (CoCM)</w:t>
            </w:r>
          </w:p>
        </w:tc>
        <w:tc>
          <w:tcPr>
            <w:tcW w:w="2085" w:type="dxa"/>
          </w:tcPr>
          <w:p>
            <w:pPr>
              <w:pStyle w:val="Compact"/>
              <w:jc w:val="left"/>
            </w:pPr>
            <w:r>
              <w:rPr>
                <w:sz w:val="18"/>
              </w:rPr>
              <w:t xml:space="preserve">Reduces downstream high-cost utilization — hospitalizations, ED visits for MH crisis — for patients receiving earlier MH intervention</w:t>
            </w:r>
          </w:p>
        </w:tc>
        <w:tc>
          <w:tcPr>
            <w:tcW w:w="2475"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3030"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470" w:type="dxa"/>
          </w:tcPr>
          <w:p>
            <w:pPr>
              <w:pStyle w:val="Compact"/>
              <w:jc w:val="left"/>
            </w:pPr>
            <w:r>
              <w:rPr>
                <w:sz w:val="18"/>
              </w:rPr>
              <w:t xml:space="preserve">SDOH program investment</w:t>
            </w:r>
          </w:p>
        </w:tc>
        <w:tc>
          <w:tcPr>
            <w:tcW w:w="2085"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475"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3030"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470" w:type="dxa"/>
          </w:tcPr>
          <w:p>
            <w:pPr>
              <w:pStyle w:val="Compact"/>
              <w:jc w:val="left"/>
            </w:pPr>
            <w:r>
              <w:rPr>
                <w:sz w:val="18"/>
              </w:rPr>
              <w:t xml:space="preserve">Primary care investment (PCMH enhanced payments)</w:t>
            </w:r>
          </w:p>
        </w:tc>
        <w:tc>
          <w:tcPr>
            <w:tcW w:w="2085" w:type="dxa"/>
          </w:tcPr>
          <w:p>
            <w:pPr>
              <w:pStyle w:val="Compact"/>
              <w:jc w:val="left"/>
            </w:pPr>
            <w:r>
              <w:rPr>
                <w:sz w:val="18"/>
              </w:rPr>
              <w:t xml:space="preserve">Reduces hospitalizations and specialty care through better chronic disease management and early intervention</w:t>
            </w:r>
          </w:p>
        </w:tc>
        <w:tc>
          <w:tcPr>
            <w:tcW w:w="2475"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3030"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470" w:type="dxa"/>
          </w:tcPr>
          <w:p>
            <w:pPr>
              <w:pStyle w:val="Compact"/>
              <w:jc w:val="left"/>
            </w:pPr>
            <w:r>
              <w:rPr>
                <w:sz w:val="18"/>
              </w:rPr>
              <w:t xml:space="preserve">Telehealth for rural access</w:t>
            </w:r>
          </w:p>
        </w:tc>
        <w:tc>
          <w:tcPr>
            <w:tcW w:w="2085"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475"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3030"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3" w:name="_Toc1222"/>
      <w:r>
        <w:rPr>
          <w:b/>
          <w:bCs/>
          <w:color w:val="161B22"/>
        </w:rPr>
        <w:t xml:space="preserve">Making Care Primary — Vermont’s Primary Care Economics</w:t>
      </w:r>
      <w:bookmarkEnd w:id="1223"/>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keepNext w:val="false"/>
      </w:pPr>
      <w:r>
        <w:rPr>
          <w:color w:val="161B22"/>
        </w:rPr>
        <w:t xml:space="preserve">7.9  </w:t>
      </w:r>
      <w:bookmarkStart w:id="1224" w:name="_Toc1223"/>
      <w:r>
        <w:rPr>
          <w:b/>
          <w:bCs/>
          <w:color w:val="161B22"/>
        </w:rPr>
        <w:t xml:space="preserve">Work This Chapter on the Platform</w:t>
      </w:r>
      <w:bookmarkEnd w:id="1224"/>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Model shared savings/loss under any APM contract (benchmark PMPM, sharing rate, MSR, stop-loss)</w:t>
            </w:r>
          </w:p>
        </w:tc>
        <w:tc>
          <w:tcPr>
            <w:tcW w:w="2736"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3"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312" w:type="dxa"/>
          </w:tcPr>
          <w:p>
            <w:pPr>
              <w:pStyle w:val="Compact"/>
              <w:jc w:val="left"/>
            </w:pPr>
            <w:r>
              <w:rPr>
                <w:sz w:val="18"/>
              </w:rPr>
              <w:t xml:space="preserve">Score an organization’s value-based-care readiness across six domains</w:t>
            </w:r>
          </w:p>
        </w:tc>
        <w:tc>
          <w:tcPr>
            <w:tcW w:w="2736"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3" w:type="dxa"/>
          </w:tcPr>
          <w:p>
            <w:pPr>
              <w:pStyle w:val="Compact"/>
              <w:jc w:val="left"/>
            </w:pPr>
            <w:r>
              <w:rPr>
                <w:sz w:val="18"/>
              </w:rPr>
              <w:t xml:space="preserve">Which domain is the binding constraint before assuming downside risk.</w:t>
            </w:r>
          </w:p>
        </w:tc>
      </w:tr>
      <w:tr>
        <w:trPr/>
        <w:tc>
          <w:tcPr>
            <w:tcW w:w="3312" w:type="dxa"/>
          </w:tcPr>
          <w:p>
            <w:pPr>
              <w:pStyle w:val="Compact"/>
              <w:jc w:val="left"/>
            </w:pPr>
            <w:r>
              <w:rPr>
                <w:sz w:val="18"/>
              </w:rPr>
              <w:t xml:space="preserve">Run a cost-effectiveness analysis on a proposed intervention</w:t>
            </w:r>
          </w:p>
        </w:tc>
        <w:tc>
          <w:tcPr>
            <w:tcW w:w="2736"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3" w:type="dxa"/>
          </w:tcPr>
          <w:p>
            <w:pPr>
              <w:pStyle w:val="Compact"/>
              <w:jc w:val="left"/>
            </w:pPr>
            <w:r>
              <w:rPr>
                <w:sz w:val="18"/>
              </w:rPr>
              <w:t xml:space="preserve">Whether the ROI case survives contact with the numbers.</w:t>
            </w:r>
          </w:p>
        </w:tc>
      </w:tr>
      <w:tr>
        <w:trPr/>
        <w:tc>
          <w:tcPr>
            <w:tcW w:w="3312" w:type="dxa"/>
          </w:tcPr>
          <w:p>
            <w:pPr>
              <w:pStyle w:val="Compact"/>
              <w:jc w:val="left"/>
            </w:pPr>
            <w:r>
              <w:rPr>
                <w:sz w:val="18"/>
              </w:rPr>
              <w:t xml:space="preserve">Stress-test a hospital’s finances against reference-based pricing and global budget scenarios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The years the hospital is thinnest. For most Vermont hospitals that is FY2027-28, not the FY2030 destination.</w:t>
            </w:r>
          </w:p>
        </w:tc>
      </w:tr>
      <w:tr>
        <w:trPr>
          <w:cantSplit/>
        </w:trPr>
        <w:tc>
          <w:tcPr>
            <w:tcW w:w="3312" w:type="dxa"/>
          </w:tcPr>
          <w:p>
            <w:pPr>
              <w:pStyle w:val="Compact"/>
              <w:jc w:val="left"/>
            </w:pPr>
            <w:r>
              <w:rPr>
                <w:sz w:val="18"/>
              </w:rPr>
              <w:t xml:space="preserve">Track capital committed against each pillar and find where funding runs ahead of dependency order</w:t>
            </w:r>
          </w:p>
        </w:tc>
        <w:tc>
          <w:tcPr>
            <w:tcW w:w="2736"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3023"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7.6 — Hands-on platform tools for the Economics Pillar in practice.</w:t>
      </w:r>
    </w:p>
    <w:p>
      <w:pPr>
        <w:pStyle w:val="Heading2"/>
        <w:pBdr>
          <w:top w:val="single" w:sz="6" w:space="10" w:color="C9D2DF"/>
        </w:pBdr>
      </w:pPr>
      <w:r>
        <w:rPr>
          <w:color w:val="161B22"/>
        </w:rPr>
        <w:t xml:space="preserve">7.10  </w:t>
      </w:r>
      <w:bookmarkStart w:id="1225" w:name="_Toc1224"/>
      <w:r>
        <w:rPr>
          <w:b/>
          <w:bCs/>
          <w:color w:val="161B22"/>
        </w:rPr>
        <w:t xml:space="preserve">Implications for You</w:t>
      </w:r>
      <w:bookmarkEnd w:id="1225"/>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Heading2"/>
        <w:pBdr>
          <w:top w:val="single" w:sz="6" w:space="10" w:color="C9D2DF"/>
        </w:pBdr>
      </w:pPr>
      <w:r>
        <w:rPr>
          <w:color w:val="161B22"/>
        </w:rPr>
        <w:t xml:space="preserve">7.11  </w:t>
      </w:r>
      <w:bookmarkStart w:id="1226" w:name="_Toc1225"/>
      <w:r>
        <w:rPr>
          <w:b/>
          <w:bCs/>
          <w:color w:val="161B22"/>
        </w:rPr>
        <w:t xml:space="preserve">Key Concepts in This Chapter</w:t>
      </w:r>
      <w:bookmarkEnd w:id="1226"/>
    </w:p>
    <w:p>
      <w:pPr>
        <w:pStyle w:val="FirstParagraph"/>
        <w:spacing w:before="160" w:after="120"/>
      </w:pPr>
      <w:r>
        <w:rPr>
          <w:rFonts w:ascii="Calibri" w:hAnsi="Calibri"/>
          <w:b/>
          <w:bCs/>
          <w:color w:val="2E74B5"/>
          <w:sz w:val="20"/>
        </w:rPr>
        <w:t xml:space="preserve">Benchmark</w:t>
      </w:r>
      <w:r>
        <w:rPr>
          <w:rFonts w:ascii="Calibri" w:hAnsi="Calibri"/>
          <w:color w:val="000000"/>
          <w:sz w:val="18"/>
        </w:rPr>
        <w:t xml:space="preserve"> </w:t>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t xml:space="preserve"> </w:t>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t xml:space="preserve"> </w:t>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t xml:space="preserve"> </w:t>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t xml:space="preserve"> </w:t>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t xml:space="preserve"> </w:t>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t xml:space="preserve"> </w:t>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7" w:name="_Toc1226"/>
      <w:r>
        <w:rPr>
          <w:b/>
          <w:bCs/>
          <w:color w:val="161B22"/>
        </w:rPr>
        <w:t xml:space="preserve">Chapter 8: The Clinical Pillar — Redesigning Care Delivery for a Transformed System</w:t>
      </w:r>
      <w:bookmarkEnd w:id="1227"/>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FirstParagraph"/>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8" w:name="_Toc1227"/>
      <w:r>
        <w:rPr>
          <w:b/>
          <w:bCs/>
          <w:color w:val="161B22"/>
        </w:rPr>
        <w:t xml:space="preserve">The Clinical Pillar: What It Is and Why It Is Not the Same as Clinical Quality</w:t>
      </w:r>
      <w:bookmarkEnd w:id="1228"/>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9" w:name="_Toc1228"/>
      <w:r>
        <w:rPr>
          <w:b/>
          <w:bCs/>
          <w:color w:val="161B22"/>
        </w:rPr>
        <w:t xml:space="preserve">The Vermont Blueprint for Health — Two Decades of Primary Care Transformation</w:t>
      </w:r>
      <w:bookmarkEnd w:id="1229"/>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0" w:name="_Toc1229"/>
      <w:r>
        <w:rPr>
          <w:b/>
          <w:bCs/>
          <w:color w:val="161B22"/>
        </w:rPr>
        <w:t xml:space="preserve">The Blueprint Architecture</w:t>
      </w:r>
      <w:bookmarkEnd w:id="1230"/>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1" w:name="_Toc1230"/>
      <w:r>
        <w:rPr>
          <w:b/>
          <w:bCs/>
          <w:color w:val="161B22"/>
        </w:rPr>
        <w:t xml:space="preserve">The Evidence: What the Blueprint Has Produced</w:t>
      </w:r>
      <w:bookmarkEnd w:id="1231"/>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Blueprint ROI: medical expenditure reduction per $1M invested $5.8M Lower hospitalization and outpatient facility use (Population Health Management study)</w:t>
            </w:r>
          </w:p>
        </w:tc>
        <w:tc>
          <w:tcPr>
            <w:shd w:val="clear" w:color="auto" w:fill="EDF2F9"/>
            <w:tcW w:w="4536" w:type="dxa"/>
          </w:tcPr>
          <w:p>
            <w:pPr>
              <w:pStyle w:val="Compact"/>
              <w:jc w:val="left"/>
            </w:pPr>
            <w:r>
              <w:rPr>
                <w:b/>
                <w:color w:val="111111"/>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2" w:name="_Toc1231"/>
      <w:r>
        <w:rPr>
          <w:b/>
          <w:bCs/>
          <w:color w:val="161B22"/>
        </w:rPr>
        <w:t xml:space="preserve">The Blueprint and AHEAD: A Critical Transition</w:t>
      </w:r>
      <w:bookmarkEnd w:id="1232"/>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line="240" w:lineRule="auto"/>
        <w:rPr>
          <w:sz w:val="16"/>
        </w:rPr>
      </w:pPr>
    </w:p>
    <w:p>
      <w:pPr>
        <w:pStyle w:val="Heading2"/>
        <w:pBdr>
          <w:top w:val="single" w:sz="6" w:space="10" w:color="C9D2DF"/>
        </w:pBdr>
      </w:pPr>
      <w:r>
        <w:rPr>
          <w:color w:val="161B22"/>
        </w:rPr>
        <w:t xml:space="preserve">8.3  </w:t>
      </w:r>
      <w:bookmarkStart w:id="1233" w:name="_Toc1232"/>
      <w:r>
        <w:rPr>
          <w:b/>
          <w:bCs/>
          <w:color w:val="161B22"/>
        </w:rPr>
        <w:t xml:space="preserve">The Behavioral Health Crisis — Vermont’s Most Urgent Clinical Challenge</w:t>
      </w:r>
      <w:bookmarkEnd w:id="1233"/>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4" w:name="_Toc1233"/>
      <w:r>
        <w:rPr>
          <w:b/>
          <w:bCs/>
          <w:color w:val="161B22"/>
        </w:rPr>
        <w:t xml:space="preserve">The Three-Layer Behavioral Health Architecture Vermont Is Building</w:t>
      </w:r>
      <w:bookmarkEnd w:id="1234"/>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5" w:name="_Toc1234"/>
      <w:r>
        <w:rPr>
          <w:b/>
          <w:bCs/>
          <w:color w:val="161B22"/>
        </w:rPr>
        <w:t xml:space="preserve">The Collaborative Care Model: Clinical Standard of Practice for Primary Care Integration</w:t>
      </w:r>
      <w:bookmarkEnd w:id="1235"/>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autofit"/>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6" w:name="_Toc1235"/>
      <w:r>
        <w:rPr>
          <w:b/>
          <w:bCs/>
          <w:color w:val="161B22"/>
        </w:rPr>
        <w:t xml:space="preserve">The SUD Continuum: Vermont’s Hub and Spoke Model</w:t>
      </w:r>
      <w:bookmarkEnd w:id="1236"/>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7" w:name="_Toc1236"/>
      <w:r>
        <w:rPr>
          <w:b/>
          <w:bCs/>
          <w:color w:val="161B22"/>
        </w:rPr>
        <w:t xml:space="preserve">Primary Care Redesign — Vermont’s Strategy for the Front Door</w:t>
      </w:r>
      <w:bookmarkEnd w:id="1237"/>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8" w:name="_Toc1237"/>
      <w:r>
        <w:rPr>
          <w:b/>
          <w:bCs/>
          <w:color w:val="161B22"/>
        </w:rPr>
        <w:t xml:space="preserve">The Vermont Comprehensive Primary Health Care Initiative</w:t>
      </w:r>
      <w:bookmarkEnd w:id="1238"/>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1710"/>
        <w:gridCol w:w="4260"/>
        <w:gridCol w:w="3105"/>
      </w:tblGrid>
      <w:tr>
        <w:trPr>
          <w:tblHeader w:val="on"/>
          <w:cantSplit/>
        </w:trPr>
        <w:tc>
          <w:tcPr>
            <w:shd w:val="clear" w:color="auto" w:fill="1B3A6B"/>
            <w:tcW w:w="1710" w:type="dxa"/>
          </w:tcPr>
          <w:p>
            <w:pPr>
              <w:pStyle w:val="Compact"/>
              <w:jc w:val="left"/>
            </w:pPr>
            <w:r>
              <w:rPr>
                <w:b/>
                <w:color w:val="FFFFFF"/>
                <w:sz w:val="18"/>
              </w:rPr>
              <w:t xml:space="preserve">Component</w:t>
            </w:r>
          </w:p>
        </w:tc>
        <w:tc>
          <w:tcPr>
            <w:shd w:val="clear" w:color="auto" w:fill="1B3A6B"/>
            <w:tcW w:w="4260" w:type="dxa"/>
          </w:tcPr>
          <w:p>
            <w:pPr>
              <w:pStyle w:val="Compact"/>
              <w:jc w:val="left"/>
            </w:pPr>
            <w:r>
              <w:rPr>
                <w:b/>
                <w:color w:val="FFFFFF"/>
                <w:sz w:val="18"/>
              </w:rPr>
              <w:t xml:space="preserve">What it means in practice</w:t>
            </w:r>
          </w:p>
        </w:tc>
        <w:tc>
          <w:tcPr>
            <w:shd w:val="clear" w:color="auto" w:fill="1B3A6B"/>
            <w:tcW w:w="3105" w:type="dxa"/>
          </w:tcPr>
          <w:p>
            <w:pPr>
              <w:pStyle w:val="Compact"/>
              <w:jc w:val="left"/>
            </w:pPr>
            <w:r>
              <w:rPr>
                <w:b/>
                <w:color w:val="FFFFFF"/>
                <w:sz w:val="18"/>
              </w:rPr>
              <w:t xml:space="preserve">Vermont investment vehicle</w:t>
            </w:r>
          </w:p>
        </w:tc>
      </w:tr>
      <w:tr>
        <w:trPr>
          <w:cantSplit/>
        </w:trPr>
        <w:tc>
          <w:tcPr>
            <w:tcW w:w="1710" w:type="dxa"/>
          </w:tcPr>
          <w:p>
            <w:pPr>
              <w:pStyle w:val="Compact"/>
              <w:jc w:val="left"/>
            </w:pPr>
            <w:r>
              <w:rPr>
                <w:sz w:val="18"/>
              </w:rPr>
              <w:t xml:space="preserve">Team-based care</w:t>
            </w:r>
          </w:p>
        </w:tc>
        <w:tc>
          <w:tcPr>
            <w:tcW w:w="4260"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10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1710" w:type="dxa"/>
          </w:tcPr>
          <w:p>
            <w:pPr>
              <w:pStyle w:val="Compact"/>
              <w:jc w:val="left"/>
            </w:pPr>
            <w:r>
              <w:rPr>
                <w:sz w:val="18"/>
              </w:rPr>
              <w:t xml:space="preserve">Population health management</w:t>
            </w:r>
          </w:p>
        </w:tc>
        <w:tc>
          <w:tcPr>
            <w:tcW w:w="4260"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105" w:type="dxa"/>
          </w:tcPr>
          <w:p>
            <w:pPr>
              <w:pStyle w:val="Compact"/>
              <w:jc w:val="left"/>
            </w:pPr>
            <w:r>
              <w:rPr>
                <w:sz w:val="18"/>
              </w:rPr>
              <w:t xml:space="preserve">Blueprint data infrastructure; VHCURES linkage; GMCB analytics vendor procurement</w:t>
            </w:r>
          </w:p>
        </w:tc>
      </w:tr>
      <w:tr>
        <w:trPr/>
        <w:tc>
          <w:tcPr>
            <w:tcW w:w="1710" w:type="dxa"/>
          </w:tcPr>
          <w:p>
            <w:pPr>
              <w:pStyle w:val="Compact"/>
              <w:jc w:val="left"/>
            </w:pPr>
            <w:r>
              <w:rPr>
                <w:sz w:val="18"/>
              </w:rPr>
              <w:t xml:space="preserve">SDOH screening and navigation</w:t>
            </w:r>
          </w:p>
        </w:tc>
        <w:tc>
          <w:tcPr>
            <w:tcW w:w="4260"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105" w:type="dxa"/>
          </w:tcPr>
          <w:p>
            <w:pPr>
              <w:pStyle w:val="Compact"/>
              <w:jc w:val="left"/>
            </w:pPr>
            <w:r>
              <w:rPr>
                <w:sz w:val="18"/>
              </w:rPr>
              <w:t xml:space="preserve">Blueprint HRSN screening expansion; RHT Program community health worker deployment</w:t>
            </w:r>
          </w:p>
        </w:tc>
      </w:tr>
      <w:tr>
        <w:trPr/>
        <w:tc>
          <w:tcPr>
            <w:tcW w:w="1710" w:type="dxa"/>
          </w:tcPr>
          <w:p>
            <w:pPr>
              <w:pStyle w:val="Compact"/>
              <w:jc w:val="left"/>
            </w:pPr>
            <w:r>
              <w:rPr>
                <w:sz w:val="18"/>
              </w:rPr>
              <w:t xml:space="preserve">Behavioral health integration</w:t>
            </w:r>
          </w:p>
        </w:tc>
        <w:tc>
          <w:tcPr>
            <w:tcW w:w="4260"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105" w:type="dxa"/>
          </w:tcPr>
          <w:p>
            <w:pPr>
              <w:pStyle w:val="Compact"/>
              <w:jc w:val="left"/>
            </w:pPr>
            <w:r>
              <w:rPr>
                <w:sz w:val="18"/>
              </w:rPr>
              <w:t xml:space="preserve">MHI pilot expansion through AHEAD and EAST Fund; CCBHC partnerships with primary care</w:t>
            </w:r>
          </w:p>
        </w:tc>
      </w:tr>
      <w:tr>
        <w:trPr>
          <w:cantSplit/>
        </w:trPr>
        <w:tc>
          <w:tcPr>
            <w:tcW w:w="1710" w:type="dxa"/>
          </w:tcPr>
          <w:p>
            <w:pPr>
              <w:pStyle w:val="Compact"/>
              <w:jc w:val="left"/>
            </w:pPr>
            <w:r>
              <w:rPr>
                <w:sz w:val="18"/>
              </w:rPr>
              <w:t xml:space="preserve">Care coordination for complex patients</w:t>
            </w:r>
          </w:p>
        </w:tc>
        <w:tc>
          <w:tcPr>
            <w:tcW w:w="4260"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10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9" w:name="_Toc1238"/>
      <w:r>
        <w:rPr>
          <w:b/>
          <w:bCs/>
          <w:color w:val="161B22"/>
        </w:rPr>
        <w:t xml:space="preserve">Primary Care’s Role in Reducing Hospital Utilization</w:t>
      </w:r>
      <w:bookmarkEnd w:id="1239"/>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0" w:name="_Toc1239"/>
      <w:r>
        <w:rPr>
          <w:b/>
          <w:bCs/>
          <w:color w:val="161B22"/>
        </w:rPr>
        <w:t xml:space="preserve">Vermont’s Clinical Quality Architecture — Measuring What Matters</w:t>
      </w:r>
      <w:bookmarkEnd w:id="1240"/>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1" w:name="_Toc1240"/>
      <w:r>
        <w:rPr>
          <w:b/>
          <w:bCs/>
          <w:color w:val="161B22"/>
        </w:rPr>
        <w:t xml:space="preserve">The HEDIS Improvement Methodology — Vermont Context</w:t>
      </w:r>
      <w:bookmarkEnd w:id="1241"/>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2" w:name="_Toc1241"/>
      <w:r>
        <w:rPr>
          <w:b/>
          <w:bCs/>
          <w:color w:val="161B22"/>
        </w:rPr>
        <w:t xml:space="preserve">Care for Vermont’s Aging Population — The Clinical Imperative</w:t>
      </w:r>
      <w:bookmarkEnd w:id="1242"/>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3" w:name="_Toc1242"/>
      <w:r>
        <w:rPr>
          <w:b/>
          <w:bCs/>
          <w:color w:val="161B22"/>
        </w:rPr>
        <w:t xml:space="preserve">The PACE Model and Vermont’s Long-Term Care Gap</w:t>
      </w:r>
      <w:bookmarkEnd w:id="1243"/>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4" w:name="_Toc1243"/>
      <w:r>
        <w:rPr>
          <w:b/>
          <w:bCs/>
          <w:color w:val="161B22"/>
        </w:rPr>
        <w:t xml:space="preserve">Dementia Care: The Coming Clinical Challenge</w:t>
      </w:r>
      <w:bookmarkEnd w:id="1244"/>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5" w:name="_Toc1244"/>
      <w:r>
        <w:rPr>
          <w:b/>
          <w:bCs/>
          <w:color w:val="161B22"/>
        </w:rPr>
        <w:t xml:space="preserve">Clinical Pillar Implications for AHS’s Statewide Strategic Plan</w:t>
      </w:r>
      <w:bookmarkEnd w:id="1245"/>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560"/>
        <w:gridCol w:w="3570"/>
        <w:gridCol w:w="1365"/>
        <w:gridCol w:w="2565"/>
      </w:tblGrid>
      <w:tr>
        <w:trPr>
          <w:tblHeader w:val="on"/>
          <w:cantSplit/>
        </w:trPr>
        <w:tc>
          <w:tcPr>
            <w:shd w:val="clear" w:color="auto" w:fill="1B3A6B"/>
            <w:tcW w:w="1560" w:type="dxa"/>
          </w:tcPr>
          <w:p>
            <w:pPr>
              <w:pStyle w:val="Compact"/>
              <w:jc w:val="left"/>
            </w:pPr>
            <w:r>
              <w:rPr>
                <w:b/>
                <w:color w:val="FFFFFF"/>
                <w:sz w:val="18"/>
              </w:rPr>
              <w:t xml:space="preserve">Commitment</w:t>
            </w:r>
          </w:p>
        </w:tc>
        <w:tc>
          <w:tcPr>
            <w:shd w:val="clear" w:color="auto" w:fill="1B3A6B"/>
            <w:tcW w:w="3570" w:type="dxa"/>
          </w:tcPr>
          <w:p>
            <w:pPr>
              <w:pStyle w:val="Compact"/>
              <w:jc w:val="left"/>
            </w:pPr>
            <w:r>
              <w:rPr>
                <w:b/>
                <w:color w:val="FFFFFF"/>
                <w:sz w:val="18"/>
              </w:rPr>
              <w:t xml:space="preserve">What it requires</w:t>
            </w:r>
          </w:p>
        </w:tc>
        <w:tc>
          <w:tcPr>
            <w:shd w:val="clear" w:color="auto" w:fill="1B3A6B"/>
            <w:tcW w:w="1365" w:type="dxa"/>
          </w:tcPr>
          <w:p>
            <w:pPr>
              <w:pStyle w:val="Compact"/>
              <w:jc w:val="left"/>
            </w:pPr>
            <w:r>
              <w:rPr>
                <w:b/>
                <w:color w:val="FFFFFF"/>
                <w:sz w:val="18"/>
              </w:rPr>
              <w:t xml:space="preserve">Timeline</w:t>
            </w:r>
          </w:p>
        </w:tc>
        <w:tc>
          <w:tcPr>
            <w:shd w:val="clear" w:color="auto" w:fill="1B3A6B"/>
            <w:tcW w:w="2565" w:type="dxa"/>
          </w:tcPr>
          <w:p>
            <w:pPr>
              <w:pStyle w:val="Compact"/>
              <w:jc w:val="left"/>
            </w:pPr>
            <w:r>
              <w:rPr>
                <w:b/>
                <w:color w:val="FFFFFF"/>
                <w:sz w:val="18"/>
              </w:rPr>
              <w:t xml:space="preserve">Primary vehicle</w:t>
            </w:r>
          </w:p>
        </w:tc>
      </w:tr>
      <w:tr>
        <w:trPr>
          <w:cantSplit/>
        </w:trPr>
        <w:tc>
          <w:tcPr>
            <w:tcW w:w="1560" w:type="dxa"/>
          </w:tcPr>
          <w:p>
            <w:pPr>
              <w:pStyle w:val="Compact"/>
              <w:jc w:val="left"/>
            </w:pPr>
            <w:r>
              <w:rPr>
                <w:sz w:val="18"/>
              </w:rPr>
              <w:t xml:space="preserve">Universal Blueprint PCMH coverage</w:t>
            </w:r>
          </w:p>
        </w:tc>
        <w:tc>
          <w:tcPr>
            <w:tcW w:w="3570"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Blueprint expansion; AHEAD PC primary care recruitment; RHT workforce investment</w:t>
            </w:r>
          </w:p>
        </w:tc>
      </w:tr>
      <w:tr>
        <w:trPr/>
        <w:tc>
          <w:tcPr>
            <w:tcW w:w="1560" w:type="dxa"/>
          </w:tcPr>
          <w:p>
            <w:pPr>
              <w:pStyle w:val="Compact"/>
              <w:jc w:val="left"/>
            </w:pPr>
            <w:r>
              <w:rPr>
                <w:sz w:val="18"/>
              </w:rPr>
              <w:t xml:space="preserve">Behavioral health integration at every PCMH</w:t>
            </w:r>
          </w:p>
        </w:tc>
        <w:tc>
          <w:tcPr>
            <w:tcW w:w="3570"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MHI permanent funding; CCBHC partnerships; BHCM workforce training through RHT Program</w:t>
            </w:r>
          </w:p>
        </w:tc>
      </w:tr>
      <w:tr>
        <w:trPr/>
        <w:tc>
          <w:tcPr>
            <w:tcW w:w="1560" w:type="dxa"/>
          </w:tcPr>
          <w:p>
            <w:pPr>
              <w:pStyle w:val="Compact"/>
              <w:jc w:val="left"/>
            </w:pPr>
            <w:r>
              <w:rPr>
                <w:sz w:val="18"/>
              </w:rPr>
              <w:t xml:space="preserve">CCBHC network covering all HSAs</w:t>
            </w:r>
          </w:p>
        </w:tc>
        <w:tc>
          <w:tcPr>
            <w:tcW w:w="3570"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365" w:type="dxa"/>
          </w:tcPr>
          <w:p>
            <w:pPr>
              <w:pStyle w:val="Compact"/>
              <w:jc w:val="left"/>
            </w:pPr>
            <w:r>
              <w:rPr>
                <w:sz w:val="18"/>
              </w:rPr>
              <w:t xml:space="preserve">2026 (5 new CCBHCs) through 2028</w:t>
            </w:r>
          </w:p>
        </w:tc>
        <w:tc>
          <w:tcPr>
            <w:tcW w:w="2565" w:type="dxa"/>
          </w:tcPr>
          <w:p>
            <w:pPr>
              <w:pStyle w:val="Compact"/>
              <w:jc w:val="left"/>
            </w:pPr>
            <w:r>
              <w:rPr>
                <w:sz w:val="18"/>
              </w:rPr>
              <w:t xml:space="preserve">CCBHC Demonstration State enhanced Medicaid; RHT Program funding; Act 68 grants</w:t>
            </w:r>
          </w:p>
        </w:tc>
      </w:tr>
      <w:tr>
        <w:trPr/>
        <w:tc>
          <w:tcPr>
            <w:tcW w:w="1560" w:type="dxa"/>
          </w:tcPr>
          <w:p>
            <w:pPr>
              <w:pStyle w:val="Compact"/>
              <w:jc w:val="left"/>
            </w:pPr>
            <w:r>
              <w:rPr>
                <w:sz w:val="18"/>
              </w:rPr>
              <w:t xml:space="preserve">PACE program development</w:t>
            </w:r>
          </w:p>
        </w:tc>
        <w:tc>
          <w:tcPr>
            <w:tcW w:w="3570"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365" w:type="dxa"/>
          </w:tcPr>
          <w:p>
            <w:pPr>
              <w:pStyle w:val="Compact"/>
              <w:jc w:val="left"/>
            </w:pPr>
            <w:r>
              <w:rPr>
                <w:sz w:val="18"/>
              </w:rPr>
              <w:t xml:space="preserve">2026–2028 (feasibility and launch)</w:t>
            </w:r>
          </w:p>
        </w:tc>
        <w:tc>
          <w:tcPr>
            <w:tcW w:w="2565" w:type="dxa"/>
          </w:tcPr>
          <w:p>
            <w:pPr>
              <w:pStyle w:val="Compact"/>
              <w:jc w:val="left"/>
            </w:pPr>
            <w:r>
              <w:rPr>
                <w:sz w:val="18"/>
              </w:rPr>
              <w:t xml:space="preserve">RHT long-term care infrastructure investment; Medicaid PACE program rules</w:t>
            </w:r>
          </w:p>
        </w:tc>
      </w:tr>
      <w:tr>
        <w:trPr>
          <w:cantSplit/>
        </w:trPr>
        <w:tc>
          <w:tcPr>
            <w:tcW w:w="1560" w:type="dxa"/>
          </w:tcPr>
          <w:p>
            <w:pPr>
              <w:pStyle w:val="Compact"/>
              <w:jc w:val="left"/>
            </w:pPr>
            <w:r>
              <w:rPr>
                <w:sz w:val="18"/>
              </w:rPr>
              <w:t xml:space="preserve">Dementia care infrastructure</w:t>
            </w:r>
          </w:p>
        </w:tc>
        <w:tc>
          <w:tcPr>
            <w:tcW w:w="3570"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365" w:type="dxa"/>
          </w:tcPr>
          <w:p>
            <w:pPr>
              <w:pStyle w:val="Compact"/>
              <w:jc w:val="left"/>
            </w:pPr>
            <w:r>
              <w:rPr>
                <w:sz w:val="18"/>
              </w:rPr>
              <w:t xml:space="preserve">2026–2030</w:t>
            </w:r>
          </w:p>
        </w:tc>
        <w:tc>
          <w:tcPr>
            <w:tcW w:w="2565"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keepNext w:val="false"/>
      </w:pPr>
      <w:r>
        <w:rPr>
          <w:color w:val="161B22"/>
        </w:rPr>
        <w:t xml:space="preserve">8.8  </w:t>
      </w:r>
      <w:bookmarkStart w:id="1246" w:name="_Toc1245"/>
      <w:r>
        <w:rPr>
          <w:b/>
          <w:bCs/>
          <w:color w:val="161B22"/>
        </w:rPr>
        <w:t xml:space="preserve">Work This Chapter on the Platform</w:t>
      </w:r>
      <w:bookmarkEnd w:id="1246"/>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Stratify a clinical panel by risk tier and match staffing intensity</w:t>
            </w:r>
          </w:p>
        </w:tc>
        <w:tc>
          <w:tcPr>
            <w:tcW w:w="2736"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3" w:type="dxa"/>
          </w:tcPr>
          <w:p>
            <w:pPr>
              <w:pStyle w:val="Compact"/>
              <w:jc w:val="left"/>
            </w:pPr>
            <w:r>
              <w:rPr>
                <w:sz w:val="18"/>
              </w:rPr>
              <w:t xml:space="preserve">How panel design changes when staffing follows risk rather than volume.</w:t>
            </w:r>
          </w:p>
        </w:tc>
      </w:tr>
      <w:tr>
        <w:trPr/>
        <w:tc>
          <w:tcPr>
            <w:tcW w:w="3312" w:type="dxa"/>
          </w:tcPr>
          <w:p>
            <w:pPr>
              <w:pStyle w:val="Compact"/>
              <w:jc w:val="left"/>
            </w:pPr>
            <w:r>
              <w:rPr>
                <w:sz w:val="18"/>
              </w:rPr>
              <w:t xml:space="preserve">Model HEDIS measure performance against NCQA benchmarks</w:t>
            </w:r>
          </w:p>
        </w:tc>
        <w:tc>
          <w:tcPr>
            <w:tcW w:w="2736"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3" w:type="dxa"/>
          </w:tcPr>
          <w:p>
            <w:pPr>
              <w:pStyle w:val="Compact"/>
              <w:jc w:val="left"/>
            </w:pPr>
            <w:r>
              <w:rPr>
                <w:sz w:val="18"/>
              </w:rPr>
              <w:t xml:space="preserve">Which measures move population outcomes vs. which only move scores.</w:t>
            </w:r>
          </w:p>
        </w:tc>
      </w:tr>
      <w:tr>
        <w:trPr>
          <w:cantSplit/>
        </w:trPr>
        <w:tc>
          <w:tcPr>
            <w:tcW w:w="3312" w:type="dxa"/>
          </w:tcPr>
          <w:p>
            <w:pPr>
              <w:pStyle w:val="Compact"/>
              <w:jc w:val="left"/>
            </w:pPr>
            <w:r>
              <w:rPr>
                <w:sz w:val="18"/>
              </w:rPr>
              <w:t xml:space="preserve">Run risk stratification on a live panel rather than reading the methodology</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8.7 — Hands-on platform tools for the Clinical Pillar.</w:t>
      </w:r>
    </w:p>
    <w:p>
      <w:pPr>
        <w:pStyle w:val="Heading2"/>
        <w:pBdr>
          <w:top w:val="single" w:sz="6" w:space="10" w:color="C9D2DF"/>
        </w:pBdr>
      </w:pPr>
      <w:r>
        <w:rPr>
          <w:color w:val="161B22"/>
        </w:rPr>
        <w:t xml:space="preserve">8.9  </w:t>
      </w:r>
      <w:bookmarkStart w:id="1247" w:name="_Toc1246"/>
      <w:r>
        <w:rPr>
          <w:b/>
          <w:bCs/>
          <w:color w:val="161B22"/>
        </w:rPr>
        <w:t xml:space="preserve">Implications for You</w:t>
      </w:r>
      <w:bookmarkEnd w:id="1247"/>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Heading2"/>
        <w:pBdr>
          <w:top w:val="single" w:sz="6" w:space="10" w:color="C9D2DF"/>
        </w:pBdr>
      </w:pPr>
      <w:r>
        <w:rPr>
          <w:color w:val="161B22"/>
        </w:rPr>
        <w:t xml:space="preserve">8.10  </w:t>
      </w:r>
      <w:bookmarkStart w:id="1248" w:name="_Toc1247"/>
      <w:r>
        <w:rPr>
          <w:b/>
          <w:bCs/>
          <w:color w:val="161B22"/>
        </w:rPr>
        <w:t xml:space="preserve">Key Concepts in This Chapter</w:t>
      </w:r>
      <w:bookmarkEnd w:id="1248"/>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t xml:space="preserve"> </w:t>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t xml:space="preserve"> </w:t>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t xml:space="preserve"> </w:t>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t xml:space="preserve"> </w:t>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t xml:space="preserve"> </w:t>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t xml:space="preserve"> </w:t>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t xml:space="preserve"> </w:t>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t xml:space="preserve"> </w:t>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t xml:space="preserve"> </w:t>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9" w:name="_Toc1248"/>
      <w:r>
        <w:rPr>
          <w:b/>
          <w:bCs/>
          <w:color w:val="161B22"/>
        </w:rPr>
        <w:t xml:space="preserve">Chapter 9: The Clinical Pillar in Practice — Care Model Implementation, Quality Mechanics, and the Vermont Clinical Transformation Toolkit</w:t>
      </w:r>
      <w:bookmarkEnd w:id="1249"/>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FirstParagraph"/>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0" w:name="_Toc1249"/>
      <w:r>
        <w:rPr>
          <w:b/>
          <w:bCs/>
          <w:color w:val="161B22"/>
        </w:rPr>
        <w:t xml:space="preserve">From Clinical Architecture to Clinical Practice</w:t>
      </w:r>
      <w:bookmarkEnd w:id="1250"/>
    </w:p>
    <w:p>
      <w:pPr>
        <w:pStyle w:val="FirstParagraph"/>
      </w:pPr>
      <w: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1" w:name="_Toc1250"/>
      <w:r>
        <w:rPr>
          <w:b/>
          <w:bCs/>
          <w:color w:val="161B22"/>
        </w:rPr>
        <w:t xml:space="preserve">PCMH Transformation — The Blueprint Practice Implementation Playbook</w:t>
      </w:r>
      <w:bookmarkEnd w:id="1251"/>
    </w:p>
    <w:p>
      <w:pPr>
        <w:pStyle w:val="Heading3"/>
      </w:pPr>
      <w:r>
        <w:rPr>
          <w:color w:val="161B22"/>
        </w:rPr>
        <w:t xml:space="preserve">9.2.1  </w:t>
      </w:r>
      <w:bookmarkStart w:id="1252" w:name="_Toc1251"/>
      <w:r>
        <w:rPr>
          <w:b/>
          <w:bCs/>
          <w:color w:val="161B22"/>
        </w:rPr>
        <w:t xml:space="preserve">The Blueprint PCMH Recognition Process — What It Actually Requires</w:t>
      </w:r>
      <w:bookmarkEnd w:id="1252"/>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1905"/>
        <w:gridCol w:w="3465"/>
        <w:gridCol w:w="3690"/>
      </w:tblGrid>
      <w:tr>
        <w:trPr>
          <w:tblHeader w:val="on"/>
          <w:cantSplit/>
        </w:trPr>
        <w:tc>
          <w:tcPr>
            <w:shd w:val="clear" w:color="auto" w:fill="1B3A6B"/>
            <w:tcW w:w="1905" w:type="dxa"/>
          </w:tcPr>
          <w:p>
            <w:pPr>
              <w:pStyle w:val="Compact"/>
              <w:jc w:val="left"/>
            </w:pPr>
            <w:r>
              <w:rPr>
                <w:b/>
                <w:color w:val="FFFFFF"/>
                <w:sz w:val="18"/>
              </w:rPr>
              <w:t xml:space="preserve">Concept Area</w:t>
            </w:r>
          </w:p>
        </w:tc>
        <w:tc>
          <w:tcPr>
            <w:shd w:val="clear" w:color="auto" w:fill="1B3A6B"/>
            <w:tcW w:w="3465" w:type="dxa"/>
          </w:tcPr>
          <w:p>
            <w:pPr>
              <w:pStyle w:val="Compact"/>
              <w:jc w:val="left"/>
            </w:pPr>
            <w:r>
              <w:rPr>
                <w:b/>
                <w:color w:val="FFFFFF"/>
                <w:sz w:val="18"/>
              </w:rPr>
              <w:t xml:space="preserve">What it requires operationally</w:t>
            </w:r>
          </w:p>
        </w:tc>
        <w:tc>
          <w:tcPr>
            <w:shd w:val="clear" w:color="auto" w:fill="1B3A6B"/>
            <w:tcW w:w="3690" w:type="dxa"/>
          </w:tcPr>
          <w:p>
            <w:pPr>
              <w:pStyle w:val="Compact"/>
              <w:jc w:val="left"/>
            </w:pPr>
            <w:r>
              <w:rPr>
                <w:b/>
                <w:color w:val="FFFFFF"/>
                <w:sz w:val="18"/>
              </w:rPr>
              <w:t xml:space="preserve">Vermont implementation challenge</w:t>
            </w:r>
          </w:p>
        </w:tc>
      </w:tr>
      <w:tr>
        <w:trPr>
          <w:cantSplit/>
        </w:trPr>
        <w:tc>
          <w:tcPr>
            <w:tcW w:w="1905" w:type="dxa"/>
          </w:tcPr>
          <w:p>
            <w:pPr>
              <w:pStyle w:val="Compact"/>
              <w:jc w:val="left"/>
            </w:pPr>
            <w:r>
              <w:rPr>
                <w:sz w:val="18"/>
              </w:rPr>
              <w:t xml:space="preserve">Team-Based Care and Practice Organization</w:t>
            </w:r>
          </w:p>
        </w:tc>
        <w:tc>
          <w:tcPr>
            <w:tcW w:w="3465"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690"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1905" w:type="dxa"/>
          </w:tcPr>
          <w:p>
            <w:pPr>
              <w:pStyle w:val="Compact"/>
              <w:jc w:val="left"/>
            </w:pPr>
            <w:r>
              <w:rPr>
                <w:sz w:val="18"/>
              </w:rPr>
              <w:t xml:space="preserve">Knowing and Managing Your Patients</w:t>
            </w:r>
          </w:p>
        </w:tc>
        <w:tc>
          <w:tcPr>
            <w:tcW w:w="3465"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690"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1905" w:type="dxa"/>
          </w:tcPr>
          <w:p>
            <w:pPr>
              <w:pStyle w:val="Compact"/>
              <w:jc w:val="left"/>
            </w:pPr>
            <w:r>
              <w:rPr>
                <w:sz w:val="18"/>
              </w:rPr>
              <w:t xml:space="preserve">Patient-Centered Access and Continuity</w:t>
            </w:r>
          </w:p>
        </w:tc>
        <w:tc>
          <w:tcPr>
            <w:tcW w:w="3465" w:type="dxa"/>
          </w:tcPr>
          <w:p>
            <w:pPr>
              <w:pStyle w:val="Compact"/>
              <w:jc w:val="left"/>
            </w:pPr>
            <w:r>
              <w:rPr>
                <w:sz w:val="18"/>
              </w:rPr>
              <w:t xml:space="preserve">Same-day appointments for urgent needs; 24/7 access for patient advice; continuity with personal physician; timely communication response</w:t>
            </w:r>
          </w:p>
        </w:tc>
        <w:tc>
          <w:tcPr>
            <w:tcW w:w="3690"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1905" w:type="dxa"/>
          </w:tcPr>
          <w:p>
            <w:pPr>
              <w:pStyle w:val="Compact"/>
              <w:jc w:val="left"/>
            </w:pPr>
            <w:r>
              <w:rPr>
                <w:sz w:val="18"/>
              </w:rPr>
              <w:t xml:space="preserve">Care Management and Support</w:t>
            </w:r>
          </w:p>
        </w:tc>
        <w:tc>
          <w:tcPr>
            <w:tcW w:w="3465"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690"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1905" w:type="dxa"/>
          </w:tcPr>
          <w:p>
            <w:pPr>
              <w:pStyle w:val="Compact"/>
              <w:jc w:val="left"/>
            </w:pPr>
            <w:r>
              <w:rPr>
                <w:sz w:val="18"/>
              </w:rPr>
              <w:t xml:space="preserve">Care Coordination and Care Transitions</w:t>
            </w:r>
          </w:p>
        </w:tc>
        <w:tc>
          <w:tcPr>
            <w:tcW w:w="3465"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690"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1905" w:type="dxa"/>
          </w:tcPr>
          <w:p>
            <w:pPr>
              <w:pStyle w:val="Compact"/>
              <w:jc w:val="left"/>
            </w:pPr>
            <w:r>
              <w:rPr>
                <w:sz w:val="18"/>
              </w:rPr>
              <w:t xml:space="preserve">Performance Measurement and Quality Improvement</w:t>
            </w:r>
          </w:p>
        </w:tc>
        <w:tc>
          <w:tcPr>
            <w:tcW w:w="3465"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690"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3" w:name="_Toc1252"/>
      <w:r>
        <w:rPr>
          <w:b/>
          <w:bCs/>
          <w:color w:val="161B22"/>
        </w:rPr>
        <w:t xml:space="preserve">The Blueprint Field Staff Model — Vermont’s Practice Transformation Infrastructure</w:t>
      </w:r>
      <w:bookmarkEnd w:id="1253"/>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4" w:name="_Toc1253"/>
      <w:r>
        <w:rPr>
          <w:b/>
          <w:bCs/>
          <w:color w:val="161B22"/>
        </w:rPr>
        <w:t xml:space="preserve">The Practice Panel: Right-Sizing and Risk Stratification</w:t>
      </w:r>
      <w:bookmarkEnd w:id="1254"/>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990"/>
        <w:gridCol w:w="750"/>
        <w:gridCol w:w="3435"/>
        <w:gridCol w:w="3915"/>
      </w:tblGrid>
      <w:tr>
        <w:trPr>
          <w:tblHeader w:val="on"/>
          <w:cantSplit/>
        </w:trPr>
        <w:tc>
          <w:tcPr>
            <w:shd w:val="clear" w:color="auto" w:fill="1B3A6B"/>
            <w:tcW w:w="990" w:type="dxa"/>
          </w:tcPr>
          <w:p>
            <w:pPr>
              <w:pStyle w:val="Compact"/>
              <w:jc w:val="left"/>
            </w:pPr>
            <w:r>
              <w:rPr>
                <w:b/>
                <w:color w:val="FFFFFF"/>
                <w:sz w:val="18"/>
              </w:rPr>
              <w:t xml:space="preserve">Tier</w:t>
            </w:r>
          </w:p>
        </w:tc>
        <w:tc>
          <w:tcPr>
            <w:shd w:val="clear" w:color="auto" w:fill="1B3A6B"/>
            <w:tcW w:w="750" w:type="dxa"/>
          </w:tcPr>
          <w:p>
            <w:pPr>
              <w:pStyle w:val="Compact"/>
              <w:jc w:val="left"/>
            </w:pPr>
            <w:r>
              <w:rPr>
                <w:b/>
                <w:color w:val="FFFFFF"/>
                <w:sz w:val="18"/>
              </w:rPr>
              <w:t xml:space="preserve">% of Panel</w:t>
            </w:r>
          </w:p>
        </w:tc>
        <w:tc>
          <w:tcPr>
            <w:shd w:val="clear" w:color="auto" w:fill="1B3A6B"/>
            <w:tcW w:w="3435" w:type="dxa"/>
          </w:tcPr>
          <w:p>
            <w:pPr>
              <w:pStyle w:val="Compact"/>
              <w:jc w:val="left"/>
            </w:pPr>
            <w:r>
              <w:rPr>
                <w:b/>
                <w:color w:val="FFFFFF"/>
                <w:sz w:val="18"/>
              </w:rPr>
              <w:t xml:space="preserve">Characteristics</w:t>
            </w:r>
          </w:p>
        </w:tc>
        <w:tc>
          <w:tcPr>
            <w:shd w:val="clear" w:color="auto" w:fill="1B3A6B"/>
            <w:tcW w:w="3915" w:type="dxa"/>
          </w:tcPr>
          <w:p>
            <w:pPr>
              <w:pStyle w:val="Compact"/>
              <w:jc w:val="left"/>
            </w:pPr>
            <w:r>
              <w:rPr>
                <w:b/>
                <w:color w:val="FFFFFF"/>
                <w:sz w:val="18"/>
              </w:rPr>
              <w:t xml:space="preserve">Care Model</w:t>
            </w:r>
          </w:p>
        </w:tc>
      </w:tr>
      <w:tr>
        <w:trPr>
          <w:cantSplit/>
        </w:trPr>
        <w:tc>
          <w:tcPr>
            <w:tcW w:w="990" w:type="dxa"/>
          </w:tcPr>
          <w:p>
            <w:pPr>
              <w:pStyle w:val="Compact"/>
              <w:jc w:val="left"/>
            </w:pPr>
            <w:r>
              <w:rPr>
                <w:sz w:val="18"/>
              </w:rPr>
              <w:t xml:space="preserve">Tier 1 — Complex</w:t>
            </w:r>
          </w:p>
        </w:tc>
        <w:tc>
          <w:tcPr>
            <w:tcW w:w="750" w:type="dxa"/>
          </w:tcPr>
          <w:p>
            <w:pPr>
              <w:pStyle w:val="Compact"/>
              <w:jc w:val="left"/>
            </w:pPr>
            <w:r>
              <w:rPr>
                <w:sz w:val="18"/>
              </w:rPr>
              <w:t xml:space="preserve">3-5%</w:t>
            </w:r>
          </w:p>
        </w:tc>
        <w:tc>
          <w:tcPr>
            <w:tcW w:w="3435" w:type="dxa"/>
          </w:tcPr>
          <w:p>
            <w:pPr>
              <w:pStyle w:val="Compact"/>
              <w:jc w:val="left"/>
            </w:pPr>
            <w:r>
              <w:rPr>
                <w:sz w:val="18"/>
              </w:rPr>
              <w:t xml:space="preserve">Multiple chronic conditions, high prior utilization, behavioral health and SDOH needs, frailty</w:t>
            </w:r>
          </w:p>
        </w:tc>
        <w:tc>
          <w:tcPr>
            <w:tcW w:w="3915" w:type="dxa"/>
          </w:tcPr>
          <w:p>
            <w:pPr>
              <w:pStyle w:val="Compact"/>
              <w:jc w:val="left"/>
            </w:pPr>
            <w:r>
              <w:rPr>
                <w:sz w:val="18"/>
              </w:rPr>
              <w:t xml:space="preserve">Intensive care management: CHT assignment, care plan, regular outreach, direct care manager relationship</w:t>
            </w:r>
          </w:p>
        </w:tc>
      </w:tr>
      <w:tr>
        <w:trPr/>
        <w:tc>
          <w:tcPr>
            <w:tcW w:w="990" w:type="dxa"/>
          </w:tcPr>
          <w:p>
            <w:pPr>
              <w:pStyle w:val="Compact"/>
              <w:jc w:val="left"/>
            </w:pPr>
            <w:r>
              <w:rPr>
                <w:sz w:val="18"/>
              </w:rPr>
              <w:t xml:space="preserve">Tier 2 — Moderate Risk</w:t>
            </w:r>
          </w:p>
        </w:tc>
        <w:tc>
          <w:tcPr>
            <w:tcW w:w="750" w:type="dxa"/>
          </w:tcPr>
          <w:p>
            <w:pPr>
              <w:pStyle w:val="Compact"/>
              <w:jc w:val="left"/>
            </w:pPr>
            <w:r>
              <w:rPr>
                <w:sz w:val="18"/>
              </w:rPr>
              <w:t xml:space="preserve">15-20%</w:t>
            </w:r>
          </w:p>
        </w:tc>
        <w:tc>
          <w:tcPr>
            <w:tcW w:w="3435" w:type="dxa"/>
          </w:tcPr>
          <w:p>
            <w:pPr>
              <w:pStyle w:val="Compact"/>
              <w:jc w:val="left"/>
            </w:pPr>
            <w:r>
              <w:rPr>
                <w:sz w:val="18"/>
              </w:rPr>
              <w:t xml:space="preserve">One or two chronic conditions with management challenges, behavioral health needs, recent hospitalization or ED visit</w:t>
            </w:r>
          </w:p>
        </w:tc>
        <w:tc>
          <w:tcPr>
            <w:tcW w:w="3915" w:type="dxa"/>
          </w:tcPr>
          <w:p>
            <w:pPr>
              <w:pStyle w:val="Compact"/>
              <w:jc w:val="left"/>
            </w:pPr>
            <w:r>
              <w:rPr>
                <w:sz w:val="18"/>
              </w:rPr>
              <w:t xml:space="preserve">Proactive chronic disease management: care gap outreach, behavioral health integration, medication management</w:t>
            </w:r>
          </w:p>
        </w:tc>
      </w:tr>
      <w:tr>
        <w:trPr/>
        <w:tc>
          <w:tcPr>
            <w:tcW w:w="990" w:type="dxa"/>
          </w:tcPr>
          <w:p>
            <w:pPr>
              <w:pStyle w:val="Compact"/>
              <w:jc w:val="left"/>
            </w:pPr>
            <w:r>
              <w:rPr>
                <w:sz w:val="18"/>
              </w:rPr>
              <w:t xml:space="preserve">Tier 3 — Standard</w:t>
            </w:r>
          </w:p>
        </w:tc>
        <w:tc>
          <w:tcPr>
            <w:tcW w:w="750" w:type="dxa"/>
          </w:tcPr>
          <w:p>
            <w:pPr>
              <w:pStyle w:val="Compact"/>
              <w:jc w:val="left"/>
            </w:pPr>
            <w:r>
              <w:rPr>
                <w:sz w:val="18"/>
              </w:rPr>
              <w:t xml:space="preserve">50-60%</w:t>
            </w:r>
          </w:p>
        </w:tc>
        <w:tc>
          <w:tcPr>
            <w:tcW w:w="3435" w:type="dxa"/>
          </w:tcPr>
          <w:p>
            <w:pPr>
              <w:pStyle w:val="Compact"/>
              <w:jc w:val="left"/>
            </w:pPr>
            <w:r>
              <w:rPr>
                <w:sz w:val="18"/>
              </w:rPr>
              <w:t xml:space="preserve">Healthy or stable chronic conditions, routine preventive needs</w:t>
            </w:r>
          </w:p>
        </w:tc>
        <w:tc>
          <w:tcPr>
            <w:tcW w:w="3915" w:type="dxa"/>
          </w:tcPr>
          <w:p>
            <w:pPr>
              <w:pStyle w:val="Compact"/>
              <w:jc w:val="left"/>
            </w:pPr>
            <w:r>
              <w:rPr>
                <w:sz w:val="18"/>
              </w:rPr>
              <w:t xml:space="preserve">Preventive care: annual wellness visit, immunizations, screening, health coaching</w:t>
            </w:r>
          </w:p>
        </w:tc>
      </w:tr>
      <w:tr>
        <w:trPr>
          <w:cantSplit/>
        </w:trPr>
        <w:tc>
          <w:tcPr>
            <w:tcW w:w="990" w:type="dxa"/>
          </w:tcPr>
          <w:p>
            <w:pPr>
              <w:pStyle w:val="Compact"/>
              <w:jc w:val="left"/>
            </w:pPr>
            <w:r>
              <w:rPr>
                <w:sz w:val="18"/>
              </w:rPr>
              <w:t xml:space="preserve">Tier 4 — Inactive</w:t>
            </w:r>
          </w:p>
        </w:tc>
        <w:tc>
          <w:tcPr>
            <w:tcW w:w="750" w:type="dxa"/>
          </w:tcPr>
          <w:p>
            <w:pPr>
              <w:pStyle w:val="Compact"/>
              <w:jc w:val="left"/>
            </w:pPr>
            <w:r>
              <w:rPr>
                <w:sz w:val="18"/>
              </w:rPr>
              <w:t xml:space="preserve">20-30%</w:t>
            </w:r>
          </w:p>
        </w:tc>
        <w:tc>
          <w:tcPr>
            <w:tcW w:w="3435" w:type="dxa"/>
          </w:tcPr>
          <w:p>
            <w:pPr>
              <w:pStyle w:val="Compact"/>
              <w:jc w:val="left"/>
            </w:pPr>
            <w:r>
              <w:rPr>
                <w:sz w:val="18"/>
              </w:rPr>
              <w:t xml:space="preserve">Attributed but not engaged with practice; may be accessing care elsewhere or not at all</w:t>
            </w:r>
          </w:p>
        </w:tc>
        <w:tc>
          <w:tcPr>
            <w:tcW w:w="3915"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line="240" w:lineRule="auto"/>
        <w:rPr>
          <w:sz w:val="16"/>
        </w:rPr>
      </w:pPr>
    </w:p>
    <w:p>
      <w:pPr>
        <w:pStyle w:val="Heading2"/>
        <w:pBdr>
          <w:top w:val="single" w:sz="6" w:space="10" w:color="C9D2DF"/>
        </w:pBdr>
      </w:pPr>
      <w:r>
        <w:rPr>
          <w:color w:val="161B22"/>
        </w:rPr>
        <w:t xml:space="preserve">9.3  </w:t>
      </w:r>
      <w:bookmarkStart w:id="1255" w:name="_Toc1254"/>
      <w:r>
        <w:rPr>
          <w:b/>
          <w:bCs/>
          <w:color w:val="161B22"/>
        </w:rPr>
        <w:t xml:space="preserve">Deploying the Collaborative Care Model — Operational Requirements</w:t>
      </w:r>
      <w:bookmarkEnd w:id="1255"/>
    </w:p>
    <w:p>
      <w:pPr>
        <w:pStyle w:val="Heading3"/>
      </w:pPr>
      <w:r>
        <w:rPr>
          <w:color w:val="161B22"/>
        </w:rPr>
        <w:t xml:space="preserve">9.3.1  </w:t>
      </w:r>
      <w:bookmarkStart w:id="1256" w:name="_Toc1255"/>
      <w:r>
        <w:rPr>
          <w:b/>
          <w:bCs/>
          <w:color w:val="161B22"/>
        </w:rPr>
        <w:t xml:space="preserve">Site Readiness Assessment</w:t>
      </w:r>
      <w:bookmarkEnd w:id="1256"/>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7" w:name="_Toc1256"/>
      <w:r>
        <w:rPr>
          <w:b/>
          <w:bCs/>
          <w:color w:val="161B22"/>
        </w:rPr>
        <w:t xml:space="preserve">The Psychiatric Consultation Model — Vermont’s Workforce Solution</w:t>
      </w:r>
      <w:bookmarkEnd w:id="1257"/>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8" w:name="_Toc1257"/>
      <w:r>
        <w:rPr>
          <w:b/>
          <w:bCs/>
          <w:color w:val="161B22"/>
        </w:rPr>
        <w:t xml:space="preserve">The BHCM Workforce Pipeline</w:t>
      </w:r>
      <w:bookmarkEnd w:id="1258"/>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autofit"/>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59" w:name="_Toc1258"/>
      <w:r>
        <w:rPr>
          <w:b/>
          <w:bCs/>
          <w:color w:val="161B22"/>
        </w:rPr>
        <w:t xml:space="preserve">HEDIS Improvement Methodology — Vermont Context</w:t>
      </w:r>
      <w:bookmarkEnd w:id="1259"/>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0" w:name="_Toc1259"/>
      <w:r>
        <w:rPr>
          <w:b/>
          <w:bCs/>
          <w:color w:val="161B22"/>
        </w:rPr>
        <w:t xml:space="preserve">The Five-Step HEDIS Improvement Framework</w:t>
      </w:r>
      <w:bookmarkEnd w:id="1260"/>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1" w:name="_Toc1260"/>
      <w:r>
        <w:rPr>
          <w:b/>
          <w:bCs/>
          <w:color w:val="161B22"/>
        </w:rPr>
        <w:t xml:space="preserve">Vermont-Specific HEDIS Opportunity Areas</w:t>
      </w:r>
      <w:bookmarkEnd w:id="1261"/>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2" w:name="_Toc1261"/>
      <w:r>
        <w:rPr>
          <w:b/>
          <w:bCs/>
          <w:color w:val="161B22"/>
        </w:rPr>
        <w:t xml:space="preserve">The Clinical Data Infrastructure — Connecting Care to Population Health Management</w:t>
      </w:r>
      <w:bookmarkEnd w:id="1262"/>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3" w:name="_Toc1262"/>
      <w:r>
        <w:rPr>
          <w:b/>
          <w:bCs/>
          <w:color w:val="161B22"/>
        </w:rPr>
        <w:t xml:space="preserve">Vermont’s Three-Step Clinical Data Model</w:t>
      </w:r>
      <w:bookmarkEnd w:id="1263"/>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4" w:name="_Toc1263"/>
      <w:r>
        <w:rPr>
          <w:b/>
          <w:bCs/>
          <w:color w:val="161B22"/>
        </w:rPr>
        <w:t xml:space="preserve">HCC Coding Excellence — The Clinical Pillar’s Financial Foundation</w:t>
      </w:r>
      <w:bookmarkEnd w:id="1264"/>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5" w:name="_Toc1264"/>
      <w:r>
        <w:rPr>
          <w:b/>
          <w:bCs/>
          <w:color w:val="161B22"/>
        </w:rPr>
        <w:t xml:space="preserve">The Care Transition Protocol — Closing the Loop Between Hospital and Community</w:t>
      </w:r>
      <w:bookmarkEnd w:id="1265"/>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line="240" w:lineRule="auto"/>
        <w:rPr>
          <w:sz w:val="16"/>
        </w:rPr>
      </w:pPr>
    </w:p>
    <w:p>
      <w:pPr>
        <w:pStyle w:val="Heading2"/>
        <w:pBdr>
          <w:top w:val="single" w:sz="6" w:space="10" w:color="C9D2DF"/>
        </w:pBdr>
      </w:pPr>
      <w:r>
        <w:rPr>
          <w:color w:val="161B22"/>
        </w:rPr>
        <w:t xml:space="preserve">9.7  </w:t>
      </w:r>
      <w:bookmarkStart w:id="1266" w:name="_Toc1265"/>
      <w:r>
        <w:rPr>
          <w:b/>
          <w:bCs/>
          <w:color w:val="161B22"/>
        </w:rPr>
        <w:t xml:space="preserve">Clinical Leadership in Transformation — The Under-Resourced Pillar</w:t>
      </w:r>
      <w:bookmarkEnd w:id="1266"/>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7" w:name="_Toc1266"/>
      <w:r>
        <w:rPr>
          <w:b/>
          <w:bCs/>
          <w:color w:val="161B22"/>
        </w:rPr>
        <w:t xml:space="preserve">Clinical Pillar Implementation Commitments for AHS’s Statewide Strategic Plan</w:t>
      </w:r>
      <w:bookmarkEnd w:id="1267"/>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025"/>
        <w:gridCol w:w="3840"/>
        <w:gridCol w:w="1245"/>
        <w:gridCol w:w="1965"/>
      </w:tblGrid>
      <w:tr>
        <w:trPr>
          <w:tblHeader w:val="on"/>
          <w:cantSplit/>
        </w:trPr>
        <w:tc>
          <w:tcPr>
            <w:shd w:val="clear" w:color="auto" w:fill="1B3A6B"/>
            <w:tcW w:w="2025" w:type="dxa"/>
          </w:tcPr>
          <w:p>
            <w:pPr>
              <w:pStyle w:val="Compact"/>
              <w:jc w:val="left"/>
            </w:pPr>
            <w:r>
              <w:rPr>
                <w:b/>
                <w:color w:val="FFFFFF"/>
                <w:sz w:val="18"/>
              </w:rPr>
              <w:t xml:space="preserve">Commitment</w:t>
            </w:r>
          </w:p>
        </w:tc>
        <w:tc>
          <w:tcPr>
            <w:shd w:val="clear" w:color="auto" w:fill="1B3A6B"/>
            <w:tcW w:w="3840" w:type="dxa"/>
          </w:tcPr>
          <w:p>
            <w:pPr>
              <w:pStyle w:val="Compact"/>
              <w:jc w:val="left"/>
            </w:pPr>
            <w:r>
              <w:rPr>
                <w:b/>
                <w:color w:val="FFFFFF"/>
                <w:sz w:val="18"/>
              </w:rPr>
              <w:t xml:space="preserve">Operational Requirement</w:t>
            </w:r>
          </w:p>
        </w:tc>
        <w:tc>
          <w:tcPr>
            <w:shd w:val="clear" w:color="auto" w:fill="1B3A6B"/>
            <w:tcW w:w="1245" w:type="dxa"/>
          </w:tcPr>
          <w:p>
            <w:pPr>
              <w:pStyle w:val="Compact"/>
              <w:jc w:val="left"/>
            </w:pPr>
            <w:r>
              <w:rPr>
                <w:b/>
                <w:color w:val="FFFFFF"/>
                <w:sz w:val="18"/>
              </w:rPr>
              <w:t xml:space="preserve">Timeline</w:t>
            </w:r>
          </w:p>
        </w:tc>
        <w:tc>
          <w:tcPr>
            <w:shd w:val="clear" w:color="auto" w:fill="1B3A6B"/>
            <w:tcW w:w="1965" w:type="dxa"/>
          </w:tcPr>
          <w:p>
            <w:pPr>
              <w:pStyle w:val="Compact"/>
              <w:jc w:val="left"/>
            </w:pPr>
            <w:r>
              <w:rPr>
                <w:b/>
                <w:color w:val="FFFFFF"/>
                <w:sz w:val="18"/>
              </w:rPr>
              <w:t xml:space="preserve">Primary Vehicle</w:t>
            </w:r>
          </w:p>
        </w:tc>
      </w:tr>
      <w:tr>
        <w:trPr>
          <w:cantSplit/>
        </w:trPr>
        <w:tc>
          <w:tcPr>
            <w:tcW w:w="2025" w:type="dxa"/>
          </w:tcPr>
          <w:p>
            <w:pPr>
              <w:pStyle w:val="Compact"/>
              <w:jc w:val="left"/>
            </w:pPr>
            <w:r>
              <w:rPr>
                <w:sz w:val="18"/>
              </w:rPr>
              <w:t xml:space="preserve">PCMH transformation support for all Vermont primary care practices</w:t>
            </w:r>
          </w:p>
        </w:tc>
        <w:tc>
          <w:tcPr>
            <w:tcW w:w="3840" w:type="dxa"/>
          </w:tcPr>
          <w:p>
            <w:pPr>
              <w:pStyle w:val="Compact"/>
              <w:jc w:val="left"/>
            </w:pPr>
            <w:r>
              <w:rPr>
                <w:sz w:val="18"/>
              </w:rPr>
              <w:t xml:space="preserve">Blueprint field staff capacity maintained and expanded</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Blueprint program; DVHA; AHEAD implementation team</w:t>
            </w:r>
          </w:p>
        </w:tc>
      </w:tr>
      <w:tr>
        <w:trPr/>
        <w:tc>
          <w:tcPr>
            <w:tcW w:w="2025" w:type="dxa"/>
          </w:tcPr>
          <w:p>
            <w:pPr>
              <w:pStyle w:val="Compact"/>
              <w:jc w:val="left"/>
            </w:pPr>
            <w:r>
              <w:rPr>
                <w:sz w:val="18"/>
              </w:rPr>
              <w:t xml:space="preserve">CoCM deployment at every PCMH practice</w:t>
            </w:r>
          </w:p>
        </w:tc>
        <w:tc>
          <w:tcPr>
            <w:tcW w:w="3840" w:type="dxa"/>
          </w:tcPr>
          <w:p>
            <w:pPr>
              <w:pStyle w:val="Compact"/>
              <w:jc w:val="left"/>
            </w:pPr>
            <w:r>
              <w:rPr>
                <w:sz w:val="18"/>
              </w:rPr>
              <w:t xml:space="preserve">BHCM workforce training funded; telepsychiatry consultation network established; CoCM billing infrastructure in place at all Blueprint practices</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MHI permanent funding through the RHT Program; CCBHC partnerships</w:t>
            </w:r>
          </w:p>
        </w:tc>
      </w:tr>
      <w:tr>
        <w:trPr/>
        <w:tc>
          <w:tcPr>
            <w:tcW w:w="2025" w:type="dxa"/>
          </w:tcPr>
          <w:p>
            <w:pPr>
              <w:pStyle w:val="Compact"/>
              <w:jc w:val="left"/>
            </w:pPr>
            <w:r>
              <w:rPr>
                <w:sz w:val="18"/>
              </w:rPr>
              <w:t xml:space="preserve">Structured data capture standards across all Vermont primary care</w:t>
            </w:r>
          </w:p>
        </w:tc>
        <w:tc>
          <w:tcPr>
            <w:tcW w:w="3840" w:type="dxa"/>
          </w:tcPr>
          <w:p>
            <w:pPr>
              <w:pStyle w:val="Compact"/>
              <w:jc w:val="left"/>
            </w:pPr>
            <w:r>
              <w:rPr>
                <w:sz w:val="18"/>
              </w:rPr>
              <w:t xml:space="preserve">EHR workflow redesign support through Blueprint field staff; VITL connectivity requirements for all Blueprint-participating practices; HCC gap analysis completed for all attributed Medicare patients before Act 68 global budgets take effect (FY2028)</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data infrastructure; GMCB analytics vendor; VITL</w:t>
            </w:r>
          </w:p>
        </w:tc>
      </w:tr>
      <w:tr>
        <w:trPr/>
        <w:tc>
          <w:tcPr>
            <w:tcW w:w="2025" w:type="dxa"/>
          </w:tcPr>
          <w:p>
            <w:pPr>
              <w:pStyle w:val="Compact"/>
              <w:jc w:val="left"/>
            </w:pPr>
            <w:r>
              <w:rPr>
                <w:sz w:val="18"/>
              </w:rPr>
              <w:t xml:space="preserve">Care transition protocols at all Vermont hospitals for Blueprint-attributed patients</w:t>
            </w:r>
          </w:p>
        </w:tc>
        <w:tc>
          <w:tcPr>
            <w:tcW w:w="384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CHT model; VITL infrastructure; DVHA quality targets</w:t>
            </w:r>
          </w:p>
        </w:tc>
      </w:tr>
      <w:tr>
        <w:trPr>
          <w:cantSplit/>
        </w:trPr>
        <w:tc>
          <w:tcPr>
            <w:tcW w:w="2025" w:type="dxa"/>
          </w:tcPr>
          <w:p>
            <w:pPr>
              <w:pStyle w:val="Compact"/>
              <w:jc w:val="left"/>
            </w:pPr>
            <w:r>
              <w:rPr>
                <w:sz w:val="18"/>
              </w:rPr>
              <w:t xml:space="preserve">Clinical leader engagement in AHEAD governance and Statewide Strategic Plan development</w:t>
            </w:r>
          </w:p>
        </w:tc>
        <w:tc>
          <w:tcPr>
            <w:tcW w:w="384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68" w:name="_Toc1267"/>
      <w:r>
        <w:rPr>
          <w:b/>
          <w:bCs/>
          <w:color w:val="161B22"/>
        </w:rPr>
        <w:t xml:space="preserve">Clinical Pillar Implementation Matrix</w:t>
      </w:r>
      <w:bookmarkEnd w:id="1268"/>
    </w:p>
    <w:p>
      <w:pPr>
        <w:pStyle w:val="FirstParagraph"/>
        <w:keepNext w:val="false"/>
      </w:pPr>
      <w: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Caption"/>
        <w:spacing w:before="120"/>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keepNext w:val="false"/>
      </w:pPr>
      <w:r>
        <w:rPr>
          <w:color w:val="161B22"/>
        </w:rPr>
        <w:t xml:space="preserve">9.10  </w:t>
      </w:r>
      <w:bookmarkStart w:id="1269" w:name="_Toc1268"/>
      <w:r>
        <w:rPr>
          <w:b/>
          <w:bCs/>
          <w:color w:val="161B22"/>
        </w:rPr>
        <w:t xml:space="preserve">Work This Chapter on the Platform</w:t>
      </w:r>
      <w:bookmarkEnd w:id="1269"/>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Optimize HEDIS, Star Ratings, and MIPS performance with payment-adjustment estimates</w:t>
            </w:r>
          </w:p>
        </w:tc>
        <w:tc>
          <w:tcPr>
            <w:tcW w:w="2736"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3" w:type="dxa"/>
          </w:tcPr>
          <w:p>
            <w:pPr>
              <w:pStyle w:val="Compact"/>
              <w:jc w:val="left"/>
            </w:pPr>
            <w:r>
              <w:rPr>
                <w:sz w:val="18"/>
              </w:rPr>
              <w:t xml:space="preserve">The payment consequence of each quality decision under value-based contracts.</w:t>
            </w:r>
          </w:p>
        </w:tc>
      </w:tr>
      <w:tr>
        <w:trPr/>
        <w:tc>
          <w:tcPr>
            <w:tcW w:w="3312" w:type="dxa"/>
          </w:tcPr>
          <w:p>
            <w:pPr>
              <w:pStyle w:val="Compact"/>
              <w:jc w:val="left"/>
            </w:pPr>
            <w:r>
              <w:rPr>
                <w:sz w:val="18"/>
              </w:rPr>
              <w:t xml:space="preserve">Separate high-value from low-value care across services</w:t>
            </w:r>
          </w:p>
        </w:tc>
        <w:tc>
          <w:tcPr>
            <w:tcW w:w="2736"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3" w:type="dxa"/>
          </w:tcPr>
          <w:p>
            <w:pPr>
              <w:pStyle w:val="Compact"/>
              <w:jc w:val="left"/>
            </w:pPr>
            <w:r>
              <w:rPr>
                <w:sz w:val="18"/>
              </w:rPr>
              <w:t xml:space="preserve">Where reducing volume improves both margin and outcomes.</w:t>
            </w:r>
          </w:p>
        </w:tc>
      </w:tr>
      <w:tr>
        <w:trPr>
          <w:cantSplit/>
        </w:trPr>
        <w:tc>
          <w:tcPr>
            <w:tcW w:w="3312" w:type="dxa"/>
          </w:tcPr>
          <w:p>
            <w:pPr>
              <w:pStyle w:val="Compact"/>
              <w:jc w:val="left"/>
            </w:pPr>
            <w:r>
              <w:rPr>
                <w:sz w:val="18"/>
              </w:rPr>
              <w:t xml:space="preserve">Run risk stratification against a panel and compare tiers to current care-management assignment</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9.6 — Hands-on platform tools for the Clinical Pillar in practice.</w:t>
      </w:r>
    </w:p>
    <w:p>
      <w:pPr>
        <w:pStyle w:val="Heading2"/>
        <w:pBdr>
          <w:top w:val="single" w:sz="6" w:space="10" w:color="C9D2DF"/>
        </w:pBdr>
      </w:pPr>
      <w:r>
        <w:rPr>
          <w:color w:val="161B22"/>
        </w:rPr>
        <w:t xml:space="preserve">9.11  </w:t>
      </w:r>
      <w:bookmarkStart w:id="1270" w:name="_Toc1269"/>
      <w:r>
        <w:rPr>
          <w:b/>
          <w:bCs/>
          <w:color w:val="161B22"/>
        </w:rPr>
        <w:t xml:space="preserve">Implications for You</w:t>
      </w:r>
      <w:bookmarkEnd w:id="1270"/>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Heading2"/>
        <w:pBdr>
          <w:top w:val="single" w:sz="6" w:space="10" w:color="C9D2DF"/>
        </w:pBdr>
      </w:pPr>
      <w:r>
        <w:rPr>
          <w:color w:val="161B22"/>
        </w:rPr>
        <w:t xml:space="preserve">9.12  </w:t>
      </w:r>
      <w:bookmarkStart w:id="1271" w:name="_Toc1270"/>
      <w:r>
        <w:rPr>
          <w:b/>
          <w:bCs/>
          <w:color w:val="161B22"/>
        </w:rPr>
        <w:t xml:space="preserve">Key Concepts in This Chapter</w:t>
      </w:r>
      <w:bookmarkEnd w:id="1271"/>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t xml:space="preserve"> </w:t>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t xml:space="preserve"> </w:t>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t xml:space="preserve"> </w:t>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t xml:space="preserve"> </w:t>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t xml:space="preserve"> </w:t>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t xml:space="preserve"> </w:t>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t xml:space="preserve"> </w:t>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t xml:space="preserve"> </w:t>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t xml:space="preserve"> </w:t>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2" w:name="_Toc1271"/>
      <w:r>
        <w:rPr>
          <w:b/>
          <w:bCs/>
          <w:color w:val="161B22"/>
        </w:rPr>
        <w:t xml:space="preserve">Chapter 10: The Equity Imperative — Closing Gaps, Not Just Averaging Them</w:t>
      </w:r>
      <w:bookmarkEnd w:id="1272"/>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FirstParagraph"/>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3" w:name="_Toc1272"/>
      <w:r>
        <w:rPr>
          <w:b/>
          <w:bCs/>
          <w:color w:val="161B22"/>
        </w:rPr>
        <w:t xml:space="preserve">The Equity Imperative: Why Average Outcomes Are the Wrong Target</w:t>
      </w:r>
      <w:bookmarkEnd w:id="1273"/>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4" w:name="_Toc1273"/>
      <w:r>
        <w:rPr>
          <w:b/>
          <w:bCs/>
          <w:color w:val="161B22"/>
        </w:rPr>
        <w:t xml:space="preserve">Vermont’s Equity Landscape — What the Data Shows</w:t>
      </w:r>
      <w:bookmarkEnd w:id="1274"/>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5" w:name="_Toc1274"/>
      <w:r>
        <w:rPr>
          <w:b/>
          <w:bCs/>
          <w:color w:val="161B22"/>
        </w:rPr>
        <w:t xml:space="preserve">Geographic Equity: The Rural-Urban Divide</w:t>
      </w:r>
      <w:bookmarkEnd w:id="1275"/>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Uninsured rate, Essex County (NE Kingdom) 8% vs. 3% statewide — nearly 3x the state average despite Vermont’s near-universal coverage</w:t>
            </w:r>
          </w:p>
        </w:tc>
        <w:tc>
          <w:tcPr>
            <w:shd w:val="clear" w:color="auto" w:fill="EDF2F9"/>
            <w:tcW w:w="4536" w:type="dxa"/>
          </w:tcPr>
          <w:p>
            <w:pPr>
              <w:pStyle w:val="Compact"/>
              <w:jc w:val="left"/>
            </w:pPr>
            <w:r>
              <w:rPr>
                <w:b/>
                <w:color w:val="111111"/>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6" w:name="_Toc1275"/>
      <w:r>
        <w:rPr>
          <w:b/>
          <w:bCs/>
          <w:color w:val="161B22"/>
        </w:rPr>
        <w:t xml:space="preserve">Racial and Demographic Equity</w:t>
      </w:r>
      <w:bookmarkEnd w:id="1276"/>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7" w:name="_Toc1276"/>
      <w:r>
        <w:rPr>
          <w:b/>
          <w:bCs/>
          <w:color w:val="161B22"/>
        </w:rPr>
        <w:t xml:space="preserve">The SDOH Burden</w:t>
      </w:r>
      <w:bookmarkEnd w:id="1277"/>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275"/>
        <w:gridCol w:w="3795"/>
        <w:gridCol w:w="4005"/>
      </w:tblGrid>
      <w:tr>
        <w:trPr>
          <w:tblHeader w:val="on"/>
          <w:cantSplit/>
        </w:trPr>
        <w:tc>
          <w:tcPr>
            <w:shd w:val="clear" w:color="auto" w:fill="1B3A6B"/>
            <w:tcW w:w="1275" w:type="dxa"/>
          </w:tcPr>
          <w:p>
            <w:pPr>
              <w:pStyle w:val="Compact"/>
              <w:jc w:val="left"/>
            </w:pPr>
            <w:r>
              <w:rPr>
                <w:b/>
                <w:color w:val="FFFFFF"/>
                <w:sz w:val="18"/>
              </w:rPr>
              <w:t xml:space="preserve">SDOH domain</w:t>
            </w:r>
          </w:p>
        </w:tc>
        <w:tc>
          <w:tcPr>
            <w:shd w:val="clear" w:color="auto" w:fill="1B3A6B"/>
            <w:tcW w:w="3795" w:type="dxa"/>
          </w:tcPr>
          <w:p>
            <w:pPr>
              <w:pStyle w:val="Compact"/>
              <w:jc w:val="left"/>
            </w:pPr>
            <w:r>
              <w:rPr>
                <w:b/>
                <w:color w:val="FFFFFF"/>
                <w:sz w:val="18"/>
              </w:rPr>
              <w:t xml:space="preserve">Vermont statistic</w:t>
            </w:r>
          </w:p>
        </w:tc>
        <w:tc>
          <w:tcPr>
            <w:shd w:val="clear" w:color="auto" w:fill="1B3A6B"/>
            <w:tcW w:w="4005" w:type="dxa"/>
          </w:tcPr>
          <w:p>
            <w:pPr>
              <w:pStyle w:val="Compact"/>
              <w:jc w:val="left"/>
            </w:pPr>
            <w:r>
              <w:rPr>
                <w:b/>
                <w:color w:val="FFFFFF"/>
                <w:sz w:val="18"/>
              </w:rPr>
              <w:t xml:space="preserve">Equity implication</w:t>
            </w:r>
          </w:p>
        </w:tc>
      </w:tr>
      <w:tr>
        <w:trPr>
          <w:cantSplit/>
        </w:trPr>
        <w:tc>
          <w:tcPr>
            <w:tcW w:w="1275" w:type="dxa"/>
          </w:tcPr>
          <w:p>
            <w:pPr>
              <w:pStyle w:val="Compact"/>
              <w:jc w:val="left"/>
            </w:pPr>
            <w:r>
              <w:rPr>
                <w:sz w:val="18"/>
              </w:rPr>
              <w:t xml:space="preserve">Housing</w:t>
            </w:r>
          </w:p>
        </w:tc>
        <w:tc>
          <w:tcPr>
            <w:tcW w:w="3795" w:type="dxa"/>
          </w:tcPr>
          <w:p>
            <w:pPr>
              <w:pStyle w:val="Compact"/>
              <w:jc w:val="left"/>
            </w:pPr>
            <w:r>
              <w:rPr>
                <w:sz w:val="18"/>
              </w:rPr>
              <w:t xml:space="preserve">Rental vacancy rate 3% (healthy market = 5%); half of Vermont renters cost-burdened; per capita homelessness rate second highest nationally</w:t>
            </w:r>
          </w:p>
        </w:tc>
        <w:tc>
          <w:tcPr>
            <w:tcW w:w="4005"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275" w:type="dxa"/>
          </w:tcPr>
          <w:p>
            <w:pPr>
              <w:pStyle w:val="Compact"/>
              <w:jc w:val="left"/>
            </w:pPr>
            <w:r>
              <w:rPr>
                <w:sz w:val="18"/>
              </w:rPr>
              <w:t xml:space="preserve">Broadband access</w:t>
            </w:r>
          </w:p>
        </w:tc>
        <w:tc>
          <w:tcPr>
            <w:tcW w:w="3795" w:type="dxa"/>
          </w:tcPr>
          <w:p>
            <w:pPr>
              <w:pStyle w:val="Compact"/>
              <w:jc w:val="left"/>
            </w:pPr>
            <w:r>
              <w:rPr>
                <w:sz w:val="18"/>
              </w:rPr>
              <w:t xml:space="preserve">80% of rural Vermonters have broadband; 14% of all Vermonters lack access</w:t>
            </w:r>
          </w:p>
        </w:tc>
        <w:tc>
          <w:tcPr>
            <w:tcW w:w="4005"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275" w:type="dxa"/>
          </w:tcPr>
          <w:p>
            <w:pPr>
              <w:pStyle w:val="Compact"/>
              <w:jc w:val="left"/>
            </w:pPr>
            <w:r>
              <w:rPr>
                <w:sz w:val="18"/>
              </w:rPr>
              <w:t xml:space="preserve">Food insecurity</w:t>
            </w:r>
          </w:p>
        </w:tc>
        <w:tc>
          <w:tcPr>
            <w:tcW w:w="3795" w:type="dxa"/>
          </w:tcPr>
          <w:p>
            <w:pPr>
              <w:pStyle w:val="Compact"/>
              <w:jc w:val="left"/>
            </w:pPr>
            <w:r>
              <w:rPr>
                <w:sz w:val="18"/>
              </w:rPr>
              <w:t xml:space="preserve">9% of Vermonters are food insecure</w:t>
            </w:r>
          </w:p>
        </w:tc>
        <w:tc>
          <w:tcPr>
            <w:tcW w:w="4005"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275" w:type="dxa"/>
          </w:tcPr>
          <w:p>
            <w:pPr>
              <w:pStyle w:val="Compact"/>
              <w:jc w:val="left"/>
            </w:pPr>
            <w:r>
              <w:rPr>
                <w:sz w:val="18"/>
              </w:rPr>
              <w:t xml:space="preserve">Transportation</w:t>
            </w:r>
          </w:p>
        </w:tc>
        <w:tc>
          <w:tcPr>
            <w:tcW w:w="3795" w:type="dxa"/>
          </w:tcPr>
          <w:p>
            <w:pPr>
              <w:pStyle w:val="Compact"/>
              <w:jc w:val="left"/>
            </w:pPr>
            <w:r>
              <w:rPr>
                <w:sz w:val="18"/>
              </w:rPr>
              <w:t xml:space="preserve">Public transportation limited or unreliable in most rural counties, particularly Northeast Kingdom and Rutland County</w:t>
            </w:r>
          </w:p>
        </w:tc>
        <w:tc>
          <w:tcPr>
            <w:tcW w:w="4005"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275" w:type="dxa"/>
          </w:tcPr>
          <w:p>
            <w:pPr>
              <w:pStyle w:val="Compact"/>
              <w:jc w:val="left"/>
            </w:pPr>
            <w:r>
              <w:rPr>
                <w:sz w:val="18"/>
              </w:rPr>
              <w:t xml:space="preserve">Income</w:t>
            </w:r>
          </w:p>
        </w:tc>
        <w:tc>
          <w:tcPr>
            <w:tcW w:w="3795" w:type="dxa"/>
          </w:tcPr>
          <w:p>
            <w:pPr>
              <w:pStyle w:val="Compact"/>
              <w:jc w:val="left"/>
            </w:pPr>
            <w:r>
              <w:rPr>
                <w:sz w:val="18"/>
              </w:rPr>
              <w:t xml:space="preserve">Rural counties (Essex, Windham, Orleans) report higher poverty rates; Northeast Kingdom has highest unemployment</w:t>
            </w:r>
          </w:p>
        </w:tc>
        <w:tc>
          <w:tcPr>
            <w:tcW w:w="4005"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8" w:name="_Toc1277"/>
      <w:r>
        <w:rPr>
          <w:b/>
          <w:bCs/>
          <w:color w:val="161B22"/>
        </w:rPr>
        <w:t xml:space="preserve">The Disparity Root Cause Taxonomy — Why Vermont’s Equity Gaps Exist</w:t>
      </w:r>
      <w:bookmarkEnd w:id="1278"/>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3219"/>
        <w:gridCol w:w="5852"/>
      </w:tblGrid>
      <w:tr>
        <w:trPr>
          <w:tblHeader w:val="on"/>
          <w:cantSplit/>
        </w:trPr>
        <w:tc>
          <w:tcPr>
            <w:shd w:val="clear" w:color="auto" w:fill="1B3A6B"/>
            <w:tcW w:w="3219" w:type="dxa"/>
          </w:tcPr>
          <w:p>
            <w:pPr>
              <w:pStyle w:val="Compact"/>
              <w:spacing w:before="0" w:after="0" w:line="240" w:lineRule="auto"/>
              <w:jc w:val="left"/>
            </w:pPr>
            <w:r>
              <w:rPr>
                <w:b/>
                <w:color w:val="FFFFFF"/>
                <w:sz w:val="17"/>
              </w:rPr>
              <w:t xml:space="preserve">Root cause category</w:t>
            </w:r>
          </w:p>
        </w:tc>
        <w:tc>
          <w:tcPr>
            <w:shd w:val="clear" w:color="auto" w:fill="1B3A6B"/>
            <w:tcW w:w="5852" w:type="dxa"/>
          </w:tcPr>
          <w:p>
            <w:pPr>
              <w:pStyle w:val="Compact"/>
              <w:spacing w:before="0" w:after="0" w:line="240" w:lineRule="auto"/>
              <w:jc w:val="left"/>
            </w:pPr>
            <w:r>
              <w:rPr>
                <w:b/>
                <w:color w:val="FFFFFF"/>
                <w:sz w:val="17"/>
              </w:rPr>
              <w:t xml:space="preserve">Mechanisms and Vermont interventions</w:t>
            </w:r>
          </w:p>
        </w:tc>
      </w:tr>
      <w:tr>
        <w:trPr>
          <w:cantSplit/>
        </w:trPr>
        <w:tc>
          <w:tcPr>
            <w:tcW w:w="3219" w:type="dxa"/>
          </w:tcPr>
          <w:p>
            <w:pPr>
              <w:pStyle w:val="Compact"/>
              <w:spacing w:before="0" w:after="0" w:line="240" w:lineRule="auto"/>
              <w:jc w:val="left"/>
            </w:pPr>
            <w:r>
              <w:rPr>
                <w:sz w:val="17"/>
              </w:rPr>
              <w:t xml:space="preserve">1 Geographic Access Barriers</w:t>
            </w:r>
          </w:p>
        </w:tc>
        <w:tc>
          <w:tcPr>
            <w:tcW w:w="5852" w:type="dxa"/>
          </w:tcPr>
          <w:p>
            <w:pPr>
              <w:pStyle w:val="Compact"/>
              <w:spacing w:before="0" w:after="0" w:line="240" w:lineRule="auto"/>
              <w:jc w:val="left"/>
            </w:pPr>
            <w:r>
              <w:rPr>
                <w:sz w:val="17"/>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r>
        <w:trPr/>
        <w:tc>
          <w:tcPr>
            <w:tcW w:w="3219" w:type="dxa"/>
          </w:tcPr>
          <w:p>
            <w:pPr>
              <w:pStyle w:val="Compact"/>
              <w:spacing w:before="0" w:after="0" w:line="240" w:lineRule="auto"/>
              <w:jc w:val="left"/>
            </w:pPr>
            <w:r>
              <w:rPr>
                <w:sz w:val="17"/>
              </w:rPr>
              <w:t xml:space="preserve">2 Social Needs Barriers</w:t>
            </w:r>
          </w:p>
        </w:tc>
        <w:tc>
          <w:tcPr>
            <w:tcW w:w="5852" w:type="dxa"/>
          </w:tcPr>
          <w:p>
            <w:pPr>
              <w:pStyle w:val="Compact"/>
              <w:spacing w:before="0" w:after="0" w:line="240" w:lineRule="auto"/>
              <w:jc w:val="left"/>
            </w:pPr>
            <w:r>
              <w:rPr>
                <w:sz w:val="17"/>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r>
        <w:trPr/>
        <w:tc>
          <w:tcPr>
            <w:tcW w:w="3219" w:type="dxa"/>
          </w:tcPr>
          <w:p>
            <w:pPr>
              <w:pStyle w:val="Compact"/>
              <w:spacing w:before="0" w:after="0" w:line="240" w:lineRule="auto"/>
              <w:jc w:val="left"/>
            </w:pPr>
            <w:r>
              <w:rPr>
                <w:sz w:val="17"/>
              </w:rPr>
              <w:t xml:space="preserve">3 Clinical Practice Variation</w:t>
            </w:r>
          </w:p>
        </w:tc>
        <w:tc>
          <w:tcPr>
            <w:tcW w:w="5852" w:type="dxa"/>
          </w:tcPr>
          <w:p>
            <w:pPr>
              <w:pStyle w:val="Compact"/>
              <w:spacing w:before="0" w:after="0" w:line="240" w:lineRule="auto"/>
              <w:jc w:val="left"/>
            </w:pPr>
            <w:r>
              <w:rPr>
                <w:sz w:val="17"/>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r>
        <w:trPr/>
        <w:tc>
          <w:tcPr>
            <w:tcW w:w="3219" w:type="dxa"/>
          </w:tcPr>
          <w:p>
            <w:pPr>
              <w:pStyle w:val="Compact"/>
              <w:spacing w:before="0" w:after="0" w:line="240" w:lineRule="auto"/>
              <w:jc w:val="left"/>
            </w:pPr>
            <w:r>
              <w:rPr>
                <w:sz w:val="17"/>
              </w:rPr>
              <w:t xml:space="preserve">4 Insurance and Coverage Barriers</w:t>
            </w:r>
          </w:p>
        </w:tc>
        <w:tc>
          <w:tcPr>
            <w:tcW w:w="5852" w:type="dxa"/>
          </w:tcPr>
          <w:p>
            <w:pPr>
              <w:pStyle w:val="Compact"/>
              <w:spacing w:before="0" w:after="0" w:line="240" w:lineRule="auto"/>
              <w:jc w:val="left"/>
            </w:pPr>
            <w:r>
              <w:rPr>
                <w:sz w:val="17"/>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r>
        <w:trPr>
          <w:cantSplit/>
        </w:trPr>
        <w:tc>
          <w:tcPr>
            <w:tcW w:w="3219" w:type="dxa"/>
          </w:tcPr>
          <w:p>
            <w:pPr>
              <w:pStyle w:val="Compact"/>
              <w:spacing w:before="0" w:after="0" w:line="240" w:lineRule="auto"/>
              <w:jc w:val="left"/>
            </w:pPr>
            <w:r>
              <w:rPr>
                <w:sz w:val="17"/>
              </w:rPr>
              <w:t xml:space="preserve">5 Trust and Engagement Barriers</w:t>
            </w:r>
          </w:p>
        </w:tc>
        <w:tc>
          <w:tcPr>
            <w:tcW w:w="5852" w:type="dxa"/>
          </w:tcPr>
          <w:p>
            <w:pPr>
              <w:pStyle w:val="Compact"/>
              <w:spacing w:before="0" w:after="0" w:line="240" w:lineRule="auto"/>
              <w:jc w:val="left"/>
            </w:pPr>
            <w:r>
              <w:rPr>
                <w:sz w:val="17"/>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Caption"/>
        <w:spacing w:before="120"/>
      </w:pPr>
      <w:r>
        <w:rPr>
          <w:i/>
          <w:iCs/>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9" w:name="_Toc1278"/>
      <w:r>
        <w:rPr>
          <w:b/>
          <w:bCs/>
          <w:color w:val="161B22"/>
        </w:rPr>
        <w:t xml:space="preserve">Rural Equity — Vermont’s Defining Challenge</w:t>
      </w:r>
      <w:bookmarkEnd w:id="1279"/>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0" w:name="_Toc1279"/>
      <w:r>
        <w:rPr>
          <w:b/>
          <w:bCs/>
          <w:color w:val="161B22"/>
        </w:rPr>
        <w:t xml:space="preserve">The Northeast Kingdom: Vermont’s Equity Priority</w:t>
      </w:r>
      <w:bookmarkEnd w:id="1280"/>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line="240" w:lineRule="auto"/>
        <w:rPr>
          <w:sz w:val="16"/>
        </w:rPr>
      </w:pPr>
    </w:p>
    <w:p>
      <w:pPr>
        <w:pStyle w:val="Heading2"/>
        <w:pBdr>
          <w:top w:val="single" w:sz="6" w:space="10" w:color="C9D2DF"/>
        </w:pBdr>
      </w:pPr>
      <w:r>
        <w:rPr>
          <w:color w:val="161B22"/>
        </w:rPr>
        <w:t xml:space="preserve">10.5  </w:t>
      </w:r>
      <w:bookmarkStart w:id="1281" w:name="_Toc1280"/>
      <w:r>
        <w:rPr>
          <w:b/>
          <w:bCs/>
          <w:color w:val="161B22"/>
        </w:rPr>
        <w:t xml:space="preserve">The GLP-1 Access Crisis — The Most Important New Equity Issue</w:t>
      </w:r>
      <w:bookmarkEnd w:id="1281"/>
    </w:p>
    <w:p>
      <w:pPr>
        <w:pStyle w:val="Heading3"/>
      </w:pPr>
      <w:r>
        <w:rPr>
          <w:color w:val="161B22"/>
        </w:rPr>
        <w:t xml:space="preserve">10.5.1  </w:t>
      </w:r>
      <w:bookmarkStart w:id="1282" w:name="_Toc1281"/>
      <w:r>
        <w:rPr>
          <w:b/>
          <w:bCs/>
          <w:color w:val="161B22"/>
        </w:rPr>
        <w:t xml:space="preserve">The GLP-1 Access Crisis — The Most Important New Equity Issue</w:t>
      </w:r>
      <w:bookmarkEnd w:id="1282"/>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3" w:name="_Toc1282"/>
      <w:r>
        <w:rPr>
          <w:b/>
          <w:bCs/>
          <w:color w:val="161B22"/>
        </w:rPr>
        <w:t xml:space="preserve">The BALANCE Model: A Partial Solution</w:t>
      </w:r>
      <w:bookmarkEnd w:id="1283"/>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4" w:name="_Toc1283"/>
      <w:r>
        <w:rPr>
          <w:b/>
          <w:bCs/>
          <w:color w:val="161B22"/>
        </w:rPr>
        <w:t xml:space="preserve">The GLP-1 Equity Implication for Vermont’s Transformation</w:t>
      </w:r>
      <w:bookmarkEnd w:id="1284"/>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5" w:name="_Toc1284"/>
      <w:r>
        <w:rPr>
          <w:b/>
          <w:bCs/>
          <w:color w:val="161B22"/>
        </w:rPr>
        <w:t xml:space="preserve">Vermont’s Equity Architecture — What Is Already Built and What Remains</w:t>
      </w:r>
      <w:bookmarkEnd w:id="1285"/>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6" w:name="_Toc1285"/>
      <w:r>
        <w:rPr>
          <w:b/>
          <w:bCs/>
          <w:color w:val="161B22"/>
        </w:rPr>
        <w:t xml:space="preserve">What Is Already Operational</w:t>
      </w:r>
      <w:bookmarkEnd w:id="1286"/>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7" w:name="_Toc1286"/>
      <w:r>
        <w:rPr>
          <w:b/>
          <w:bCs/>
          <w:color w:val="161B22"/>
        </w:rPr>
        <w:t xml:space="preserve">What Must Be Built</w:t>
      </w:r>
      <w:bookmarkEnd w:id="1287"/>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10.4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88" w:name="_Toc1287"/>
      <w:r>
        <w:rPr>
          <w:b/>
          <w:bCs/>
          <w:color w:val="161B22"/>
        </w:rPr>
        <w:t xml:space="preserve">Equity and the Five-Pillar Framework — How Every Pillar Has an Equity Dimension</w:t>
      </w:r>
      <w:bookmarkEnd w:id="1288"/>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10.5 — Equity as a cross-cutting dimension of all five pillars. Sources: Act 68 of 2025; Oliver Wyman Act 167 Report; five-pillar framework.</w:t>
      </w:r>
    </w:p>
    <w:p>
      <w:pPr>
        <w:pStyle w:val="Heading2"/>
        <w:pBdr>
          <w:top w:val="single" w:sz="6" w:space="10" w:color="C9D2DF"/>
        </w:pBdr>
      </w:pPr>
      <w:r>
        <w:rPr>
          <w:color w:val="161B22"/>
        </w:rPr>
        <w:t xml:space="preserve">10.8  </w:t>
      </w:r>
      <w:bookmarkStart w:id="1289" w:name="_Toc1288"/>
      <w:r>
        <w:rPr>
          <w:b/>
          <w:bCs/>
          <w:color w:val="161B22"/>
        </w:rPr>
        <w:t xml:space="preserve">Vermont’s Equity Accountability Framework</w:t>
      </w:r>
      <w:bookmarkEnd w:id="1289"/>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10.6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10.9  </w:t>
      </w:r>
      <w:bookmarkStart w:id="1290" w:name="_Toc1289"/>
      <w:r>
        <w:rPr>
          <w:b/>
          <w:bCs/>
          <w:color w:val="161B22"/>
        </w:rPr>
        <w:t xml:space="preserve">Measuring Equity: HEROI, HEDIS Stratification, and VBC Safeguards</w:t>
      </w:r>
      <w:bookmarkEnd w:id="1290"/>
    </w:p>
    <w:p>
      <w:pPr>
        <w:pStyle w:val="FirstParagraph"/>
      </w:pPr>
      <w:r>
        <w:t xml:space="preserve">The remainder of this chapter turns that equity landscape into an operational toolkit — the stratified measurement, composite scoring, and value-based-contracting safeguards Vermont needs to close disparities rather than merely document them.</w:t>
      </w:r>
    </w:p>
    <w:p>
      <w:pPr>
        <w:pStyle w:val="Heading2"/>
        <w:pBdr>
          <w:top w:val="single" w:sz="6" w:space="10" w:color="C9D2DF"/>
        </w:pBdr>
      </w:pPr>
      <w:r>
        <w:rPr>
          <w:color w:val="161B22"/>
        </w:rPr>
        <w:t xml:space="preserve">10.10  </w:t>
      </w:r>
      <w:bookmarkStart w:id="1291" w:name="_Toc1290"/>
      <w:r>
        <w:rPr>
          <w:b/>
          <w:bCs/>
          <w:color w:val="161B22"/>
        </w:rPr>
        <w:t xml:space="preserve">From Identifying Disparities to Eliminating Them</w:t>
      </w:r>
      <w:bookmarkEnd w:id="1291"/>
    </w:p>
    <w:p>
      <w:pPr>
        <w:pStyle w:val="FirstParagraph"/>
      </w:pPr>
      <w:r>
        <w:t xml:space="preserve">The first half of this chapter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10.11  </w:t>
      </w:r>
      <w:bookmarkStart w:id="1292" w:name="_Toc1291"/>
      <w:r>
        <w:rPr>
          <w:b/>
          <w:bCs/>
          <w:color w:val="161B22"/>
        </w:rPr>
        <w:t xml:space="preserve">Stratified HEDIS Measurement — The Foundation of Equity Analytics</w:t>
      </w:r>
      <w:bookmarkEnd w:id="1292"/>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10.11.1  </w:t>
      </w:r>
      <w:bookmarkStart w:id="1293" w:name="_Toc1292"/>
      <w:r>
        <w:rPr>
          <w:b/>
          <w:bCs/>
          <w:color w:val="161B22"/>
        </w:rPr>
        <w:t xml:space="preserve">The NCQA HEDIS Stratification Framework</w:t>
      </w:r>
      <w:bookmarkEnd w:id="1293"/>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Figure 10.7 — Vermont HEDIS equity stratification framework. Sources: NCQA HEDIS Technical Specifications; AHS Health Equity Data Report (January 2025); Blueprint for Health data.</w:t>
      </w:r>
    </w:p>
    <w:p>
      <w:pPr>
        <w:pStyle w:val="Heading2"/>
        <w:pBdr>
          <w:top w:val="single" w:sz="6" w:space="10" w:color="C9D2DF"/>
        </w:pBdr>
        <w:keepNext w:val="false"/>
      </w:pPr>
      <w:r>
        <w:rPr>
          <w:color w:val="161B22"/>
        </w:rPr>
        <w:t xml:space="preserve">10.12  </w:t>
      </w:r>
      <w:bookmarkStart w:id="1294" w:name="_Toc1293"/>
      <w:r>
        <w:rPr>
          <w:b/>
          <w:bCs/>
          <w:color w:val="161B22"/>
        </w:rPr>
        <w:t xml:space="preserve">Equity Imperative Implementation Matrix</w:t>
      </w:r>
      <w:bookmarkEnd w:id="1294"/>
    </w:p>
    <w:p>
      <w:pPr>
        <w:pStyle w:val="FirstParagraph"/>
        <w:keepNext w:val="false"/>
      </w:pPr>
      <w: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10.8 — equity imperative implementation matrix. Sources: Vermont Department of Health Health Equity Data Report (January 2025); Act 68 of 2025.</w:t>
      </w:r>
    </w:p>
    <w:p>
      <w:pPr>
        <w:pStyle w:val="Heading3"/>
      </w:pPr>
      <w:r>
        <w:rPr>
          <w:color w:val="161B22"/>
        </w:rPr>
        <w:t xml:space="preserve">10.12.1  </w:t>
      </w:r>
      <w:bookmarkStart w:id="1295" w:name="_Toc1294"/>
      <w:r>
        <w:rPr>
          <w:b/>
          <w:bCs/>
          <w:color w:val="161B22"/>
        </w:rPr>
        <w:t xml:space="preserve">The Data Collection Challenge — Getting Demographic Data Right</w:t>
      </w:r>
      <w:bookmarkEnd w:id="1295"/>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10.13  </w:t>
      </w:r>
      <w:bookmarkStart w:id="1296" w:name="_Toc1295"/>
      <w:r>
        <w:rPr>
          <w:b/>
          <w:bCs/>
          <w:color w:val="161B22"/>
        </w:rPr>
        <w:t xml:space="preserve">The HEROI Framework — A Composite Equity Score</w:t>
      </w:r>
      <w:bookmarkEnd w:id="1296"/>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10.13.1  </w:t>
      </w:r>
      <w:bookmarkStart w:id="1297" w:name="_Toc1296"/>
      <w:r>
        <w:rPr>
          <w:b/>
          <w:bCs/>
          <w:color w:val="161B22"/>
        </w:rPr>
        <w:t xml:space="preserve">HEROI Components</w:t>
      </w:r>
      <w:bookmarkEnd w:id="1297"/>
    </w:p>
    <w:p>
      <w:pPr>
        <w:pStyle w:val="FirstParagraph"/>
      </w:pPr>
      <w:r>
        <w:t xml:space="preserve">The HEROI composite score is calculated across five equity dimensions, each weighted by its relative health impact and the strength of evidence for interventions that can address it:</w:t>
      </w:r>
    </w:p>
    <w:p>
      <w:pPr>
        <w:numPr>
          <w:ilvl w:val="0"/>
          <w:numId w:val="1023"/>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numPr>
          <w:ilvl w:val="0"/>
          <w:numId w:val="1023"/>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numPr>
          <w:ilvl w:val="0"/>
          <w:numId w:val="1023"/>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numPr>
          <w:ilvl w:val="0"/>
          <w:numId w:val="1023"/>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numPr>
          <w:ilvl w:val="0"/>
          <w:numId w:val="1023"/>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10.14  </w:t>
      </w:r>
      <w:bookmarkStart w:id="1298" w:name="_Toc1297"/>
      <w:r>
        <w:rPr>
          <w:b/>
          <w:bCs/>
          <w:color w:val="161B22"/>
        </w:rPr>
        <w:t xml:space="preserve">Root Cause Analytics — Matching Interventions to Causes</w:t>
      </w:r>
      <w:bookmarkEnd w:id="1298"/>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10.14.1  </w:t>
      </w:r>
      <w:bookmarkStart w:id="1299" w:name="_Toc1298"/>
      <w:r>
        <w:rPr>
          <w:b/>
          <w:bCs/>
          <w:color w:val="161B22"/>
        </w:rPr>
        <w:t xml:space="preserve">The Disparity Decomposition Method</w:t>
      </w:r>
      <w:bookmarkEnd w:id="1299"/>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10.14.2  </w:t>
      </w:r>
      <w:bookmarkStart w:id="1300" w:name="_Toc1299"/>
      <w:r>
        <w:rPr>
          <w:b/>
          <w:bCs/>
          <w:color w:val="161B22"/>
        </w:rPr>
        <w:t xml:space="preserve">The Five-Step Disparity Closure Process</w:t>
      </w:r>
      <w:bookmarkEnd w:id="1300"/>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10.9 — Five-step disparity closure process with Vermont applications. Source: HTR’s Health Equity Studio methodology.</w:t>
      </w:r>
    </w:p>
    <w:p>
      <w:pPr>
        <w:pStyle w:val="Heading2"/>
        <w:pBdr>
          <w:top w:val="single" w:sz="6" w:space="10" w:color="C9D2DF"/>
        </w:pBdr>
      </w:pPr>
      <w:r>
        <w:rPr>
          <w:color w:val="161B22"/>
        </w:rPr>
        <w:t xml:space="preserve">10.15  </w:t>
      </w:r>
      <w:bookmarkStart w:id="1301" w:name="_Toc1300"/>
      <w:r>
        <w:rPr>
          <w:b/>
          <w:bCs/>
          <w:color w:val="161B22"/>
        </w:rPr>
        <w:t xml:space="preserve">Equity in VBC Contracting — Protecting Against Unintended Consequences</w:t>
      </w:r>
      <w:bookmarkEnd w:id="1301"/>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10.15.1  </w:t>
      </w:r>
      <w:bookmarkStart w:id="1302" w:name="_Toc1301"/>
      <w:r>
        <w:rPr>
          <w:b/>
          <w:bCs/>
          <w:color w:val="161B22"/>
        </w:rPr>
        <w:t xml:space="preserve">Social Risk Adjustment — The Equity Design Requirement for VBC Contracts</w:t>
      </w:r>
      <w:bookmarkEnd w:id="1302"/>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10.15.2  </w:t>
      </w:r>
      <w:bookmarkStart w:id="1303" w:name="_Toc1302"/>
      <w:r>
        <w:rPr>
          <w:b/>
          <w:bCs/>
          <w:color w:val="161B22"/>
        </w:rPr>
        <w:t xml:space="preserve">The VBC Equity Audit</w:t>
      </w:r>
      <w:bookmarkEnd w:id="1303"/>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numPr>
          <w:ilvl w:val="0"/>
          <w:numId w:val="1024"/>
        </w:numPr>
        <w:keepLines w:val="true"/>
        <w:keepNext w:val="true"/>
      </w:pPr>
      <w:r>
        <w:t xml:space="preserve">Attribution equity: Does the attribution methodology systematically exclude high-SDOH patients who lack a qualifying primary care visit?</w:t>
      </w:r>
    </w:p>
    <w:p>
      <w:pPr>
        <w:numPr>
          <w:ilvl w:val="0"/>
          <w:numId w:val="1024"/>
        </w:numPr>
        <w:keepLines w:val="true"/>
        <w:keepNext w:val="true"/>
      </w:pPr>
      <w:r>
        <w:t xml:space="preserve">Social risk adjustment: Is the benchmark adjusted for the social risk profile of the attributed population?</w:t>
      </w:r>
    </w:p>
    <w:p>
      <w:pPr>
        <w:numPr>
          <w:ilvl w:val="0"/>
          <w:numId w:val="1024"/>
        </w:numPr>
        <w:keepLines w:val="true"/>
      </w:pPr>
      <w:r>
        <w:t xml:space="preserve">Quality measure equity: Are quality measures stratified by race/ethnicity and income, with performance reported and rewarded based on equity improvement, not just average improvement?</w:t>
      </w:r>
    </w:p>
    <w:p>
      <w:pPr>
        <w:numPr>
          <w:ilvl w:val="0"/>
          <w:numId w:val="1024"/>
        </w:numPr>
        <w:keepLines w:val="true"/>
      </w:pPr>
      <w:r>
        <w:t xml:space="preserve">SDOH investment incentives: Does the contract provide financial credit for investments in SDOH programs that reduce long-term utilization?</w:t>
      </w:r>
    </w:p>
    <w:p>
      <w:pPr>
        <w:numPr>
          <w:ilvl w:val="0"/>
          <w:numId w:val="1024"/>
        </w:numPr>
        <w:keepLines w:val="true"/>
      </w:pPr>
      <w:r>
        <w:t xml:space="preserve">Care management intensity: Are care management resources allocated proportionate to SDOH burden and disparity level, not just clinical risk?</w:t>
      </w:r>
    </w:p>
    <w:p>
      <w:pPr>
        <w:numPr>
          <w:ilvl w:val="0"/>
          <w:numId w:val="1024"/>
        </w:numPr>
        <w:keepLines w:val="true"/>
      </w:pPr>
      <w:r>
        <w:t xml:space="preserve">Beneficiary protections: Are there protections against provider avoidance of high-complexity, high-SDOH patients?</w:t>
      </w:r>
    </w:p>
    <w:p>
      <w:pPr>
        <w:numPr>
          <w:ilvl w:val="0"/>
          <w:numId w:val="1024"/>
        </w:numPr>
        <w:keepLines w:val="true"/>
      </w:pPr>
      <w:r>
        <w:t xml:space="preserve">Community benefit requirements: For global budgets, are there explicit requirements for community health investment, including SDOH programs?</w:t>
      </w:r>
    </w:p>
    <w:p>
      <w:pPr>
        <w:numPr>
          <w:ilvl w:val="0"/>
          <w:numId w:val="1024"/>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10.16  </w:t>
      </w:r>
      <w:bookmarkStart w:id="1304" w:name="_Toc1303"/>
      <w:r>
        <w:rPr>
          <w:b/>
          <w:bCs/>
          <w:color w:val="161B22"/>
        </w:rPr>
        <w:t xml:space="preserve">Vermont’s Population Health Equity Analytics Architecture</w:t>
      </w:r>
      <w:bookmarkEnd w:id="1304"/>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Figure 10.10 — Vermont equity analytics: current data sources by equity dimension. Sources: GMCB; VDH; Blueprint for Health; DVHA; AHS.</w:t>
      </w:r>
    </w:p>
    <w:p>
      <w:pPr>
        <w:pStyle w:val="Heading2"/>
        <w:pBdr>
          <w:top w:val="single" w:sz="6" w:space="10" w:color="C9D2DF"/>
        </w:pBdr>
        <w:keepNext w:val="false"/>
      </w:pPr>
      <w:r>
        <w:rPr>
          <w:color w:val="161B22"/>
        </w:rPr>
        <w:t xml:space="preserve">10.17  </w:t>
      </w:r>
      <w:bookmarkStart w:id="1305" w:name="_Toc1304"/>
      <w:r>
        <w:rPr>
          <w:b/>
          <w:bCs/>
          <w:color w:val="161B22"/>
        </w:rPr>
        <w:t xml:space="preserve">Work This Chapter on the Platform</w:t>
      </w:r>
      <w:bookmarkEnd w:id="1305"/>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Compute the HEROI composite across access, quality, outcome, SDOH burden, and trust</w:t>
            </w:r>
          </w:p>
        </w:tc>
        <w:tc>
          <w:tcPr>
            <w:tcW w:w="2736"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3" w:type="dxa"/>
          </w:tcPr>
          <w:p>
            <w:pPr>
              <w:pStyle w:val="Compact"/>
              <w:jc w:val="left"/>
            </w:pPr>
            <w:r>
              <w:rPr>
                <w:sz w:val="18"/>
              </w:rPr>
              <w:t xml:space="preserve">Whether an intervention closes the gap or just raises the average while the gap persists.</w:t>
            </w:r>
          </w:p>
        </w:tc>
      </w:tr>
      <w:tr>
        <w:trPr/>
        <w:tc>
          <w:tcPr>
            <w:tcW w:w="3312" w:type="dxa"/>
          </w:tcPr>
          <w:p>
            <w:pPr>
              <w:pStyle w:val="Compact"/>
              <w:jc w:val="left"/>
            </w:pPr>
            <w:r>
              <w:rPr>
                <w:sz w:val="18"/>
              </w:rPr>
              <w:t xml:space="preserve">Model disease progression and intervention ROI for a defined cohort</w:t>
            </w:r>
          </w:p>
        </w:tc>
        <w:tc>
          <w:tcPr>
            <w:tcW w:w="2736"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3"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10.11 — Hands-on platform tools for the Equity Imperative.</w:t>
      </w:r>
    </w:p>
    <w:p>
      <w:pPr>
        <w:pStyle w:val="Heading2"/>
        <w:pBdr>
          <w:top w:val="single" w:sz="6" w:space="10" w:color="C9D2DF"/>
        </w:pBdr>
      </w:pPr>
      <w:r>
        <w:rPr>
          <w:color w:val="161B22"/>
        </w:rPr>
        <w:t xml:space="preserve">10.18  </w:t>
      </w:r>
      <w:bookmarkStart w:id="1306" w:name="_Toc1305"/>
      <w:r>
        <w:rPr>
          <w:b/>
          <w:bCs/>
          <w:color w:val="161B22"/>
        </w:rPr>
        <w:t xml:space="preserve">Implications for You</w:t>
      </w:r>
      <w:bookmarkEnd w:id="1306"/>
    </w:p>
    <w:p>
      <w:pPr>
        <w:pStyle w:val="FirstParagraph"/>
      </w:pPr>
      <w:r>
        <w:t xml:space="preserve">If you are a Vermont hospital executive: The equity data Vermont’s Act 68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Heading2"/>
        <w:pBdr>
          <w:top w:val="single" w:sz="6" w:space="10" w:color="C9D2DF"/>
        </w:pBdr>
      </w:pPr>
      <w:r>
        <w:rPr>
          <w:color w:val="161B22"/>
        </w:rPr>
        <w:t xml:space="preserve">10.19  </w:t>
      </w:r>
      <w:bookmarkStart w:id="1307" w:name="_Toc1306"/>
      <w:r>
        <w:rPr>
          <w:b/>
          <w:bCs/>
          <w:color w:val="161B22"/>
        </w:rPr>
        <w:t xml:space="preserve">Key Concepts in This Chapter</w:t>
      </w:r>
      <w:bookmarkEnd w:id="1307"/>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t xml:space="preserve"> </w:t>
      </w:r>
      <w:r>
        <w:rPr>
          <w:rFonts w:ascii="Calibri" w:hAnsi="Calibri"/>
          <w:color w:val="000000"/>
          <w:sz w:val="18"/>
        </w:rPr>
        <w:t xml:space="preserve">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t xml:space="preserve"> </w:t>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t xml:space="preserve"> </w:t>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t xml:space="preserve"> </w:t>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t xml:space="preserve"> </w:t>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t xml:space="preserve"> </w:t>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t xml:space="preserve"> </w:t>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t xml:space="preserve"> </w:t>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8" w:name="_Toc1307"/>
      <w:r>
        <w:rPr>
          <w:b/>
          <w:bCs/>
          <w:color w:val="161B22"/>
        </w:rPr>
        <w:t xml:space="preserve">Chapter 11: The Operations Pillar — Executing Hospital System Transformation</w:t>
      </w:r>
      <w:bookmarkEnd w:id="1308"/>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FirstParagraph"/>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9" w:name="_Toc1308"/>
      <w:r>
        <w:rPr>
          <w:b/>
          <w:bCs/>
          <w:color w:val="161B22"/>
        </w:rPr>
        <w:t xml:space="preserve">The Operations Pillar: Where Strategy Meets Reality</w:t>
      </w:r>
      <w:bookmarkEnd w:id="1309"/>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0" w:name="_Toc1309"/>
      <w:r>
        <w:rPr>
          <w:b/>
          <w:bCs/>
          <w:color w:val="161B22"/>
        </w:rPr>
        <w:t xml:space="preserve">The Vermont Transformation Operating Model</w:t>
      </w:r>
      <w:bookmarkEnd w:id="1310"/>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1" w:name="_Toc1310"/>
      <w:r>
        <w:rPr>
          <w:b/>
          <w:bCs/>
          <w:color w:val="161B22"/>
        </w:rPr>
        <w:t xml:space="preserve">The Institutional Architecture</w:t>
      </w:r>
      <w:bookmarkEnd w:id="1311"/>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oversees Blueprint for Health and OneCare wind-down</w:t>
            </w:r>
          </w:p>
        </w:tc>
        <w:tc>
          <w:tcPr>
            <w:tcW w:w="2451" w:type="dxa"/>
          </w:tcPr>
          <w:p>
            <w:pPr>
              <w:pStyle w:val="Compact"/>
              <w:jc w:val="left"/>
            </w:pPr>
            <w:r>
              <w:rPr>
                <w:sz w:val="18"/>
              </w:rPr>
              <w:t xml:space="preserve">Medicaid contract terms; Blueprint for Health funding; Medicaid global budget design</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2" w:name="_Toc1311"/>
      <w:r>
        <w:rPr>
          <w:b/>
          <w:bCs/>
          <w:color w:val="161B22"/>
        </w:rPr>
        <w:t xml:space="preserve">The Transformation Planning Sequence</w:t>
      </w:r>
      <w:bookmarkEnd w:id="1312"/>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line="240" w:lineRule="auto"/>
        <w:rPr>
          <w:sz w:val="16"/>
        </w:rPr>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3" w:name="_Toc1312"/>
      <w:r>
        <w:rPr>
          <w:b/>
          <w:bCs/>
          <w:color w:val="161B22"/>
        </w:rPr>
        <w:t xml:space="preserve">The RHRC Methodology — Technical Assistance for Rural Hospital Transformation</w:t>
      </w:r>
      <w:bookmarkEnd w:id="1313"/>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4" w:name="_Toc1313"/>
      <w:r>
        <w:rPr>
          <w:b/>
          <w:bCs/>
          <w:color w:val="161B22"/>
        </w:rPr>
        <w:t xml:space="preserve">What RHRC Did</w:t>
      </w:r>
      <w:bookmarkEnd w:id="1314"/>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5" w:name="_Toc1314"/>
      <w:r>
        <w:rPr>
          <w:b/>
          <w:bCs/>
          <w:color w:val="161B22"/>
        </w:rPr>
        <w:t xml:space="preserve">RHRC’s Four Workstreams at Each Hospital</w:t>
      </w:r>
      <w:bookmarkEnd w:id="1315"/>
    </w:p>
    <w:p>
      <w:pPr>
        <w:pStyle w:val="FirstParagraph"/>
      </w:pPr>
      <w:r>
        <w:t xml:space="preserve">RHRC worked with each of Vermont’s 14 hospitals through four parallel workstreams, adapted to each hospital’s specific position and needs:</w:t>
      </w:r>
    </w:p>
    <w:p>
      <w:pPr>
        <w:numPr>
          <w:ilvl w:val="0"/>
          <w:numId w:val="1025"/>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numPr>
          <w:ilvl w:val="0"/>
          <w:numId w:val="1025"/>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numPr>
          <w:ilvl w:val="0"/>
          <w:numId w:val="1025"/>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numPr>
          <w:ilvl w:val="0"/>
          <w:numId w:val="1025"/>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numPr>
          <w:ilvl w:val="0"/>
          <w:numId w:val="1025"/>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6" w:name="_Toc1315"/>
      <w:r>
        <w:rPr>
          <w:b/>
          <w:bCs/>
          <w:color w:val="161B22"/>
        </w:rPr>
        <w:t xml:space="preserve">The Analytics Gap and Its Resolution</w:t>
      </w:r>
      <w:bookmarkEnd w:id="1316"/>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7" w:name="_Toc1316"/>
      <w:r>
        <w:rPr>
          <w:b/>
          <w:bCs/>
          <w:color w:val="161B22"/>
        </w:rPr>
        <w:t xml:space="preserve">The Vermont Hospital Performance Dashboard — Where Each Hospital Stands</w:t>
      </w:r>
      <w:bookmarkEnd w:id="1317"/>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lef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lef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lef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8" w:name="_Toc1317"/>
      <w:r>
        <w:rPr>
          <w:b/>
          <w:bCs/>
          <w:color w:val="161B22"/>
        </w:rPr>
        <w:t xml:space="preserve">Regionalization — The Operational Logic of Right-Sizing a 14-Hospital System</w:t>
      </w:r>
      <w:bookmarkEnd w:id="1318"/>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9" w:name="_Toc1318"/>
      <w:r>
        <w:rPr>
          <w:b/>
          <w:bCs/>
          <w:color w:val="161B22"/>
        </w:rPr>
        <w:t xml:space="preserve">The Regional Network Design Framework</w:t>
      </w:r>
      <w:bookmarkEnd w:id="1319"/>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0" w:name="_Toc1319"/>
      <w:r>
        <w:rPr>
          <w:b/>
          <w:bCs/>
          <w:color w:val="161B22"/>
        </w:rPr>
        <w:t xml:space="preserve">The Operational Mechanics of Regionalization</w:t>
      </w:r>
      <w:bookmarkEnd w:id="1320"/>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1" w:name="_Toc1320"/>
      <w:r>
        <w:rPr>
          <w:b/>
          <w:bCs/>
          <w:color w:val="161B22"/>
        </w:rPr>
        <w:t xml:space="preserve">The Workforce Crisis — Vermont’s Most Binding Operational Constraint</w:t>
      </w:r>
      <w:bookmarkEnd w:id="1321"/>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2" w:name="_Toc1321"/>
      <w:r>
        <w:rPr>
          <w:b/>
          <w:bCs/>
          <w:color w:val="161B22"/>
        </w:rPr>
        <w:t xml:space="preserve">The Dimensions of Vermont’s Workforce Crisis</w:t>
      </w:r>
      <w:bookmarkEnd w:id="1322"/>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Primary care physician shortfall by 2030 370 FTEs 112 family medicine, 190 other primary care (RHT application)</w:t>
            </w:r>
          </w:p>
        </w:tc>
        <w:tc>
          <w:tcPr>
            <w:shd w:val="clear" w:color="auto" w:fill="EDF2F9"/>
            <w:tcW w:w="4536" w:type="dxa"/>
          </w:tcPr>
          <w:p>
            <w:pPr>
              <w:pStyle w:val="Compact"/>
              <w:jc w:val="left"/>
            </w:pPr>
            <w:r>
              <w:rPr>
                <w:b/>
                <w:color w:val="111111"/>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$195M/yr, awarded annually;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3" w:name="_Toc1322"/>
      <w:r>
        <w:rPr>
          <w:b/>
          <w:bCs/>
          <w:color w:val="161B22"/>
        </w:rPr>
        <w:t xml:space="preserve">Vermont’s Workforce Strategy: The RHT Investment Framework</w:t>
      </w:r>
      <w:bookmarkEnd w:id="1323"/>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4" w:name="_Toc1323"/>
      <w:r>
        <w:rPr>
          <w:b/>
          <w:bCs/>
          <w:color w:val="161B22"/>
        </w:rPr>
        <w:t xml:space="preserve">RHT Workforce Investment Priorities</w:t>
      </w:r>
      <w:bookmarkEnd w:id="1324"/>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5" w:name="_Toc1324"/>
      <w:r>
        <w:rPr>
          <w:b/>
          <w:bCs/>
          <w:color w:val="161B22"/>
        </w:rPr>
        <w:t xml:space="preserve">The Operations Metrics Framework — What AHS Must Track</w:t>
      </w:r>
      <w:bookmarkEnd w:id="1325"/>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26" w:name="_Toc1325"/>
      <w:r>
        <w:rPr>
          <w:b/>
          <w:bCs/>
          <w:color w:val="161B22"/>
        </w:rPr>
        <w:t xml:space="preserve">AHS as System Operator — Organizational Design for the 2028 Mandate</w:t>
      </w:r>
      <w:bookmarkEnd w:id="1326"/>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7" w:name="_Toc1326"/>
      <w:r>
        <w:rPr>
          <w:b/>
          <w:bCs/>
          <w:color w:val="161B22"/>
        </w:rPr>
        <w:t xml:space="preserve">The Current Organizational Gaps</w:t>
      </w:r>
      <w:bookmarkEnd w:id="1327"/>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8" w:name="_Toc1327"/>
      <w:r>
        <w:rPr>
          <w:b/>
          <w:bCs/>
          <w:color w:val="161B22"/>
        </w:rPr>
        <w:t xml:space="preserve">The Emerging Solution: A Population Health Management Operating Model</w:t>
      </w:r>
      <w:bookmarkEnd w:id="1328"/>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11.9  </w:t>
      </w:r>
      <w:bookmarkStart w:id="1329" w:name="_Toc1328"/>
      <w:r>
        <w:rPr>
          <w:b/>
          <w:bCs/>
          <w:color w:val="161B22"/>
        </w:rPr>
        <w:t xml:space="preserve">Revenue Cycle, HCC Coding, Credentialing, and Administrative Simplification</w:t>
      </w:r>
      <w:bookmarkEnd w:id="1329"/>
    </w:p>
    <w:p>
      <w:pPr>
        <w:pStyle w:val="FirstParagraph"/>
      </w:pPr>
      <w:r>
        <w:t xml:space="preserve">The remainder of this chapter turns the operations pillar into practice — the revenue-cycle, coding, credentialing, and administrative-simplification mechanics that determine whether Vermont captures the savings its transformation depends on.</w:t>
      </w:r>
    </w:p>
    <w:p>
      <w:pPr>
        <w:pStyle w:val="Heading2"/>
        <w:pBdr>
          <w:top w:val="single" w:sz="6" w:space="10" w:color="C9D2DF"/>
        </w:pBdr>
      </w:pPr>
      <w:r>
        <w:rPr>
          <w:color w:val="161B22"/>
        </w:rPr>
        <w:t xml:space="preserve">11.10  </w:t>
      </w:r>
      <w:bookmarkStart w:id="1330" w:name="_Toc1329"/>
      <w:r>
        <w:rPr>
          <w:b/>
          <w:bCs/>
          <w:color w:val="161B22"/>
        </w:rPr>
        <w:t xml:space="preserve">Operations Where Money Actually Lives</w:t>
      </w:r>
      <w:bookmarkEnd w:id="1330"/>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These sections develop the operational mechanics of healthcare transformation — the specific processes, metrics, and management disciplines that determine whether value-based care contracts produce the results they are designed for. They fall into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11.11  </w:t>
      </w:r>
      <w:bookmarkStart w:id="1331" w:name="_Toc1330"/>
      <w:r>
        <w:rPr>
          <w:b/>
          <w:bCs/>
          <w:color w:val="161B22"/>
        </w:rPr>
        <w:t xml:space="preserve">Revenue Cycle Transformation — From FFS Optimization to VBC Management</w:t>
      </w:r>
      <w:bookmarkEnd w:id="1331"/>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11.11.1  </w:t>
      </w:r>
      <w:bookmarkStart w:id="1332" w:name="_Toc1331"/>
      <w:r>
        <w:rPr>
          <w:b/>
          <w:bCs/>
          <w:color w:val="161B22"/>
        </w:rPr>
        <w:t xml:space="preserve">Attribution Management — The VBC-Specific Revenue Function</w:t>
      </w:r>
      <w:bookmarkEnd w:id="1332"/>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Sources: HTR’s Operations pillar framework; ACO REACH and MSSP operational guidance.</w:t>
      </w:r>
    </w:p>
    <w:p>
      <w:pPr>
        <w:pStyle w:val="Heading3"/>
      </w:pPr>
      <w:r>
        <w:rPr>
          <w:color w:val="161B22"/>
        </w:rPr>
        <w:t xml:space="preserve">11.11.2  </w:t>
      </w:r>
      <w:bookmarkStart w:id="1333" w:name="_Toc1332"/>
      <w:r>
        <w:rPr>
          <w:b/>
          <w:bCs/>
          <w:color w:val="161B22"/>
        </w:rPr>
        <w:t xml:space="preserve">Total Cost of Care Monitoring — Seeing What You Cannot Bill</w:t>
      </w:r>
      <w:bookmarkEnd w:id="1333"/>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11.12  </w:t>
      </w:r>
      <w:bookmarkStart w:id="1334" w:name="_Toc1333"/>
      <w:r>
        <w:rPr>
          <w:b/>
          <w:bCs/>
          <w:color w:val="161B22"/>
        </w:rPr>
        <w:t xml:space="preserve">HCC Coding Excellence — The Risk Adjustment Foundation</w:t>
      </w:r>
      <w:bookmarkEnd w:id="1334"/>
    </w:p>
    <w:p>
      <w:pPr>
        <w:pStyle w:val="Heading3"/>
      </w:pPr>
      <w:r>
        <w:rPr>
          <w:color w:val="161B22"/>
        </w:rPr>
        <w:t xml:space="preserve">11.12.1  </w:t>
      </w:r>
      <w:bookmarkStart w:id="1335" w:name="_Toc1334"/>
      <w:r>
        <w:rPr>
          <w:b/>
          <w:bCs/>
          <w:color w:val="161B22"/>
        </w:rPr>
        <w:t xml:space="preserve">HCC Gap Closure: High-ROI Pre-AHEAD Action for Every Vermont Hospital</w:t>
      </w:r>
      <w:bookmarkEnd w:id="1335"/>
    </w:p>
    <w:p>
      <w:pPr>
        <w:pStyle w:val="FirstParagraph"/>
      </w:pPr>
      <w:r>
        <w:t xml:space="preserve">Every Vermont hospital should conduct a retrospective HCC gap analysis for their attributed Medicare population before Act 68 global budgets take effect in FY2028.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global budgets take effect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11.12.2  </w:t>
      </w:r>
      <w:bookmarkStart w:id="1336" w:name="_Toc1335"/>
      <w:r>
        <w:rPr>
          <w:b/>
          <w:bCs/>
          <w:color w:val="161B22"/>
        </w:rPr>
        <w:t xml:space="preserve">The HCC Model — How It Works</w:t>
      </w:r>
      <w:bookmarkEnd w:id="1336"/>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11.12.3  </w:t>
      </w:r>
      <w:bookmarkStart w:id="1337" w:name="_Toc1336"/>
      <w:r>
        <w:rPr>
          <w:b/>
          <w:bCs/>
          <w:color w:val="161B22"/>
        </w:rPr>
        <w:t xml:space="preserve">The HCC Gap Closure Process</w:t>
      </w:r>
      <w:bookmarkEnd w:id="1337"/>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numPr>
          <w:ilvl w:val="0"/>
          <w:numId w:val="1026"/>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numPr>
          <w:ilvl w:val="0"/>
          <w:numId w:val="1026"/>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numPr>
          <w:ilvl w:val="0"/>
          <w:numId w:val="1026"/>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numPr>
          <w:ilvl w:val="0"/>
          <w:numId w:val="1026"/>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p>
        </w:tc>
      </w:tr>
    </w:tbl>
    <w:p>
      <w:pPr>
        <w:spacing w:after="120" w:line="240" w:lineRule="auto"/>
        <w:rPr>
          <w:sz w:val="16"/>
        </w:rPr>
      </w:pPr>
    </w:p>
    <w:p>
      <w:pPr>
        <w:pStyle w:val="Heading2"/>
        <w:pBdr>
          <w:top w:val="single" w:sz="6" w:space="10" w:color="C9D2DF"/>
        </w:pBdr>
      </w:pPr>
      <w:r>
        <w:rPr>
          <w:color w:val="161B22"/>
        </w:rPr>
        <w:t xml:space="preserve">11.13  </w:t>
      </w:r>
      <w:bookmarkStart w:id="1338" w:name="_Toc1337"/>
      <w:r>
        <w:rPr>
          <w:b/>
          <w:bCs/>
          <w:color w:val="161B22"/>
        </w:rPr>
        <w:t xml:space="preserve">Credentialing Efficiency — The Hidden Operations Bottleneck</w:t>
      </w:r>
      <w:bookmarkEnd w:id="1338"/>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11.13.1  </w:t>
      </w:r>
      <w:bookmarkStart w:id="1339" w:name="_Toc1338"/>
      <w:r>
        <w:rPr>
          <w:b/>
          <w:bCs/>
          <w:color w:val="161B22"/>
        </w:rPr>
        <w:t xml:space="preserve">Credentialing as a Transformation Bottleneck</w:t>
      </w:r>
      <w:bookmarkEnd w:id="1339"/>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11.13.2  </w:t>
      </w:r>
      <w:bookmarkStart w:id="1340" w:name="_Toc1339"/>
      <w:r>
        <w:rPr>
          <w:b/>
          <w:bCs/>
          <w:color w:val="161B22"/>
        </w:rPr>
        <w:t xml:space="preserve">The Credentialing Efficiency Framework</w:t>
      </w:r>
      <w:bookmarkEnd w:id="1340"/>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11.14  </w:t>
      </w:r>
      <w:bookmarkStart w:id="1341" w:name="_Toc1340"/>
      <w:r>
        <w:rPr>
          <w:b/>
          <w:bCs/>
          <w:color w:val="161B22"/>
        </w:rPr>
        <w:t xml:space="preserve">Workforce Operations — Managing the Care Team in a Transformed System</w:t>
      </w:r>
      <w:bookmarkEnd w:id="1341"/>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11.14.1  </w:t>
      </w:r>
      <w:bookmarkStart w:id="1342" w:name="_Toc1341"/>
      <w:r>
        <w:rPr>
          <w:b/>
          <w:bCs/>
          <w:color w:val="161B22"/>
        </w:rPr>
        <w:t xml:space="preserve">The Workforce Supply Challenge — What Can Actually Be Done</w:t>
      </w:r>
      <w:bookmarkEnd w:id="1342"/>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11.14.2  </w:t>
      </w:r>
      <w:bookmarkStart w:id="1343" w:name="_Toc1342"/>
      <w:r>
        <w:rPr>
          <w:b/>
          <w:bCs/>
          <w:color w:val="161B22"/>
        </w:rPr>
        <w:t xml:space="preserve">Workforce Deployment — Team-Based Care at Scale</w:t>
      </w:r>
      <w:bookmarkEnd w:id="1343"/>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11.14.3  </w:t>
      </w:r>
      <w:bookmarkStart w:id="1344" w:name="_Toc1343"/>
      <w:r>
        <w:rPr>
          <w:b/>
          <w:bCs/>
          <w:color w:val="161B22"/>
        </w:rPr>
        <w:t xml:space="preserve">Workforce Retention — The Math of Turnover</w:t>
      </w:r>
      <w:bookmarkEnd w:id="1344"/>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11.15  </w:t>
      </w:r>
      <w:bookmarkStart w:id="1345" w:name="_Toc1344"/>
      <w:r>
        <w:rPr>
          <w:b/>
          <w:bCs/>
          <w:color w:val="161B22"/>
        </w:rPr>
        <w:t xml:space="preserve">Administrative Simplification — The Vermont Agenda</w:t>
      </w:r>
      <w:bookmarkEnd w:id="1345"/>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11.15.1  </w:t>
      </w:r>
      <w:bookmarkStart w:id="1346" w:name="_Toc1345"/>
      <w:r>
        <w:rPr>
          <w:b/>
          <w:bCs/>
          <w:color w:val="161B22"/>
        </w:rPr>
        <w:t xml:space="preserve">The Vermont Administrative Simplification Priorities</w:t>
      </w:r>
      <w:bookmarkEnd w:id="1346"/>
    </w:p>
    <w:p>
      <w:pPr>
        <w:pStyle w:val="FirstParagraph"/>
      </w:pPr>
      <w:r>
        <w:t xml:space="preserve">AHS and GMCB have identified three administrative simplification priorities that must be addressed in the Statewide Strategic Plan:</w:t>
      </w:r>
    </w:p>
    <w:p>
      <w:pPr>
        <w:numPr>
          <w:ilvl w:val="0"/>
          <w:numId w:val="1027"/>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numPr>
          <w:ilvl w:val="0"/>
          <w:numId w:val="1027"/>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numPr>
          <w:ilvl w:val="0"/>
          <w:numId w:val="1027"/>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11.16  </w:t>
      </w:r>
      <w:bookmarkStart w:id="1347" w:name="_Toc1346"/>
      <w:r>
        <w:rPr>
          <w:b/>
          <w:bCs/>
          <w:color w:val="161B22"/>
        </w:rPr>
        <w:t xml:space="preserve">Operations Pillar Implementation Matrix</w:t>
      </w:r>
      <w:bookmarkEnd w:id="1347"/>
    </w:p>
    <w:p>
      <w:pPr>
        <w:pStyle w:val="FirstParagraph"/>
        <w:keepNext w:val="false"/>
      </w:pPr>
      <w: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Caption"/>
        <w:spacing w:before="120"/>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keepNext w:val="false"/>
      </w:pPr>
      <w:r>
        <w:rPr>
          <w:color w:val="161B22"/>
        </w:rPr>
        <w:t xml:space="preserve">11.17  </w:t>
      </w:r>
      <w:bookmarkStart w:id="1348" w:name="_Toc1347"/>
      <w:r>
        <w:rPr>
          <w:b/>
          <w:bCs/>
          <w:color w:val="161B22"/>
        </w:rPr>
        <w:t xml:space="preserve">Work This Chapter on the Platform</w:t>
      </w:r>
      <w:bookmarkEnd w:id="1348"/>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Track five-pillar transformation status against baseline and target</w:t>
            </w:r>
          </w:p>
        </w:tc>
        <w:tc>
          <w:tcPr>
            <w:tcW w:w="2736"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3" w:type="dxa"/>
          </w:tcPr>
          <w:p>
            <w:pPr>
              <w:pStyle w:val="Compact"/>
              <w:jc w:val="left"/>
            </w:pPr>
            <w:r>
              <w:rPr>
                <w:sz w:val="18"/>
              </w:rPr>
              <w:t xml:space="preserve">Whether operational capacity is keeping pace with the statutory execution timeline.</w:t>
            </w:r>
          </w:p>
        </w:tc>
      </w:tr>
      <w:tr>
        <w:trPr/>
        <w:tc>
          <w:tcPr>
            <w:tcW w:w="3312" w:type="dxa"/>
          </w:tcPr>
          <w:p>
            <w:pPr>
              <w:pStyle w:val="Compact"/>
              <w:jc w:val="left"/>
            </w:pPr>
            <w:r>
              <w:rPr>
                <w:sz w:val="18"/>
              </w:rPr>
              <w:t xml:space="preserve">Project physician and nurse supply/demand and the cost of turnover</w:t>
            </w:r>
          </w:p>
        </w:tc>
        <w:tc>
          <w:tcPr>
            <w:tcW w:w="2736"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3" w:type="dxa"/>
          </w:tcPr>
          <w:p>
            <w:pPr>
              <w:pStyle w:val="Compact"/>
              <w:jc w:val="left"/>
            </w:pPr>
            <w:r>
              <w:rPr>
                <w:sz w:val="18"/>
              </w:rPr>
              <w:t xml:space="preserve">The workforce gap that the $1,303 per-discharge administrative-cost gap must fund closing.</w:t>
            </w:r>
          </w:p>
        </w:tc>
      </w:tr>
      <w:tr>
        <w:trPr/>
        <w:tc>
          <w:tcPr>
            <w:tcW w:w="3312" w:type="dxa"/>
          </w:tcPr>
          <w:p>
            <w:pPr>
              <w:pStyle w:val="Compact"/>
              <w:jc w:val="left"/>
            </w:pPr>
            <w:r>
              <w:rPr>
                <w:sz w:val="18"/>
              </w:rPr>
              <w:t xml:space="preserve">Model the RHT-funded CIN’s shared services against the $1,303/discharge administrative premium</w:t>
            </w:r>
          </w:p>
        </w:tc>
        <w:tc>
          <w:tcPr>
            <w:tcW w:w="2736"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3" w:type="dxa"/>
          </w:tcPr>
          <w:p>
            <w:pPr>
              <w:pStyle w:val="Compact"/>
              <w:jc w:val="left"/>
            </w:pPr>
            <w:r>
              <w:rPr>
                <w:sz w:val="18"/>
              </w:rPr>
              <w:t xml:space="preserve">Where consolidating billing, coding, credentialing, HR, and IT across the 14 hospitals reaches the scale that pays for itself.</w:t>
            </w:r>
          </w:p>
        </w:tc>
      </w:tr>
      <w:tr>
        <w:trPr/>
        <w:tc>
          <w:tcPr>
            <w:tcW w:w="3312" w:type="dxa"/>
          </w:tcPr>
          <w:p>
            <w:pPr>
              <w:pStyle w:val="Compact"/>
              <w:jc w:val="left"/>
            </w:pPr>
            <w:r>
              <w:rPr>
                <w:sz w:val="18"/>
              </w:rPr>
              <w:t xml:space="preserve">Model regionalizing Vermont’s 31 EMS agencies and community-paramedicine ED diversion</w:t>
            </w:r>
          </w:p>
        </w:tc>
        <w:tc>
          <w:tcPr>
            <w:tcW w:w="2736"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3" w:type="dxa"/>
          </w:tcPr>
          <w:p>
            <w:pPr>
              <w:pStyle w:val="Compact"/>
              <w:jc w:val="left"/>
            </w:pPr>
            <w:r>
              <w:rPr>
                <w:sz w:val="18"/>
              </w:rPr>
              <w:t xml:space="preserve">How treat-and-refer and regionalization convert fragmentation into margin under global budgets.</w:t>
            </w:r>
          </w:p>
        </w:tc>
      </w:tr>
      <w:tr>
        <w:trPr>
          <w:cantSplit/>
        </w:trPr>
        <w:tc>
          <w:tcPr>
            <w:tcW w:w="3312" w:type="dxa"/>
          </w:tcPr>
          <w:p>
            <w:pPr>
              <w:pStyle w:val="Compact"/>
              <w:jc w:val="left"/>
            </w:pPr>
            <w:r>
              <w:rPr>
                <w:sz w:val="18"/>
              </w:rPr>
              <w:t xml:space="preserve">Stress-test a hospital’s finances through the transition years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11.10 — Hands-on platform tools for the Operations Pillar.</w:t>
      </w:r>
    </w:p>
    <w:p>
      <w:pPr>
        <w:pStyle w:val="Heading2"/>
        <w:pBdr>
          <w:top w:val="single" w:sz="6" w:space="10" w:color="C9D2DF"/>
        </w:pBdr>
      </w:pPr>
      <w:r>
        <w:rPr>
          <w:color w:val="161B22"/>
        </w:rPr>
        <w:t xml:space="preserve">11.18  </w:t>
      </w:r>
      <w:bookmarkStart w:id="1349" w:name="_Toc1348"/>
      <w:r>
        <w:rPr>
          <w:b/>
          <w:bCs/>
          <w:color w:val="161B22"/>
        </w:rPr>
        <w:t xml:space="preserve">Implications for You</w:t>
      </w:r>
      <w:bookmarkEnd w:id="1349"/>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Heading2"/>
        <w:pBdr>
          <w:top w:val="single" w:sz="6" w:space="10" w:color="C9D2DF"/>
        </w:pBdr>
      </w:pPr>
      <w:r>
        <w:rPr>
          <w:color w:val="161B22"/>
        </w:rPr>
        <w:t xml:space="preserve">11.19  </w:t>
      </w:r>
      <w:bookmarkStart w:id="1350" w:name="_Toc1349"/>
      <w:r>
        <w:rPr>
          <w:b/>
          <w:bCs/>
          <w:color w:val="161B22"/>
        </w:rPr>
        <w:t xml:space="preserve">Key Concepts in This Chapter</w:t>
      </w:r>
      <w:bookmarkEnd w:id="1350"/>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t xml:space="preserve"> </w:t>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t xml:space="preserve"> </w:t>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t xml:space="preserve"> </w:t>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t xml:space="preserve"> </w:t>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t xml:space="preserve"> </w:t>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t xml:space="preserve"> </w:t>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t xml:space="preserve"> </w:t>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1" w:name="_Toc1350"/>
      <w:r>
        <w:rPr>
          <w:b/>
          <w:bCs/>
          <w:color w:val="161B22"/>
        </w:rPr>
        <w:t xml:space="preserve">Chapter 12: Infrastructure for Knowledge Transfer and Implementation</w:t>
      </w:r>
      <w:bookmarkEnd w:id="1351"/>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FirstParagraph"/>
      </w:pPr>
      <w: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2" w:name="_Toc1351"/>
      <w:r>
        <w:rPr>
          <w:b/>
          <w:bCs/>
          <w:color w:val="161B22"/>
        </w:rPr>
        <w:t xml:space="preserve">The Gap Between Understanding and Doing</w:t>
      </w:r>
      <w:bookmarkEnd w:id="1352"/>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3" w:name="_Toc1352"/>
      <w:r>
        <w:rPr>
          <w:b/>
          <w:bCs/>
          <w:color w:val="161B22"/>
        </w:rPr>
        <w:t xml:space="preserve">The Knowledge and Implementation Infrastructure</w:t>
      </w:r>
      <w:bookmarkEnd w:id="1353"/>
    </w:p>
    <w:p>
      <w:pPr>
        <w:pStyle w:val="Heading3"/>
      </w:pPr>
      <w:r>
        <w:rPr>
          <w:color w:val="161B22"/>
        </w:rPr>
        <w:t xml:space="preserve">12.2.1  </w:t>
      </w:r>
      <w:bookmarkStart w:id="1354" w:name="_Toc1353"/>
      <w:r>
        <w:rPr>
          <w:b/>
          <w:bCs/>
          <w:color w:val="161B22"/>
        </w:rPr>
        <w:t xml:space="preserve">The HTR Platform — Four Components</w:t>
      </w:r>
      <w:bookmarkEnd w:id="1354"/>
    </w:p>
    <w:p>
      <w:pPr>
        <w:numPr>
          <w:ilvl w:val="0"/>
          <w:numId w:val="1028"/>
        </w:numPr>
        <w:keepLines w:val="true"/>
        <w:keepNext w:val="true"/>
      </w:pPr>
      <w:r>
        <w:t xml:space="preserve">THE WIRE — Real-time intelligence at healthtransformationreview.org/the-wire across all five pillars. Convergence Newsletter (free weekly) for Observer subscribers.</w:t>
      </w:r>
    </w:p>
    <w:p>
      <w:pPr>
        <w:numPr>
          <w:ilvl w:val="0"/>
          <w:numId w:val="1028"/>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numPr>
          <w:ilvl w:val="0"/>
          <w:numId w:val="1028"/>
        </w:numPr>
        <w:keepLines w:val="true"/>
        <w:keepNext w:val="true"/>
      </w:pPr>
      <w:r>
        <w:t xml:space="preserve">HTR ACADEMY — Structured curriculum at healthtransformationreview.org/academy. Foundation and advanced courses in APM mechanics, HEDIS, and transformation leadership.</w:t>
      </w:r>
    </w:p>
    <w:p>
      <w:pPr>
        <w:numPr>
          <w:ilvl w:val="0"/>
          <w:numId w:val="1028"/>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5" w:name="_Toc1354"/>
      <w:r>
        <w:rPr>
          <w:b/>
          <w:bCs/>
          <w:color w:val="161B22"/>
        </w:rPr>
        <w:t xml:space="preserve">Four Components of the HTR Platform</w:t>
      </w:r>
      <w:bookmarkEnd w:id="1355"/>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and Operations developments — curated, analyzed, and contextualized against the five-pillar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6" w:name="_Toc1355"/>
      <w:r>
        <w:rPr>
          <w:b/>
          <w:bCs/>
          <w:color w:val="161B22"/>
        </w:rPr>
        <w:t xml:space="preserve">The Transformation Advisory Domains — Structured for the Five Pillars</w:t>
      </w:r>
      <w:bookmarkEnd w:id="1356"/>
    </w:p>
    <w:p>
      <w:pPr>
        <w:pStyle w:val="FirstParagraph"/>
      </w:pPr>
      <w:r>
        <w:t xml:space="preserve">HTR Advisory engagements are organized around the five-pillar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7" w:name="_Toc1356"/>
      <w:r>
        <w:rPr>
          <w:b/>
          <w:bCs/>
          <w:color w:val="161B22"/>
        </w:rPr>
        <w:t xml:space="preserve">Policy Strategy</w:t>
      </w:r>
      <w:bookmarkEnd w:id="1357"/>
    </w:p>
    <w:p>
      <w:pPr>
        <w:pStyle w:val="FirstParagraph"/>
      </w:pPr>
      <w:r>
        <w:t xml:space="preserve">The Policy Strategy service line addresses the federal and state policy landscape that healthcare organizations must navigate. The typical engagement follows a three-phase structure:</w:t>
      </w:r>
    </w:p>
    <w:p>
      <w:pPr>
        <w:numPr>
          <w:ilvl w:val="0"/>
          <w:numId w:val="1029"/>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numPr>
          <w:ilvl w:val="0"/>
          <w:numId w:val="1029"/>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numPr>
          <w:ilvl w:val="0"/>
          <w:numId w:val="1029"/>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8" w:name="_Toc1357"/>
      <w:r>
        <w:rPr>
          <w:b/>
          <w:bCs/>
          <w:color w:val="161B22"/>
        </w:rPr>
        <w:t xml:space="preserve">VBC Economics</w:t>
      </w:r>
      <w:bookmarkEnd w:id="1358"/>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9" w:name="_Toc1358"/>
      <w:r>
        <w:rPr>
          <w:b/>
          <w:bCs/>
          <w:color w:val="161B22"/>
        </w:rPr>
        <w:t xml:space="preserve">Health Equity Practice</w:t>
      </w:r>
      <w:bookmarkEnd w:id="1359"/>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0" w:name="_Toc1359"/>
      <w:r>
        <w:rPr>
          <w:b/>
          <w:bCs/>
          <w:color w:val="161B22"/>
        </w:rPr>
        <w:t xml:space="preserve">Technology Strategy</w:t>
      </w:r>
      <w:bookmarkEnd w:id="1360"/>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1" w:name="_Toc1360"/>
      <w:r>
        <w:rPr>
          <w:b/>
          <w:bCs/>
          <w:color w:val="161B22"/>
        </w:rPr>
        <w:t xml:space="preserve">Transformation Management</w:t>
      </w:r>
      <w:bookmarkEnd w:id="1361"/>
    </w:p>
    <w:p>
      <w:pPr>
        <w:pStyle w:val="FirstParagraph"/>
      </w:pPr>
      <w: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2" w:name="_Toc1361"/>
      <w:r>
        <w:rPr>
          <w:b/>
          <w:bCs/>
          <w:color w:val="161B22"/>
        </w:rPr>
        <w:t xml:space="preserve">The Change Management Science Behind Healthcare Transformation</w:t>
      </w:r>
      <w:bookmarkEnd w:id="1362"/>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3" w:name="_Toc1362"/>
      <w:r>
        <w:rPr>
          <w:b/>
          <w:bCs/>
          <w:color w:val="161B22"/>
        </w:rPr>
        <w:t xml:space="preserve">Kotter’s Framework Applied to Healthcare Transformation</w:t>
      </w:r>
      <w:bookmarkEnd w:id="1363"/>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2"/>
        <w:gridCol w:w="2629"/>
        <w:gridCol w:w="2629"/>
        <w:gridCol w:w="2629"/>
      </w:tblGrid>
      <w:tr>
        <w:trPr>
          <w:tblHeader w:val="on"/>
          <w:cantSplit/>
        </w:trPr>
        <w:tc>
          <w:tcPr>
            <w:shd w:val="clear" w:color="auto" w:fill="1B3A6B"/>
            <w:tcW w:w="1182"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2"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2"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2"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2"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2"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2"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2"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2"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Sources: HTR Advisory methodology; Kotter (1996); Vermont transformation documentation.</w:t>
      </w:r>
    </w:p>
    <w:p>
      <w:pPr>
        <w:pStyle w:val="Heading3"/>
      </w:pPr>
      <w:r>
        <w:rPr>
          <w:color w:val="161B22"/>
        </w:rPr>
        <w:t xml:space="preserve">12.4.2  </w:t>
      </w:r>
      <w:bookmarkStart w:id="1364" w:name="_Toc1363"/>
      <w:r>
        <w:rPr>
          <w:b/>
          <w:bCs/>
          <w:color w:val="161B22"/>
        </w:rPr>
        <w:t xml:space="preserve">The Transformation Pace Problem</w:t>
      </w:r>
      <w:bookmarkEnd w:id="1364"/>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5" w:name="_Toc1364"/>
      <w:r>
        <w:rPr>
          <w:b/>
          <w:bCs/>
          <w:color w:val="161B22"/>
        </w:rPr>
        <w:t xml:space="preserve">The HTR Implementation Toolkit</w:t>
      </w:r>
      <w:bookmarkEnd w:id="1365"/>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five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6" w:name="_Toc1365"/>
      <w:r>
        <w:rPr>
          <w:b/>
          <w:bCs/>
          <w:color w:val="161B22"/>
        </w:rPr>
        <w:t xml:space="preserve">A Framework for Selecting Advisory Support</w:t>
      </w:r>
      <w:bookmarkEnd w:id="1366"/>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7" w:name="_Toc1366"/>
      <w:r>
        <w:rPr>
          <w:b/>
          <w:bCs/>
          <w:color w:val="161B22"/>
        </w:rPr>
        <w:t xml:space="preserve">The Role of External Technical Assistance in State-Level Transformation</w:t>
      </w:r>
      <w:bookmarkEnd w:id="1367"/>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68" w:name="_Toc1367"/>
      <w:r>
        <w:rPr>
          <w:b/>
          <w:bCs/>
          <w:color w:val="161B22"/>
        </w:rPr>
        <w:t xml:space="preserve">Work This Chapter on the Platform</w:t>
      </w:r>
      <w:bookmarkEnd w:id="1368"/>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Search the evidence base behind a claim before you cite it in your own work</w:t>
            </w:r>
          </w:p>
        </w:tc>
        <w:tc>
          <w:tcPr>
            <w:tcW w:w="2736" w:type="dxa"/>
          </w:tcPr>
          <w:p>
            <w:pPr>
              <w:pStyle w:val="Compact"/>
              <w:jc w:val="left"/>
            </w:pPr>
            <w:hyperlink r:id="rId401">
              <w:r>
                <w:rPr>
                  <w:rStyle w:val="Hyperlink"/>
                  <w:b/>
                  <w:bCs/>
                </w:rPr>
                <w:t xml:space="preserve">Evidence Library</w:t>
              </w:r>
            </w:hyperlink>
          </w:p>
        </w:tc>
        <w:tc>
          <w:tcPr>
            <w:tcW w:w="3023"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3312" w:type="dxa"/>
          </w:tcPr>
          <w:p>
            <w:pPr>
              <w:pStyle w:val="Compact"/>
              <w:jc w:val="left"/>
            </w:pPr>
            <w:r>
              <w:rPr>
                <w:sz w:val="18"/>
              </w:rPr>
              <w:t xml:space="preserve">Assemble your own analysis using the book’s frameworks rather than reading someone else’s</w:t>
            </w:r>
          </w:p>
        </w:tc>
        <w:tc>
          <w:tcPr>
            <w:tcW w:w="2736" w:type="dxa"/>
          </w:tcPr>
          <w:p>
            <w:pPr>
              <w:pStyle w:val="Compact"/>
              <w:jc w:val="left"/>
            </w:pPr>
            <w:hyperlink r:id="rId402">
              <w:r>
                <w:rPr>
                  <w:rStyle w:val="Hyperlink"/>
                  <w:b/>
                  <w:bCs/>
                </w:rPr>
                <w:t xml:space="preserve">Research Workspace</w:t>
              </w:r>
            </w:hyperlink>
          </w:p>
        </w:tc>
        <w:tc>
          <w:tcPr>
            <w:tcW w:w="3023" w:type="dxa"/>
          </w:tcPr>
          <w:p>
            <w:pPr>
              <w:pStyle w:val="Compact"/>
              <w:jc w:val="left"/>
            </w:pPr>
            <w:r>
              <w:rPr>
                <w:sz w:val="18"/>
              </w:rPr>
              <w:t xml:space="preserve">How quickly a framework you understood abstractly becomes concrete once you supply your own organization’s numbers.</w:t>
            </w:r>
          </w:p>
        </w:tc>
      </w:tr>
      <w:tr>
        <w:trPr>
          <w:cantSplit/>
        </w:trPr>
        <w:tc>
          <w:tcPr>
            <w:tcW w:w="3312" w:type="dxa"/>
          </w:tcPr>
          <w:p>
            <w:pPr>
              <w:pStyle w:val="Compact"/>
              <w:jc w:val="left"/>
            </w:pPr>
            <w:r>
              <w:rPr>
                <w:sz w:val="18"/>
              </w:rPr>
              <w:t xml:space="preserve">Ask a question in plain language and get routed to the framework, chapter, and tool that answer it</w:t>
            </w:r>
          </w:p>
        </w:tc>
        <w:tc>
          <w:tcPr>
            <w:tcW w:w="2736" w:type="dxa"/>
          </w:tcPr>
          <w:p>
            <w:pPr>
              <w:pStyle w:val="Compact"/>
              <w:jc w:val="left"/>
            </w:pPr>
            <w:hyperlink r:id="rId24">
              <w:r>
                <w:rPr>
                  <w:rStyle w:val="Hyperlink"/>
                  <w:b/>
                  <w:bCs/>
                </w:rPr>
                <w:t xml:space="preserve">AI Analyst</w:t>
              </w:r>
            </w:hyperlink>
          </w:p>
        </w:tc>
        <w:tc>
          <w:tcPr>
            <w:tcW w:w="3023"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12.4 — Hands-on platform tools for Chapter 12: turning knowledge into implementation.</w:t>
      </w:r>
    </w:p>
    <w:p>
      <w:pPr>
        <w:pStyle w:val="Heading2"/>
        <w:pBdr>
          <w:top w:val="single" w:sz="6" w:space="10" w:color="C9D2DF"/>
        </w:pBdr>
      </w:pPr>
      <w:r>
        <w:rPr>
          <w:color w:val="161B22"/>
        </w:rPr>
        <w:t xml:space="preserve">12.9  </w:t>
      </w:r>
      <w:bookmarkStart w:id="1369" w:name="_Toc1368"/>
      <w:r>
        <w:rPr>
          <w:b/>
          <w:bCs/>
          <w:color w:val="161B22"/>
        </w:rPr>
        <w:t xml:space="preserve">Implications for You</w:t>
      </w:r>
      <w:bookmarkEnd w:id="1369"/>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five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0" w:name="_Toc1369"/>
      <w:r>
        <w:rPr>
          <w:b/>
          <w:bCs/>
          <w:color w:val="161B22"/>
        </w:rPr>
        <w:t xml:space="preserve">Key Concepts in This Chapter</w:t>
      </w:r>
      <w:bookmarkEnd w:id="1370"/>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five-pillar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t xml:space="preserve"> </w:t>
      </w:r>
      <w:r>
        <w:rPr>
          <w:rFonts w:ascii="Calibri" w:hAnsi="Calibri"/>
          <w:color w:val="000000"/>
          <w:sz w:val="18"/>
        </w:rPr>
        <w:t xml:space="preserve">The suite of analytical tools implementing the five-pillar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t xml:space="preserve"> </w:t>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t xml:space="preserve"> </w:t>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t xml:space="preserve"> </w:t>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t xml:space="preserve"> </w:t>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t xml:space="preserve"> </w:t>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1" w:name="_Toc1370"/>
      <w:r>
        <w:rPr>
          <w:b/>
          <w:bCs/>
          <w:color w:val="161B22"/>
        </w:rPr>
        <w:t xml:space="preserve">Chapter 13: The Future of Healthcare Transformation — 2026, What Vermont Proves, and What Remains</w:t>
      </w:r>
      <w:bookmarkEnd w:id="1371"/>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FirstParagraph"/>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2" w:name="_Toc1371"/>
      <w:r>
        <w:rPr>
          <w:b/>
          <w:bCs/>
          <w:color w:val="161B22"/>
        </w:rPr>
        <w:t xml:space="preserve">Vermont Transformation Scorecard: Five-Pillar Status, April 2026</w:t>
      </w:r>
      <w:bookmarkEnd w:id="1372"/>
    </w:p>
    <w:p>
      <w:pPr>
        <w:pStyle w:val="FirstParagraph"/>
        <w:keepNext w:val="false"/>
      </w:pPr>
      <w: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3" w:name="_Toc1372"/>
      <w:r>
        <w:rPr>
          <w:b/>
          <w:bCs/>
          <w:color w:val="161B22"/>
        </w:rPr>
        <w:t xml:space="preserve">Where the System Stands in April 2026 — A Necessary Update</w:t>
      </w:r>
      <w:bookmarkEnd w:id="1373"/>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4" w:name="_Toc1373"/>
      <w:r>
        <w:rPr>
          <w:b/>
          <w:bCs/>
          <w:color w:val="161B22"/>
        </w:rPr>
        <w:t xml:space="preserve">Five Forces Shaping the Next Decade</w:t>
      </w:r>
      <w:bookmarkEnd w:id="1374"/>
    </w:p>
    <w:p>
      <w:pPr>
        <w:pStyle w:val="Heading3"/>
      </w:pPr>
      <w:r>
        <w:rPr>
          <w:color w:val="161B22"/>
        </w:rPr>
        <w:t xml:space="preserve">13.3.1  </w:t>
      </w:r>
      <w:bookmarkStart w:id="1375" w:name="_Toc1374"/>
      <w:r>
        <w:rPr>
          <w:b/>
          <w:bCs/>
          <w:color w:val="161B22"/>
        </w:rPr>
        <w:t xml:space="preserve">Force 1: The Medicaid–RHT Tension — the Defining Policy Dynamic</w:t>
      </w:r>
      <w:bookmarkEnd w:id="1375"/>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6" w:name="_Toc1375"/>
      <w:r>
        <w:rPr>
          <w:b/>
          <w:bCs/>
          <w:color w:val="161B22"/>
        </w:rPr>
        <w:t xml:space="preserve">Force 2: AI Clinical Transformation — Accelerating Faster Than Governance</w:t>
      </w:r>
      <w:bookmarkEnd w:id="1376"/>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7" w:name="_Toc1376"/>
      <w:r>
        <w:rPr>
          <w:b/>
          <w:bCs/>
          <w:color w:val="161B22"/>
        </w:rPr>
        <w:t xml:space="preserve">Force 3: The Demographic Reckoning — No Longer a Future Problem</w:t>
      </w:r>
      <w:bookmarkEnd w:id="1377"/>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8" w:name="_Toc1377"/>
      <w:r>
        <w:rPr>
          <w:b/>
          <w:bCs/>
          <w:color w:val="161B22"/>
        </w:rPr>
        <w:t xml:space="preserve">Force 4: The Drug-Pricing Reckoning — Complexity Compounding</w:t>
      </w:r>
      <w:bookmarkEnd w:id="1378"/>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9" w:name="_Toc1378"/>
      <w:r>
        <w:rPr>
          <w:b/>
          <w:bCs/>
          <w:color w:val="161B22"/>
        </w:rPr>
        <w:t xml:space="preserve">Force 5: The Value-Based-Care Tipping Point — Still Approaching</w:t>
      </w:r>
      <w:bookmarkEnd w:id="1379"/>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Connecticut, Hawaii, Rhode Island, and New York’s Cohort 2 and 3 participation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 with Vermont’s experience as its clearest warning so far.</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line="240" w:lineRule="auto"/>
        <w:rPr>
          <w:sz w:val="16"/>
        </w:rPr>
        <w:keepNext w:val="false"/>
      </w:pPr>
    </w:p>
    <w:p>
      <w:pPr>
        <w:pStyle w:val="Heading2"/>
        <w:pBdr>
          <w:top w:val="single" w:sz="6" w:space="10" w:color="C9D2DF"/>
        </w:pBdr>
        <w:keepNext w:val="false"/>
      </w:pPr>
      <w:r>
        <w:rPr>
          <w:color w:val="161B22"/>
        </w:rPr>
        <w:t xml:space="preserve">13.4  </w:t>
      </w:r>
      <w:bookmarkStart w:id="1380" w:name="_Toc1379"/>
      <w:r>
        <w:rPr>
          <w:b/>
          <w:bCs/>
          <w:color w:val="161B22"/>
        </w:rPr>
        <w:t xml:space="preserve">The Five-Pillar Forecast: 2026–2035</w:t>
      </w:r>
      <w:bookmarkEnd w:id="1380"/>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2026 starting point</w:t>
            </w:r>
          </w:p>
        </w:tc>
        <w:tc>
          <w:tcPr>
            <w:shd w:val="clear" w:color="auto" w:fill="1B3A6B"/>
            <w:tcW w:w="2177" w:type="dxa"/>
          </w:tcPr>
          <w:p>
            <w:pPr>
              <w:pStyle w:val="Compact"/>
              <w:jc w:val="left"/>
            </w:pPr>
            <w:r>
              <w:rPr>
                <w:b/>
                <w:color w:val="FFFFFF"/>
                <w:sz w:val="18"/>
              </w:rPr>
              <w:t xml:space="preserve">Primary headwinds</w:t>
            </w:r>
          </w:p>
        </w:tc>
        <w:tc>
          <w:tcPr>
            <w:shd w:val="clear" w:color="auto" w:fill="1B3A6B"/>
            <w:tcW w:w="2177" w:type="dxa"/>
          </w:tcPr>
          <w:p>
            <w:pPr>
              <w:pStyle w:val="Compact"/>
              <w:jc w:val="left"/>
            </w:pPr>
            <w:r>
              <w:rPr>
                <w:b/>
                <w:color w:val="FFFFFF"/>
                <w:sz w:val="18"/>
              </w:rPr>
              <w:t xml:space="preserve">Primary tailwinds</w:t>
            </w:r>
          </w:p>
        </w:tc>
        <w:tc>
          <w:tcPr>
            <w:shd w:val="clear" w:color="auto" w:fill="1B3A6B"/>
            <w:tcW w:w="2177" w:type="dxa"/>
          </w:tcPr>
          <w:p>
            <w:pPr>
              <w:pStyle w:val="Compact"/>
              <w:jc w:val="left"/>
            </w:pPr>
            <w:r>
              <w:rPr>
                <w:b/>
                <w:color w:val="FFFFFF"/>
                <w:sz w:val="18"/>
              </w:rPr>
              <w:t xml:space="preserve">2035 assessment</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VT: Acts 167/68/AHEAD form the most complete state reform mandate in the country. National: H.R. 1 Medicaid cuts; RHT front-loaded.</w:t>
            </w:r>
          </w:p>
        </w:tc>
        <w:tc>
          <w:tcPr>
            <w:tcW w:w="2177" w:type="dxa"/>
          </w:tcPr>
          <w:p>
            <w:pPr>
              <w:pStyle w:val="Compact"/>
              <w:jc w:val="left"/>
            </w:pPr>
            <w:r>
              <w:rPr>
                <w:sz w:val="18"/>
              </w:rPr>
              <w:t xml:space="preserve">Medicaid work requirements (late 2026); federal policy instability; provider-tax restrictions pressuring state budgets.</w:t>
            </w:r>
          </w:p>
        </w:tc>
        <w:tc>
          <w:tcPr>
            <w:tcW w:w="2177" w:type="dxa"/>
          </w:tcPr>
          <w:p>
            <w:pPr>
              <w:pStyle w:val="Compact"/>
              <w:jc w:val="left"/>
            </w:pPr>
            <w:r>
              <w:rPr>
                <w:sz w:val="18"/>
              </w:rPr>
              <w:t xml:space="preserve">AHEAD expanding (6 states); VT mandatory RBP/global budgets as template; price-transparency momentum; BALANCE GLP-1 access.</w:t>
            </w:r>
          </w:p>
        </w:tc>
        <w:tc>
          <w:tcPr>
            <w:tcW w:w="2177" w:type="dxa"/>
          </w:tcPr>
          <w:p>
            <w:pPr>
              <w:pStyle w:val="Compact"/>
              <w:jc w:val="left"/>
            </w:pPr>
            <w:r>
              <w:rPr>
                <w:sz w:val="18"/>
              </w:rPr>
              <w:t xml:space="preserve">Moderate national progress; high VT-specific progress if execution holds. Mandatory APM participation is the critical unresolved national question.</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VT: VHCURES solid; VITL/HIE voluntary and incomplete; analytics vendor procured; CIN in development. National: FHIR improving interoperability; AI outpacing governance.</w:t>
            </w:r>
          </w:p>
        </w:tc>
        <w:tc>
          <w:tcPr>
            <w:tcW w:w="2177" w:type="dxa"/>
          </w:tcPr>
          <w:p>
            <w:pPr>
              <w:pStyle w:val="Compact"/>
              <w:jc w:val="left"/>
            </w:pPr>
            <w:r>
              <w:rPr>
                <w:sz w:val="18"/>
              </w:rPr>
              <w:t xml:space="preserve">Two-year VHCURES data lag; incomplete FHIR at smaller hospitals; absent AI governance in most states.</w:t>
            </w:r>
          </w:p>
        </w:tc>
        <w:tc>
          <w:tcPr>
            <w:tcW w:w="2177" w:type="dxa"/>
          </w:tcPr>
          <w:p>
            <w:pPr>
              <w:pStyle w:val="Compact"/>
              <w:jc w:val="left"/>
            </w:pPr>
            <w:r>
              <w:rPr>
                <w:sz w:val="18"/>
              </w:rPr>
              <w:t xml:space="preserve">VT CIN providing shared analytics and AI governance; RHT IT grants funding FHIR upgrades; ambient AI reducing burden nationally.</w:t>
            </w:r>
          </w:p>
        </w:tc>
        <w:tc>
          <w:tcPr>
            <w:tcW w:w="2177" w:type="dxa"/>
          </w:tcPr>
          <w:p>
            <w:pPr>
              <w:pStyle w:val="Compact"/>
              <w:jc w:val="left"/>
            </w:pPr>
            <w:r>
              <w:rPr>
                <w:sz w:val="18"/>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VT: RBP implementing (FY2027); global budgets mandated (FY2028). National: VBC ~58% commercial; global budgets rare outside VT/MD.</w:t>
            </w:r>
          </w:p>
        </w:tc>
        <w:tc>
          <w:tcPr>
            <w:tcW w:w="2177" w:type="dxa"/>
          </w:tcPr>
          <w:p>
            <w:pPr>
              <w:pStyle w:val="Compact"/>
              <w:jc w:val="left"/>
            </w:pPr>
            <w:r>
              <w:rPr>
                <w:sz w:val="18"/>
              </w:rPr>
              <w:t xml:space="preserve">H.R. 1 Medicaid revenue reductions; GLP-1 wave threatening IRA savings; commercial premium pressure.</w:t>
            </w:r>
          </w:p>
        </w:tc>
        <w:tc>
          <w:tcPr>
            <w:tcW w:w="2177" w:type="dxa"/>
          </w:tcPr>
          <w:p>
            <w:pPr>
              <w:pStyle w:val="Compact"/>
              <w:jc w:val="left"/>
            </w:pPr>
            <w:r>
              <w:rPr>
                <w:sz w:val="18"/>
              </w:rPr>
              <w:t xml:space="preserve">VT RBP producing documented savings; IRA GLP-1 negotiation (2027); Maryland AHEAD validating global budgets; ACO REACH maturing.</w:t>
            </w:r>
          </w:p>
        </w:tc>
        <w:tc>
          <w:tcPr>
            <w:tcW w:w="2177" w:type="dxa"/>
          </w:tcPr>
          <w:p>
            <w:pPr>
              <w:pStyle w:val="Compact"/>
              <w:jc w:val="left"/>
            </w:pPr>
            <w:r>
              <w:rPr>
                <w:sz w:val="18"/>
              </w:rPr>
              <w:t xml:space="preserve">VT: strong progress if global budgets land on schedule. National: VBC ~70–75% commercial by 2030; global budgets stay limited absent mandatory policy.</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VT: Blueprint strong; CoCM/MHI effective but not permanently funded; CCBHC expanding; PACE gap; primary-care productivity constraint. National: BH access crisis worsening.</w:t>
            </w:r>
          </w:p>
        </w:tc>
        <w:tc>
          <w:tcPr>
            <w:tcW w:w="2177" w:type="dxa"/>
          </w:tcPr>
          <w:p>
            <w:pPr>
              <w:pStyle w:val="Compact"/>
              <w:jc w:val="left"/>
            </w:pPr>
            <w:r>
              <w:rPr>
                <w:sz w:val="18"/>
              </w:rPr>
              <w:t xml:space="preserve">MHI sustainability uncertain without a durable funding source after the AHEAD withdrawal; primary-care shortage (370-FTE gap by 2030 in VT); Medicaid cuts threatening safety-net providers.</w:t>
            </w:r>
          </w:p>
        </w:tc>
        <w:tc>
          <w:tcPr>
            <w:tcW w:w="2177" w:type="dxa"/>
          </w:tcPr>
          <w:p>
            <w:pPr>
              <w:pStyle w:val="Compact"/>
              <w:jc w:val="left"/>
            </w:pPr>
            <w:r>
              <w:rPr>
                <w:sz w:val="18"/>
              </w:rPr>
              <w:t xml:space="preserve">Blueprint among strongest PCMH infrastructure in the country; CCBHC expansion; CoCM Medicare billing enabling sustainable financing.</w:t>
            </w:r>
          </w:p>
        </w:tc>
        <w:tc>
          <w:tcPr>
            <w:tcW w:w="2177" w:type="dxa"/>
          </w:tcPr>
          <w:p>
            <w:pPr>
              <w:pStyle w:val="Compact"/>
              <w:jc w:val="left"/>
            </w:pPr>
            <w:r>
              <w:rPr>
                <w:sz w:val="18"/>
              </w:rPr>
              <w:t xml:space="preserve">Steady national improvement in primary care and BH integration. VT: Blueprint + AHEAD primary-care investment strongest in country; BH integration is the critical clinical variable.</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VT: hospital plans in development; AHS restructuring underway; PMO being established; CIN in development. National: administrative complexity not declining.</w:t>
            </w:r>
          </w:p>
        </w:tc>
        <w:tc>
          <w:tcPr>
            <w:tcW w:w="2177" w:type="dxa"/>
          </w:tcPr>
          <w:p>
            <w:pPr>
              <w:pStyle w:val="Compact"/>
              <w:jc w:val="left"/>
            </w:pPr>
            <w:r>
              <w:rPr>
                <w:sz w:val="18"/>
              </w:rPr>
              <w:t xml:space="preserve">14 plans at varying stages; analytics vendor not yet operational; AHS capacity must be built; RHT requires PM infrastructure VT is hiring.</w:t>
            </w:r>
          </w:p>
        </w:tc>
        <w:tc>
          <w:tcPr>
            <w:tcW w:w="2177" w:type="dxa"/>
          </w:tcPr>
          <w:p>
            <w:pPr>
              <w:pStyle w:val="Compact"/>
              <w:jc w:val="left"/>
            </w:pPr>
            <w:r>
              <w:rPr>
                <w:sz w:val="18"/>
              </w:rPr>
              <w:t xml:space="preserve">$195M RHT capital; all 14 hospitals engaged; GMCB capacity added under Act 68; joint AHS-GMCB analytics procurement; CIN shared services.</w:t>
            </w:r>
          </w:p>
        </w:tc>
        <w:tc>
          <w:tcPr>
            <w:tcW w:w="2177" w:type="dxa"/>
          </w:tcPr>
          <w:p>
            <w:pPr>
              <w:pStyle w:val="Compact"/>
              <w:jc w:val="left"/>
            </w:pPr>
            <w:r>
              <w:rPr>
                <w:sz w:val="18"/>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1" w:name="_Toc1380"/>
      <w:r>
        <w:rPr>
          <w:b/>
          <w:bCs/>
          <w:color w:val="161B22"/>
        </w:rPr>
        <w:t xml:space="preserve">Vermont’s Ten-Year Trajectory: Two Scenarios</w:t>
      </w:r>
      <w:bookmarkEnd w:id="1381"/>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2" w:name="_Toc1381"/>
      <w:r>
        <w:rPr>
          <w:b/>
          <w:bCs/>
          <w:color w:val="161B22"/>
        </w:rPr>
        <w:t xml:space="preserve">The Transformation-Success Scenario</w:t>
      </w:r>
      <w:bookmarkEnd w:id="1382"/>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3" w:name="_Toc1382"/>
      <w:r>
        <w:rPr>
          <w:b/>
          <w:bCs/>
          <w:color w:val="161B22"/>
        </w:rPr>
        <w:t xml:space="preserve">The Partial-Transformation Scenario</w:t>
      </w:r>
      <w:bookmarkEnd w:id="1383"/>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4" w:name="_Toc1383"/>
      <w:r>
        <w:rPr>
          <w:b/>
          <w:bCs/>
          <w:color w:val="161B22"/>
        </w:rPr>
        <w:t xml:space="preserve">Vermont as National Template — The Decisions That Will Determine Outcomes</w:t>
      </w:r>
      <w:bookmarkEnd w:id="1384"/>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Act 68’s global budgets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85" w:name="_Toc1384"/>
      <w:r>
        <w:rPr>
          <w:b/>
          <w:bCs/>
          <w:color w:val="161B22"/>
        </w:rPr>
        <w:t xml:space="preserve">Work This Chapter on the Platform</w:t>
      </w:r>
      <w:bookmarkEnd w:id="1385"/>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Track Vermont’s five-pillar status as it moves, rather than at the single April 2026 snapshot this chapter reports</w:t>
            </w:r>
          </w:p>
        </w:tc>
        <w:tc>
          <w:tcPr>
            <w:tcW w:w="2736" w:type="dxa"/>
          </w:tcPr>
          <w:p>
            <w:pPr>
              <w:pStyle w:val="Compact"/>
              <w:jc w:val="left"/>
            </w:pPr>
            <w:hyperlink r:id="rId420">
              <w:r>
                <w:rPr>
                  <w:rStyle w:val="Hyperlink"/>
                  <w:b/>
                  <w:bCs/>
                </w:rPr>
                <w:t xml:space="preserve">HTI Dashboard</w:t>
              </w:r>
            </w:hyperlink>
          </w:p>
        </w:tc>
        <w:tc>
          <w:tcPr>
            <w:tcW w:w="3023"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3312" w:type="dxa"/>
          </w:tcPr>
          <w:p>
            <w:pPr>
              <w:pStyle w:val="Compact"/>
              <w:jc w:val="left"/>
            </w:pPr>
            <w:r>
              <w:rPr>
                <w:sz w:val="18"/>
              </w:rPr>
              <w:t xml:space="preserve">Compare Vermont against the other states pursuing structural reform</w:t>
            </w:r>
          </w:p>
        </w:tc>
        <w:tc>
          <w:tcPr>
            <w:tcW w:w="2736" w:type="dxa"/>
          </w:tcPr>
          <w:p>
            <w:pPr>
              <w:pStyle w:val="Compact"/>
              <w:jc w:val="left"/>
            </w:pPr>
            <w:hyperlink r:id="rId421">
              <w:r>
                <w:rPr>
                  <w:rStyle w:val="Hyperlink"/>
                  <w:b/>
                  <w:bCs/>
                </w:rPr>
                <w:t xml:space="preserve">Innovation Leaderboard</w:t>
              </w:r>
            </w:hyperlink>
          </w:p>
        </w:tc>
        <w:tc>
          <w:tcPr>
            <w:tcW w:w="3023"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3312" w:type="dxa"/>
          </w:tcPr>
          <w:p>
            <w:pPr>
              <w:pStyle w:val="Compact"/>
              <w:jc w:val="left"/>
            </w:pPr>
            <w:r>
              <w:rPr>
                <w:sz w:val="18"/>
              </w:rPr>
              <w:t xml:space="preserve">Follow the policy and regulatory record as it is made</w:t>
            </w:r>
          </w:p>
        </w:tc>
        <w:tc>
          <w:tcPr>
            <w:tcW w:w="2736" w:type="dxa"/>
          </w:tcPr>
          <w:p>
            <w:pPr>
              <w:pStyle w:val="Compact"/>
              <w:jc w:val="left"/>
            </w:pPr>
            <w:hyperlink r:id="rId422">
              <w:r>
                <w:rPr>
                  <w:rStyle w:val="Hyperlink"/>
                  <w:b/>
                  <w:bCs/>
                </w:rPr>
                <w:t xml:space="preserve">The Wire</w:t>
              </w:r>
            </w:hyperlink>
          </w:p>
        </w:tc>
        <w:tc>
          <w:tcPr>
            <w:tcW w:w="3023"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3312" w:type="dxa"/>
          </w:tcPr>
          <w:p>
            <w:pPr>
              <w:pStyle w:val="Compact"/>
              <w:jc w:val="left"/>
            </w:pPr>
            <w:r>
              <w:rPr>
                <w:sz w:val="18"/>
              </w:rPr>
              <w:t xml:space="preserve">Score a state’s readiness on the five pillars and test the chapter’s scenarios yourself</w:t>
            </w:r>
          </w:p>
        </w:tc>
        <w:tc>
          <w:tcPr>
            <w:tcW w:w="2736" w:type="dxa"/>
          </w:tcPr>
          <w:p>
            <w:pPr>
              <w:pStyle w:val="Compact"/>
              <w:jc w:val="left"/>
            </w:pPr>
            <w:hyperlink r:id="rId45">
              <w:r>
                <w:rPr>
                  <w:rStyle w:val="Hyperlink"/>
                  <w:b/>
                  <w:bCs/>
                </w:rPr>
                <w:t xml:space="preserve">HTR Simulator</w:t>
              </w:r>
            </w:hyperlink>
          </w:p>
        </w:tc>
        <w:tc>
          <w:tcPr>
            <w:tcW w:w="3023"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13.5 — Hands-on platform tools for Chapter 13: tracking the forecast against the record.</w:t>
      </w:r>
    </w:p>
    <w:p>
      <w:pPr>
        <w:pStyle w:val="Heading2"/>
        <w:pBdr>
          <w:top w:val="single" w:sz="6" w:space="10" w:color="C9D2DF"/>
        </w:pBdr>
      </w:pPr>
      <w:r>
        <w:rPr>
          <w:color w:val="161B22"/>
        </w:rPr>
        <w:t xml:space="preserve">13.8  </w:t>
      </w:r>
      <w:bookmarkStart w:id="1386" w:name="_Toc1385"/>
      <w:r>
        <w:rPr>
          <w:b/>
          <w:bCs/>
          <w:color w:val="161B22"/>
        </w:rPr>
        <w:t xml:space="preserve">Implications for You</w:t>
      </w:r>
      <w:bookmarkEnd w:id="1386"/>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87" w:name="_Toc1386"/>
      <w:r>
        <w:rPr>
          <w:b/>
          <w:bCs/>
          <w:color w:val="161B22"/>
        </w:rPr>
        <w:t xml:space="preserve">Key Concepts in This Chapter</w:t>
      </w:r>
      <w:bookmarkEnd w:id="1387"/>
    </w:p>
    <w:p>
      <w:pPr>
        <w:pStyle w:val="FirstParagraph"/>
        <w:spacing w:before="160" w:after="120"/>
      </w:pPr>
      <w:r>
        <w:rPr>
          <w:rFonts w:ascii="Calibri" w:hAnsi="Calibri"/>
          <w:color w:val="000000"/>
          <w:sz w:val="18"/>
        </w:rPr>
        <w:t xml:space="preserve">Five forces · five-pillar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88" w:name="_Toc1387"/>
      <w:r>
        <w:rPr>
          <w:b/>
          <w:bCs/>
          <w:color w:val="161B22"/>
        </w:rPr>
        <w:t xml:space="preserve">A Closing Note: What This Book Is Betting On</w:t>
      </w:r>
      <w:bookmarkEnd w:id="1388"/>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9" w:name="_Toc1388"/>
      <w:r>
        <w:rPr>
          <w:b/>
          <w:bCs/>
          <w:color w:val="161B22"/>
        </w:rPr>
        <w:t xml:space="preserve">Chapter 14: Political Sustainability — Protecting Transformation Across Election Cycles</w:t>
      </w:r>
      <w:bookmarkEnd w:id="1389"/>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FirstParagraph"/>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0" w:name="_Toc1389"/>
      <w:r>
        <w:rPr>
          <w:b/>
          <w:bCs/>
          <w:color w:val="161B22"/>
        </w:rPr>
        <w:t xml:space="preserve">Why Political Sustainability Is an Analytical Problem, Not Only a Political One</w:t>
      </w:r>
      <w:bookmarkEnd w:id="1390"/>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1" w:name="_Toc1390"/>
      <w:r>
        <w:rPr>
          <w:b/>
          <w:bCs/>
          <w:color w:val="161B22"/>
        </w:rPr>
        <w:t xml:space="preserve">The Structural Durability of Vermont’s Reform Architecture</w:t>
      </w:r>
      <w:bookmarkEnd w:id="1391"/>
    </w:p>
    <w:p>
      <w:pPr>
        <w:pStyle w:val="Heading3"/>
      </w:pPr>
      <w:r>
        <w:rPr>
          <w:color w:val="161B22"/>
        </w:rPr>
        <w:t xml:space="preserve">14.2.1  </w:t>
      </w:r>
      <w:bookmarkStart w:id="1392" w:name="_Toc1391"/>
      <w:r>
        <w:rPr>
          <w:b/>
          <w:bCs/>
          <w:color w:val="161B22"/>
        </w:rPr>
        <w:t xml:space="preserve">What Is Hard to Reverse</w:t>
      </w:r>
      <w:bookmarkEnd w:id="1392"/>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3" w:name="_Toc1392"/>
      <w:r>
        <w:rPr>
          <w:b/>
          <w:bCs/>
          <w:color w:val="161B22"/>
        </w:rPr>
        <w:t xml:space="preserve">What Is Politically Exposed</w:t>
      </w:r>
      <w:bookmarkEnd w:id="1393"/>
    </w:p>
    <w:p>
      <w:pPr>
        <w:pStyle w:val="FirstParagraph"/>
      </w:pPr>
      <w:r>
        <w:t xml:space="preserve">RBP methodology. RBP is mandatory from FY2027, but the</w:t>
      </w:r>
      <w:r>
        <w:t xml:space="preserve"> </w:t>
      </w:r>
      <w:r>
        <w:rPr>
          <w:i/>
          <w:iCs/>
        </w:rPr>
        <w:t xml:space="preserve">methodology</w:t>
      </w:r>
      <w:r>
        <w:t xml:space="preserve"> </w:t>
      </w:r>
      <w:r>
        <w:t xml:space="preserve">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Rural Health Transformation Program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4" w:name="_Toc1393"/>
      <w:r>
        <w:rPr>
          <w:b/>
          <w:bCs/>
          <w:color w:val="161B22"/>
        </w:rPr>
        <w:t xml:space="preserve">Early-Warning Signals of Political Risk</w:t>
      </w:r>
      <w:bookmarkEnd w:id="1394"/>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line="240" w:lineRule="auto"/>
        <w:rPr>
          <w:sz w:val="16"/>
        </w:rPr>
      </w:pPr>
    </w:p>
    <w:p>
      <w:pPr>
        <w:pStyle w:val="Heading2"/>
        <w:pBdr>
          <w:top w:val="single" w:sz="6" w:space="10" w:color="C9D2DF"/>
        </w:pBdr>
      </w:pPr>
      <w:r>
        <w:rPr>
          <w:color w:val="161B22"/>
        </w:rPr>
        <w:t xml:space="preserve">14.4  </w:t>
      </w:r>
      <w:bookmarkStart w:id="1395" w:name="_Toc1394"/>
      <w:r>
        <w:rPr>
          <w:b/>
          <w:bCs/>
          <w:color w:val="161B22"/>
        </w:rPr>
        <w:t xml:space="preserve">Organizational Strategies for Political Risk Management</w:t>
      </w:r>
      <w:bookmarkEnd w:id="1395"/>
    </w:p>
    <w:p>
      <w:pPr>
        <w:pStyle w:val="Heading3"/>
      </w:pPr>
      <w:r>
        <w:rPr>
          <w:color w:val="161B22"/>
        </w:rPr>
        <w:t xml:space="preserve">14.4.1  </w:t>
      </w:r>
      <w:bookmarkStart w:id="1396" w:name="_Toc1395"/>
      <w:r>
        <w:rPr>
          <w:b/>
          <w:bCs/>
          <w:color w:val="161B22"/>
        </w:rPr>
        <w:t xml:space="preserve">Strategy 1 — Build investments that are hard to reverse</w:t>
      </w:r>
      <w:bookmarkEnd w:id="1396"/>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7" w:name="_Toc1396"/>
      <w:r>
        <w:rPr>
          <w:b/>
          <w:bCs/>
          <w:color w:val="161B22"/>
        </w:rPr>
        <w:t xml:space="preserve">Strategy 2 — Engage the regulatory process early and substantively</w:t>
      </w:r>
      <w:bookmarkEnd w:id="1397"/>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398" w:name="_Toc1397"/>
      <w:r>
        <w:rPr>
          <w:b/>
          <w:bCs/>
          <w:color w:val="161B22"/>
        </w:rPr>
        <w:t xml:space="preserve">Strategy 3 — Maintain scenario plans for policy disruption</w:t>
      </w:r>
      <w:bookmarkEnd w:id="1398"/>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9" w:name="_Toc1398"/>
      <w:r>
        <w:rPr>
          <w:b/>
          <w:bCs/>
          <w:color w:val="161B22"/>
        </w:rPr>
        <w:t xml:space="preserve">Strategy 4 — Document and communicate transformation progress</w:t>
      </w:r>
      <w:bookmarkEnd w:id="1399"/>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0" w:name="_Toc1399"/>
      <w:r>
        <w:rPr>
          <w:b/>
          <w:bCs/>
          <w:color w:val="161B22"/>
        </w:rPr>
        <w:t xml:space="preserve">Vermont’s Reform Cascade as Political-Sustainability Architecture</w:t>
      </w:r>
      <w:bookmarkEnd w:id="1400"/>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1" w:name="_Toc1400"/>
      <w:r>
        <w:rPr>
          <w:b/>
          <w:bCs/>
          <w:color w:val="161B22"/>
        </w:rPr>
        <w:t xml:space="preserve">Work This Chapter on the Platform</w:t>
      </w:r>
      <w:bookmarkEnd w:id="1401"/>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Watch the statutory and regulatory record for the early-warning signals this chapter names</w:t>
            </w:r>
          </w:p>
        </w:tc>
        <w:tc>
          <w:tcPr>
            <w:tcW w:w="2736" w:type="dxa"/>
          </w:tcPr>
          <w:p>
            <w:pPr>
              <w:pStyle w:val="Compact"/>
              <w:jc w:val="left"/>
            </w:pPr>
            <w:hyperlink r:id="rId422">
              <w:r>
                <w:rPr>
                  <w:rStyle w:val="Hyperlink"/>
                  <w:b/>
                  <w:bCs/>
                </w:rPr>
                <w:t xml:space="preserve">The Wire</w:t>
              </w:r>
            </w:hyperlink>
          </w:p>
        </w:tc>
        <w:tc>
          <w:tcPr>
            <w:tcW w:w="3023"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3312" w:type="dxa"/>
          </w:tcPr>
          <w:p>
            <w:pPr>
              <w:pStyle w:val="Compact"/>
              <w:jc w:val="left"/>
            </w:pPr>
            <w:r>
              <w:rPr>
                <w:sz w:val="18"/>
              </w:rPr>
              <w:t xml:space="preserve">Model what happens to the transformation if one pillar’s political support is withdrawn</w:t>
            </w:r>
          </w:p>
        </w:tc>
        <w:tc>
          <w:tcPr>
            <w:tcW w:w="2736" w:type="dxa"/>
          </w:tcPr>
          <w:p>
            <w:pPr>
              <w:pStyle w:val="Compact"/>
              <w:jc w:val="left"/>
            </w:pPr>
            <w:hyperlink r:id="rId45">
              <w:r>
                <w:rPr>
                  <w:rStyle w:val="Hyperlink"/>
                  <w:b/>
                  <w:bCs/>
                </w:rPr>
                <w:t xml:space="preserve">HTR Simulator</w:t>
              </w:r>
            </w:hyperlink>
          </w:p>
        </w:tc>
        <w:tc>
          <w:tcPr>
            <w:tcW w:w="3023"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3312" w:type="dxa"/>
          </w:tcPr>
          <w:p>
            <w:pPr>
              <w:pStyle w:val="Compact"/>
              <w:jc w:val="left"/>
            </w:pPr>
            <w:r>
              <w:rPr>
                <w:sz w:val="18"/>
              </w:rPr>
              <w:t xml:space="preserve">Quantify where reform is losing momentum before it becomes a political story</w:t>
            </w:r>
          </w:p>
        </w:tc>
        <w:tc>
          <w:tcPr>
            <w:tcW w:w="2736" w:type="dxa"/>
          </w:tcPr>
          <w:p>
            <w:pPr>
              <w:pStyle w:val="Compact"/>
              <w:jc w:val="left"/>
            </w:pPr>
            <w:hyperlink r:id="rId87">
              <w:r>
                <w:rPr>
                  <w:rStyle w:val="Hyperlink"/>
                  <w:b/>
                  <w:bCs/>
                </w:rPr>
                <w:t xml:space="preserve">Transformation Friction Index</w:t>
              </w:r>
            </w:hyperlink>
          </w:p>
        </w:tc>
        <w:tc>
          <w:tcPr>
            <w:tcW w:w="3023"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14.3 — Hands-on platform tools for Chapter 14: monitoring political risk.</w:t>
      </w:r>
    </w:p>
    <w:p>
      <w:pPr>
        <w:pStyle w:val="Heading2"/>
        <w:pBdr>
          <w:top w:val="single" w:sz="6" w:space="10" w:color="C9D2DF"/>
        </w:pBdr>
      </w:pPr>
      <w:r>
        <w:rPr>
          <w:color w:val="161B22"/>
        </w:rPr>
        <w:t xml:space="preserve">14.7  </w:t>
      </w:r>
      <w:bookmarkStart w:id="1402" w:name="_Toc1401"/>
      <w:r>
        <w:rPr>
          <w:b/>
          <w:bCs/>
          <w:color w:val="161B22"/>
        </w:rPr>
        <w:t xml:space="preserve">Implications for You</w:t>
      </w:r>
      <w:bookmarkEnd w:id="1402"/>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3" w:name="_Toc1402"/>
      <w:r>
        <w:rPr>
          <w:b/>
          <w:bCs/>
          <w:color w:val="161B22"/>
        </w:rPr>
        <w:t xml:space="preserve">Key Concepts in This Chapter</w:t>
      </w:r>
      <w:bookmarkEnd w:id="1403"/>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w:t>
      </w:r>
      <w:r>
        <w:rPr>
          <w:rFonts w:ascii="Calibri" w:hAnsi="Calibri"/>
          <w:color w:val="000000"/>
          <w:sz w:val="18"/>
        </w:rPr>
        <w:t xml:space="preserve"> </w:t>
      </w:r>
      <w:r>
        <w:rPr>
          <w:rFonts w:ascii="Calibri" w:hAnsi="Calibri"/>
          <w:i/>
          <w:iCs/>
          <w:color w:val="000000"/>
          <w:sz w:val="18"/>
        </w:rPr>
        <w:t xml:space="preserve">support</w:t>
      </w:r>
      <w:r>
        <w:rPr>
          <w:rFonts w:ascii="Calibri" w:hAnsi="Calibri"/>
          <w:color w:val="000000"/>
          <w:sz w:val="18"/>
        </w:rPr>
        <w:t xml:space="preserve">: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w:t>
      </w:r>
      <w:r>
        <w:rPr>
          <w:rFonts w:ascii="Calibri" w:hAnsi="Calibri"/>
          <w:color w:val="000000"/>
          <w:sz w:val="18"/>
        </w:rPr>
        <w:t xml:space="preserve"> </w:t>
      </w:r>
      <w:r>
        <w:rPr>
          <w:rFonts w:ascii="Calibri" w:hAnsi="Calibri"/>
          <w:i/>
          <w:iCs/>
          <w:color w:val="000000"/>
          <w:sz w:val="18"/>
        </w:rPr>
        <w:t xml:space="preserve">before</w:t>
      </w:r>
      <w:r>
        <w:rPr>
          <w:rFonts w:ascii="Calibri" w:hAnsi="Calibri"/>
          <w:color w:val="000000"/>
          <w:sz w:val="18"/>
        </w:rPr>
        <w:t xml:space="preserve"> </w:t>
      </w:r>
      <w:r>
        <w:rPr>
          <w:rFonts w:ascii="Calibri" w:hAnsi="Calibri"/>
          <w:color w:val="000000"/>
          <w:sz w:val="18"/>
        </w:rPr>
        <w:t xml:space="preserve">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4" w:name="_Toc1403"/>
      <w:r>
        <w:rPr>
          <w:b/>
          <w:bCs/>
          <w:color w:val="161B22"/>
        </w:rPr>
        <w:t xml:space="preserve">Chapter 15: Healthcare Transformation as Portfolio Management — Applying PMI Standards to Five-Pillar Reform</w:t>
      </w:r>
      <w:bookmarkEnd w:id="1404"/>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FirstParagraph"/>
      </w:pPr>
      <w: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pPr>
        <w:pStyle w:val="Heading2"/>
        <w:pBdr>
          <w:top w:val="single" w:sz="6" w:space="10" w:color="C9D2DF"/>
        </w:pBdr>
        <w:keepNext w:val="false"/>
      </w:pPr>
      <w:r>
        <w:rPr>
          <w:color w:val="161B22"/>
        </w:rPr>
        <w:t xml:space="preserve">15.1  </w:t>
      </w:r>
      <w:bookmarkStart w:id="1405" w:name="_Toc1404"/>
      <w:r>
        <w:rPr>
          <w:b/>
          <w:bCs/>
          <w:color w:val="161B22"/>
        </w:rPr>
        <w:t xml:space="preserve">The Project-Management Gap in Healthcare Transformation</w:t>
      </w:r>
      <w:bookmarkEnd w:id="1405"/>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06" w:name="_Toc1405"/>
      <w:r>
        <w:rPr>
          <w:b/>
          <w:bCs/>
          <w:color w:val="161B22"/>
        </w:rPr>
        <w:t xml:space="preserve">Project, Program, and Portfolio: Getting the Levels Right</w:t>
      </w:r>
      <w:bookmarkEnd w:id="1406"/>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five-pillar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Sources: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07" w:name="_Toc1406"/>
      <w:r>
        <w:rPr>
          <w:b/>
          <w:bCs/>
          <w:color w:val="161B22"/>
        </w:rPr>
        <w:t xml:space="preserve">Vermont’s Transformation Portfolio: 19 Components</w:t>
      </w:r>
      <w:bookmarkEnd w:id="1407"/>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RHT Program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line="240" w:lineRule="auto"/>
        <w:rPr>
          <w:sz w:val="16"/>
        </w:rPr>
      </w:pPr>
    </w:p>
    <w:p>
      <w:pPr>
        <w:pStyle w:val="Heading2"/>
        <w:pBdr>
          <w:top w:val="single" w:sz="6" w:space="10" w:color="C9D2DF"/>
        </w:pBdr>
      </w:pPr>
      <w:r>
        <w:rPr>
          <w:color w:val="161B22"/>
        </w:rPr>
        <w:t xml:space="preserve">15.4  </w:t>
      </w:r>
      <w:bookmarkStart w:id="1408" w:name="_Toc1407"/>
      <w:r>
        <w:rPr>
          <w:b/>
          <w:bCs/>
          <w:color w:val="161B22"/>
        </w:rPr>
        <w:t xml:space="preserve">The Case for a Portfolio Manager</w:t>
      </w:r>
      <w:bookmarkEnd w:id="1408"/>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09" w:name="_Toc1408"/>
      <w:r>
        <w:rPr>
          <w:b/>
          <w:bCs/>
          <w:color w:val="161B22"/>
        </w:rPr>
        <w:t xml:space="preserve">Pillar-Level Project Managers: Five Roles, One Framework</w:t>
      </w:r>
      <w:bookmarkEnd w:id="1409"/>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0" w:name="_Toc1409"/>
      <w:r>
        <w:rPr>
          <w:b/>
          <w:bCs/>
          <w:color w:val="161B22"/>
        </w:rPr>
        <w:t xml:space="preserve">Governance Architecture and the Ten Knowledge Areas</w:t>
      </w:r>
      <w:bookmarkEnd w:id="1410"/>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five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1" w:name="_Toc1410"/>
      <w:r>
        <w:rPr>
          <w:b/>
          <w:bCs/>
          <w:color w:val="161B22"/>
        </w:rPr>
        <w:t xml:space="preserve">Portfolio Sequence Is Dependency Sequence</w:t>
      </w:r>
      <w:bookmarkEnd w:id="1411"/>
    </w:p>
    <w:p>
      <w:pPr>
        <w:pStyle w:val="FirstParagraph"/>
      </w:pPr>
      <w: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pPr>
        <w:pStyle w:val="BodyText"/>
      </w:pPr>
      <w:r>
        <w:t xml:space="preserve">Read Figure 15.3 by its first column and the point is immediate: the components are already grouped by pillar. What the PMI framing adds is that each pillar’s components carry the</w:t>
      </w:r>
      <w:r>
        <w:t xml:space="preserve"> </w:t>
      </w:r>
      <w:r>
        <w:rPr>
          <w:i/>
          <w:iCs/>
        </w:rPr>
        <w:t xml:space="preserve">inbound dependencies of that pillar</w:t>
      </w:r>
      <w:r>
        <w:t xml:space="preserve">. The Economics components — RBP implementation, global-budget design, EAST Fund deployment — cannot be productively worked before the Technology components that make them measurable. That is not a scheduling preference. It is the same critical-path constraint that produced the OneCare failure in Section 1.2, restated in 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 schedule.”</w:t>
      </w:r>
      <w:r>
        <w:rPr>
          <w:b/>
          <w:bCs/>
        </w:rPr>
        <w:t xml:space="preserve"> </w:t>
      </w:r>
      <w:r>
        <w:rPr>
          <w:b/>
          <w:bCs/>
        </w:rPr>
        <w:t xml:space="preserve">It is correctly waiting.</w:t>
      </w:r>
      <w:r>
        <w:t xml:space="preserve"> </w:t>
      </w:r>
      <w:r>
        <w:t xml:space="preserve">Accelerating it consumes budget and political capital to produce output nobody can use. The AHS-GMCB analytics deployment is the clearest case — it is the single highest-risk component in the register (R-01) precisely because three downstream components converge on it, not because its own deadline is nearest.</w:t>
      </w:r>
    </w:p>
    <w:p>
      <w:pPr>
        <w:pStyle w:val="BodyText"/>
        <w:keepNext w:val="false"/>
      </w:pPr>
      <w:r>
        <w:t xml:space="preserve">The inverse rule matters as much.</w:t>
      </w:r>
      <w:r>
        <w:t xml:space="preserve"> </w:t>
      </w:r>
      <w:r>
        <w:rPr>
          <w:b/>
          <w:bCs/>
        </w:rPr>
        <w:t xml:space="preserve">A component with no unmet upstream dependency should be running now, regardless of how distant its own deadline is.</w:t>
      </w:r>
      <w:r>
        <w:t xml:space="preserve"> </w:t>
      </w:r>
      <w:r>
        <w:t xml:space="preserve">Social-risk-adjustment methodology (R-08) has a FY2028 target and no upstream blocker; it can and should proceed in parallel today. Treating it as a FY2028 problem because that is when it is due is the scheduling error that 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0"/>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0"/>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 open means the enabling work is finished, not that a milestone was declared.)</w:t>
            </w:r>
          </w:p>
          <w:p>
            <w:pPr>
              <w:numPr>
                <w:ilvl w:val="0"/>
                <w:numId w:val="1030"/>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0"/>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 order even when it is early by calendar.</w:t>
            </w:r>
          </w:p>
          <w:p>
            <w:pPr>
              <w:spacing w:after="60" w:line="264" w:lineRule="auto"/>
            </w:pPr>
            <w:r>
              <w:rPr>
                <w:sz w:val="20"/>
                <w:szCs w:val="20"/>
              </w:rPr>
              <w:t xml:space="preserve">Applied across all nineteen, this test produces the portfolio’s true critical path, which will not match the order of statutory deadlines.</w:t>
            </w:r>
          </w:p>
        </w:tc>
      </w:tr>
    </w:tbl>
    <w:p>
      <w:pPr>
        <w:spacing w:after="120" w:line="240" w:lineRule="auto"/>
        <w:rPr>
          <w:sz w:val="16"/>
        </w:rPr>
      </w:pPr>
    </w:p>
    <w:p>
      <w:pPr>
        <w:pStyle w:val="Heading2"/>
        <w:pBdr>
          <w:top w:val="single" w:sz="6" w:space="10" w:color="C9D2DF"/>
        </w:pBdr>
      </w:pPr>
      <w:r>
        <w:rPr>
          <w:color w:val="161B22"/>
        </w:rPr>
        <w:t xml:space="preserve">15.8  </w:t>
      </w:r>
      <w:bookmarkStart w:id="1412" w:name="_Toc1411"/>
      <w:r>
        <w:rPr>
          <w:b/>
          <w:bCs/>
          <w:color w:val="161B22"/>
        </w:rPr>
        <w:t xml:space="preserve">Predictive vs. Adaptive Approaches</w:t>
      </w:r>
      <w:bookmarkEnd w:id="1412"/>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3" w:name="_Toc1412"/>
      <w:r>
        <w:rPr>
          <w:b/>
          <w:bCs/>
          <w:color w:val="161B22"/>
        </w:rPr>
        <w:t xml:space="preserve">The Portfolio Risk Register</w:t>
      </w:r>
      <w:bookmarkEnd w:id="1413"/>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 investments constrained</w:t>
            </w:r>
          </w:p>
        </w:tc>
        <w:tc>
          <w:tcPr>
            <w:tcW w:w="870" w:type="dxa"/>
          </w:tcPr>
          <w:p>
            <w:pPr>
              <w:pStyle w:val="Compact"/>
              <w:spacing w:before="0" w:after="0" w:line="240" w:lineRule="auto"/>
              <w:jc w:val="left"/>
            </w:pPr>
            <w:r>
              <w:rPr>
                <w:sz w:val="17"/>
              </w:rPr>
              <w:t xml:space="preserve">Clin,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4" w:name="_Toc1413"/>
      <w:r>
        <w:rPr>
          <w:b/>
          <w:bCs/>
          <w:color w:val="161B22"/>
        </w:rPr>
        <w:t xml:space="preserve">Benefits Realization: Connecting the PMO to Act 167’s Five Goals</w:t>
      </w:r>
      <w:bookmarkEnd w:id="1414"/>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E).</w:t>
      </w:r>
    </w:p>
    <w:p>
      <w:pPr>
        <w:pStyle w:val="Heading2"/>
        <w:pBdr>
          <w:top w:val="single" w:sz="6" w:space="10" w:color="C9D2DF"/>
        </w:pBdr>
        <w:keepNext w:val="false"/>
      </w:pPr>
      <w:r>
        <w:rPr>
          <w:color w:val="161B22"/>
        </w:rPr>
        <w:t xml:space="preserve">15.11  </w:t>
      </w:r>
      <w:bookmarkStart w:id="1415" w:name="_Toc1414"/>
      <w:r>
        <w:rPr>
          <w:b/>
          <w:bCs/>
          <w:color w:val="161B22"/>
        </w:rPr>
        <w:t xml:space="preserve">The Business Case</w:t>
      </w:r>
      <w:bookmarkEnd w:id="1415"/>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~$4–6.4M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Five pillar PMs (shared)</w:t>
            </w:r>
          </w:p>
        </w:tc>
        <w:tc>
          <w:tcPr>
            <w:tcW w:w="1290" w:type="dxa"/>
          </w:tcPr>
          <w:p>
            <w:pPr>
              <w:pStyle w:val="Compact"/>
              <w:jc w:val="left"/>
            </w:pPr>
            <w:r>
              <w:rPr>
                <w:sz w:val="18"/>
              </w:rPr>
              <w:t xml:space="preserve">$500K–$850K</w:t>
            </w:r>
          </w:p>
        </w:tc>
        <w:tc>
          <w:tcPr>
            <w:tcW w:w="1545" w:type="dxa"/>
          </w:tcPr>
          <w:p>
            <w:pPr>
              <w:pStyle w:val="Compact"/>
              <w:jc w:val="left"/>
            </w:pPr>
            <w:r>
              <w:rPr>
                <w:sz w:val="18"/>
              </w:rPr>
              <w:t xml:space="preserve">~$2.5M–$4.2M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~$850K–$1.3M</w:t>
            </w:r>
          </w:p>
        </w:tc>
        <w:tc>
          <w:tcPr>
            <w:tcW w:w="1545" w:type="dxa"/>
          </w:tcPr>
          <w:p>
            <w:pPr>
              <w:pStyle w:val="Compact"/>
              <w:jc w:val="left"/>
            </w:pPr>
            <w:r>
              <w:rPr>
                <w:sz w:val="18"/>
              </w:rPr>
              <w:t xml:space="preserve">~$4M–$6.4M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16" w:name="_Toc1415"/>
      <w:r>
        <w:rPr>
          <w:b/>
          <w:bCs/>
          <w:color w:val="161B22"/>
        </w:rPr>
        <w:t xml:space="preserve">Implementation Roadmap</w:t>
      </w:r>
      <w:bookmarkEnd w:id="141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Five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17" w:name="_Toc1416"/>
      <w:r>
        <w:rPr>
          <w:b/>
          <w:bCs/>
          <w:color w:val="161B22"/>
        </w:rPr>
        <w:t xml:space="preserve">Answering the Four Objections</w:t>
      </w:r>
      <w:bookmarkEnd w:id="1417"/>
    </w:p>
    <w:p>
      <w:pPr>
        <w:numPr>
          <w:ilvl w:val="0"/>
          <w:numId w:val="1031"/>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1"/>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1"/>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1"/>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18" w:name="_Toc1417"/>
      <w:r>
        <w:rPr>
          <w:b/>
          <w:bCs/>
          <w:color w:val="161B22"/>
        </w:rPr>
        <w:t xml:space="preserve">Work This Chapter on the Platform</w:t>
      </w:r>
      <w:bookmarkEnd w:id="1418"/>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Identify which pillar is the binding constraint on the whole portfolio right now</w:t>
            </w:r>
          </w:p>
        </w:tc>
        <w:tc>
          <w:tcPr>
            <w:tcW w:w="2736" w:type="dxa"/>
          </w:tcPr>
          <w:p>
            <w:pPr>
              <w:pStyle w:val="Compact"/>
              <w:jc w:val="left"/>
            </w:pPr>
            <w:hyperlink r:id="rId87">
              <w:r>
                <w:rPr>
                  <w:rStyle w:val="Hyperlink"/>
                  <w:b/>
                  <w:bCs/>
                </w:rPr>
                <w:t xml:space="preserve">Transformation Friction Index</w:t>
              </w:r>
            </w:hyperlink>
          </w:p>
        </w:tc>
        <w:tc>
          <w:tcPr>
            <w:tcW w:w="3023"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3312" w:type="dxa"/>
          </w:tcPr>
          <w:p>
            <w:pPr>
              <w:pStyle w:val="Compact"/>
              <w:jc w:val="left"/>
            </w:pPr>
            <w:r>
              <w:rPr>
                <w:sz w:val="18"/>
              </w:rPr>
              <w:t xml:space="preserve">Track the capital committed against each pillar and see where funding and dependency order disagree</w:t>
            </w:r>
          </w:p>
        </w:tc>
        <w:tc>
          <w:tcPr>
            <w:tcW w:w="2736" w:type="dxa"/>
          </w:tcPr>
          <w:p>
            <w:pPr>
              <w:pStyle w:val="Compact"/>
              <w:jc w:val="left"/>
            </w:pPr>
            <w:hyperlink r:id="rId456">
              <w:r>
                <w:rPr>
                  <w:rStyle w:val="Hyperlink"/>
                  <w:b/>
                  <w:bCs/>
                </w:rPr>
                <w:t xml:space="preserve">Investment Tracker</w:t>
              </w:r>
            </w:hyperlink>
          </w:p>
        </w:tc>
        <w:tc>
          <w:tcPr>
            <w:tcW w:w="3023"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3312" w:type="dxa"/>
          </w:tcPr>
          <w:p>
            <w:pPr>
              <w:pStyle w:val="Compact"/>
              <w:jc w:val="left"/>
            </w:pPr>
            <w:r>
              <w:rPr>
                <w:sz w:val="18"/>
              </w:rPr>
              <w:t xml:space="preserve">Watch the five-pillar status of a transformation move over time rather than at a single reporting date</w:t>
            </w:r>
          </w:p>
        </w:tc>
        <w:tc>
          <w:tcPr>
            <w:tcW w:w="2736" w:type="dxa"/>
          </w:tcPr>
          <w:p>
            <w:pPr>
              <w:pStyle w:val="Compact"/>
              <w:jc w:val="left"/>
            </w:pPr>
            <w:hyperlink r:id="rId420">
              <w:r>
                <w:rPr>
                  <w:rStyle w:val="Hyperlink"/>
                  <w:b/>
                  <w:bCs/>
                </w:rPr>
                <w:t xml:space="preserve">HTI Dashboard</w:t>
              </w:r>
            </w:hyperlink>
          </w:p>
        </w:tc>
        <w:tc>
          <w:tcPr>
            <w:tcW w:w="3023" w:type="dxa"/>
          </w:tcPr>
          <w:p>
            <w:pPr>
              <w:pStyle w:val="Compact"/>
              <w:jc w:val="left"/>
            </w:pPr>
            <w:r>
              <w:rPr>
                <w:sz w:val="18"/>
              </w:rPr>
              <w:t xml:space="preserve">Whether a pillar’s status is improving, flat, or decaying between reporting intervals — the trend a monthly report cannot show.</w:t>
            </w:r>
          </w:p>
        </w:tc>
      </w:tr>
      <w:tr>
        <w:trPr/>
        <w:tc>
          <w:tcPr>
            <w:tcW w:w="3312" w:type="dxa"/>
          </w:tcPr>
          <w:p>
            <w:pPr>
              <w:pStyle w:val="Compact"/>
              <w:jc w:val="left"/>
            </w:pPr>
            <w:r>
              <w:rPr>
                <w:sz w:val="18"/>
              </w:rPr>
              <w:t xml:space="preserve">Test what happens to composite readiness when one component slips</w:t>
            </w:r>
          </w:p>
        </w:tc>
        <w:tc>
          <w:tcPr>
            <w:tcW w:w="2736" w:type="dxa"/>
          </w:tcPr>
          <w:p>
            <w:pPr>
              <w:pStyle w:val="Compact"/>
              <w:jc w:val="left"/>
            </w:pPr>
            <w:hyperlink r:id="rId45">
              <w:r>
                <w:rPr>
                  <w:rStyle w:val="Hyperlink"/>
                  <w:b/>
                  <w:bCs/>
                </w:rPr>
                <w:t xml:space="preserve">HTR Simulator</w:t>
              </w:r>
            </w:hyperlink>
          </w:p>
        </w:tc>
        <w:tc>
          <w:tcPr>
            <w:tcW w:w="3023" w:type="dxa"/>
          </w:tcPr>
          <w:p>
            <w:pPr>
              <w:pStyle w:val="Compact"/>
              <w:jc w:val="left"/>
            </w:pPr>
            <w:r>
              <w:rPr>
                <w:sz w:val="18"/>
              </w:rPr>
              <w:t xml:space="preserve">Drop the Technology score and watch Economics and Clinical fall with it. This is the risk register’s R-01 in visual form.</w:t>
            </w:r>
          </w:p>
        </w:tc>
      </w:tr>
      <w:tr>
        <w:trPr/>
        <w:tc>
          <w:tcPr>
            <w:tcW w:w="3312" w:type="dxa"/>
          </w:tcPr>
          <w:p>
            <w:pPr>
              <w:pStyle w:val="Compact"/>
              <w:jc w:val="left"/>
            </w:pPr>
            <w:r>
              <w:rPr>
                <w:sz w:val="18"/>
              </w:rPr>
              <w:t xml:space="preserve">Score the portfolio’s five-pillar status the way an outside reviewer would</w:t>
            </w:r>
          </w:p>
        </w:tc>
        <w:tc>
          <w:tcPr>
            <w:tcW w:w="2736"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3" w:type="dxa"/>
          </w:tcPr>
          <w:p>
            <w:pPr>
              <w:pStyle w:val="Compact"/>
              <w:jc w:val="left"/>
            </w:pPr>
            <w:r>
              <w:rPr>
                <w:sz w:val="18"/>
              </w:rPr>
              <w:t xml:space="preserve">Divergence between the PMO’s status reporting and the scorecard is itself a governance finding.</w:t>
            </w:r>
          </w:p>
        </w:tc>
      </w:tr>
      <w:tr>
        <w:trPr>
          <w:cantSplit/>
        </w:trPr>
        <w:tc>
          <w:tcPr>
            <w:tcW w:w="3312" w:type="dxa"/>
          </w:tcPr>
          <w:p>
            <w:pPr>
              <w:pStyle w:val="Compact"/>
              <w:jc w:val="left"/>
            </w:pPr>
            <w:r>
              <w:rPr>
                <w:sz w:val="18"/>
              </w:rPr>
              <w:t xml:space="preserve">Model what a single component slipping does to the rest of the portfolio</w:t>
            </w:r>
          </w:p>
        </w:tc>
        <w:tc>
          <w:tcPr>
            <w:tcW w:w="2736"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3023"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15.8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7">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line="240" w:lineRule="auto"/>
        <w:rPr>
          <w:sz w:val="16"/>
        </w:rPr>
      </w:pPr>
    </w:p>
    <w:p>
      <w:pPr>
        <w:pStyle w:val="Heading2"/>
        <w:pBdr>
          <w:top w:val="single" w:sz="6" w:space="10" w:color="C9D2DF"/>
        </w:pBdr>
      </w:pPr>
      <w:r>
        <w:rPr>
          <w:color w:val="161B22"/>
        </w:rPr>
        <w:t xml:space="preserve">15.15  </w:t>
      </w:r>
      <w:bookmarkStart w:id="1419" w:name="_Toc1418"/>
      <w:r>
        <w:rPr>
          <w:b/>
          <w:bCs/>
          <w:color w:val="161B22"/>
        </w:rPr>
        <w:t xml:space="preserve">Implications for You</w:t>
      </w:r>
      <w:bookmarkEnd w:id="1419"/>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0" w:name="_Toc1419"/>
      <w:r>
        <w:rPr>
          <w:b/>
          <w:bCs/>
          <w:color w:val="161B22"/>
        </w:rPr>
        <w:t xml:space="preserve">Key Concepts in This Chapter</w:t>
      </w:r>
      <w:bookmarkEnd w:id="1420"/>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1" w:name="_Toc1420"/>
      <w:r>
        <w:rPr>
          <w:b/>
          <w:bCs/>
          <w:color w:val="161B22"/>
        </w:rPr>
        <w:t xml:space="preserve">Chapter 16: The AHS Restructuring Roadmap — A Five-Pillar Framework for System Architects</w:t>
      </w:r>
      <w:bookmarkEnd w:id="1421"/>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FirstParagraph"/>
      </w:pPr>
      <w: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2" w:name="_Toc1421"/>
      <w:r>
        <w:rPr>
          <w:b/>
          <w:bCs/>
          <w:color w:val="161B22"/>
        </w:rPr>
        <w:t xml:space="preserve">The Statutory Mandate — What Act 68 Actually Requires AHS to Do</w:t>
      </w:r>
      <w:bookmarkEnd w:id="1422"/>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3" w:name="_Toc1422"/>
      <w:r>
        <w:rPr>
          <w:b/>
          <w:bCs/>
          <w:color w:val="161B22"/>
        </w:rPr>
        <w:t xml:space="preserve">The Organizational Diagnosis — Why AHS Must Restructure, Not Just Plan</w:t>
      </w:r>
      <w:bookmarkEnd w:id="1423"/>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4" w:name="_Toc1423"/>
      <w:r>
        <w:rPr>
          <w:b/>
          <w:bCs/>
          <w:color w:val="161B22"/>
        </w:rPr>
        <w:t xml:space="preserve">The Four Structural Gaps</w:t>
      </w:r>
      <w:bookmarkEnd w:id="1424"/>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25" w:name="_Toc1424"/>
      <w:r>
        <w:rPr>
          <w:b/>
          <w:bCs/>
          <w:color w:val="161B22"/>
        </w:rPr>
        <w:t xml:space="preserve">The Redesigned AHS Operating Model — A Population Health System Operator</w:t>
      </w:r>
      <w:bookmarkEnd w:id="1425"/>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26" w:name="_Toc1425"/>
      <w:r>
        <w:rPr>
          <w:b/>
          <w:bCs/>
          <w:color w:val="161B22"/>
        </w:rPr>
        <w:t xml:space="preserve">Level 1 — Statewide System Architect</w:t>
      </w:r>
      <w:bookmarkEnd w:id="1426"/>
    </w:p>
    <w:p>
      <w:pPr>
        <w:pStyle w:val="FirstParagraph"/>
      </w:pPr>
      <w: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pPr>
        <w:numPr>
          <w:ilvl w:val="0"/>
          <w:numId w:val="1032"/>
        </w:numPr>
        <w:keepLines w:val="true"/>
        <w:keepNext w:val="true"/>
      </w:pPr>
      <w:r>
        <w:t xml:space="preserve">Strategic-planning capacity — to develop, maintain, and update the plan on a three-year cycle with required stakeholder input. A substantial ongoing function, not a one-time project.</w:t>
      </w:r>
    </w:p>
    <w:p>
      <w:pPr>
        <w:numPr>
          <w:ilvl w:val="0"/>
          <w:numId w:val="1032"/>
        </w:numPr>
        <w:keepLines w:val="true"/>
        <w:keepNext w:val="true"/>
      </w:pPr>
      <w:r>
        <w:t xml:space="preserve">Analytics and modeling capacity — to model cost, quality, and access implications</w:t>
      </w:r>
      <w:r>
        <w:t xml:space="preserve"> </w:t>
      </w:r>
      <w:r>
        <w:rPr>
          <w:i/>
          <w:iCs/>
        </w:rPr>
        <w:t xml:space="preserve">before</w:t>
      </w:r>
      <w:r>
        <w:t xml:space="preserve"> </w:t>
      </w:r>
      <w:r>
        <w:t xml:space="preserve">implementation (</w:t>
      </w:r>
      <w:r>
        <w:t xml:space="preserve">“what happens to access in Windsor County if Springfield converts to REH?”</w:t>
      </w:r>
      <w:r>
        <w:t xml:space="preserve">). Requires the joint AHS-GMCB analytics vendor plus internal staff to interpret outputs.</w:t>
      </w:r>
    </w:p>
    <w:p>
      <w:pPr>
        <w:numPr>
          <w:ilvl w:val="0"/>
          <w:numId w:val="1032"/>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numPr>
          <w:ilvl w:val="0"/>
          <w:numId w:val="1032"/>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27" w:name="_Toc1426"/>
      <w:r>
        <w:rPr>
          <w:b/>
          <w:bCs/>
          <w:color w:val="161B22"/>
        </w:rPr>
        <w:t xml:space="preserve">Level 2 — Regional Network Convener (HSA Level)</w:t>
      </w:r>
      <w:bookmarkEnd w:id="1427"/>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28" w:name="_Toc1427"/>
      <w:r>
        <w:rPr>
          <w:b/>
          <w:bCs/>
          <w:color w:val="161B22"/>
        </w:rPr>
        <w:t xml:space="preserve">Level 3 — Program Delivery Operator</w:t>
      </w:r>
      <w:bookmarkEnd w:id="1428"/>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29" w:name="_Toc1428"/>
      <w:r>
        <w:rPr>
          <w:b/>
          <w:bCs/>
          <w:color w:val="161B22"/>
        </w:rPr>
        <w:t xml:space="preserve">The Five-Pillar Framework Applied to AHS’s Mandate</w:t>
      </w:r>
      <w:bookmarkEnd w:id="1429"/>
    </w:p>
    <w:p>
      <w:pPr>
        <w:pStyle w:val="FirstParagraph"/>
      </w:pPr>
      <w:r>
        <w:t xml:space="preserve">The five-pillar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4 — Clinical (primary-care expansion, BH integration, care-model design): Blueprint expansion and making the MHI behavioral-health-integration pilot permanent;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keepNext w:val="false"/>
      </w:pPr>
      <w: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0" w:name="_Toc1429"/>
      <w:r>
        <w:rPr>
          <w:b/>
          <w:bCs/>
          <w:color w:val="161B22"/>
        </w:rPr>
        <w:t xml:space="preserve">The AHS Restructuring Implementation Timeline</w:t>
      </w:r>
      <w:bookmarkEnd w:id="1430"/>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Act 68 hospital global budgets take effect (FY2028)</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1" w:name="_Toc1430"/>
      <w:r>
        <w:rPr>
          <w:b/>
          <w:bCs/>
          <w:color w:val="161B22"/>
        </w:rPr>
        <w:t xml:space="preserve">A Framework for the 2028 Statewide Strategic Plan</w:t>
      </w:r>
      <w:bookmarkEnd w:id="1431"/>
    </w:p>
    <w:p>
      <w:pPr>
        <w:pStyle w:val="FirstParagraph"/>
      </w:pPr>
      <w:r>
        <w:t xml:space="preserve">The Strategic Plan is the most consequential document AHS will produce this decade; it will define Vermont’s system for the decade following its delivery. The proposed structure, organized around the five pillars and Act 68’s requirements:</w:t>
      </w:r>
    </w:p>
    <w:p>
      <w:pPr>
        <w:numPr>
          <w:ilvl w:val="0"/>
          <w:numId w:val="1033"/>
        </w:numPr>
        <w:keepLines w:val="true"/>
        <w:keepNext w:val="true"/>
      </w:pPr>
      <w:r>
        <w:t xml:space="preserve">Executive Summary (5–8 pp) — the crisis in 2028; what changed since 2022; the five goals and progress; the plan’s central 2028–2031 commitments.</w:t>
      </w:r>
    </w:p>
    <w:p>
      <w:pPr>
        <w:numPr>
          <w:ilvl w:val="0"/>
          <w:numId w:val="1033"/>
        </w:numPr>
        <w:keepLines w:val="true"/>
        <w:keepNext w:val="true"/>
      </w:pPr>
      <w:r>
        <w:t xml:space="preserve">System Context and Diagnosis (15–20 pp) — an updated Oliver Wyman analysis: demographics, hospital finances, payer landscape, workforce, SDOH burden as of a 2028 baseline.</w:t>
      </w:r>
    </w:p>
    <w:p>
      <w:pPr>
        <w:numPr>
          <w:ilvl w:val="0"/>
          <w:numId w:val="1033"/>
        </w:numPr>
        <w:keepLines w:val="true"/>
      </w:pPr>
      <w:r>
        <w:t xml:space="preserve">Payment Reform Architecture — Economics (20–25 pp) — RBP status; global-budget parameters per hospital; AHEAD TCOC targets and performance; affordability benchmarks.</w:t>
      </w:r>
    </w:p>
    <w:p>
      <w:pPr>
        <w:numPr>
          <w:ilvl w:val="0"/>
          <w:numId w:val="1033"/>
        </w:numPr>
        <w:keepLines w:val="true"/>
      </w:pPr>
      <w:r>
        <w:t xml:space="preserve">Primary Care and Behavioral Health — Clinical (15–20 pp) — Blueprint enrollment/performance; CCBHC coverage; CoCM status; BH access indicators and 2028–2031 targets.</w:t>
      </w:r>
    </w:p>
    <w:p>
      <w:pPr>
        <w:numPr>
          <w:ilvl w:val="0"/>
          <w:numId w:val="1033"/>
        </w:numPr>
        <w:keepLines w:val="true"/>
      </w:pPr>
      <w:r>
        <w:t xml:space="preserve">Hospital Network and Regionalization — Operations (20–25 pp) — confirmed tier designations; COE network; transfer infrastructure; shared services; REH/CACC conversions; workforce distribution.</w:t>
      </w:r>
    </w:p>
    <w:p>
      <w:pPr>
        <w:numPr>
          <w:ilvl w:val="0"/>
          <w:numId w:val="1033"/>
        </w:numPr>
        <w:keepLines w:val="true"/>
      </w:pPr>
      <w:r>
        <w:t xml:space="preserve">Data and Technology Infrastructure — Technology (10–15 pp) — VHCURES enhancement; HIE connectivity; statewide-EHR decision; analytics capabilities; interoperability.</w:t>
      </w:r>
    </w:p>
    <w:p>
      <w:pPr>
        <w:numPr>
          <w:ilvl w:val="0"/>
          <w:numId w:val="1033"/>
        </w:numPr>
        <w:keepLines w:val="true"/>
      </w:pPr>
      <w:r>
        <w:t xml:space="preserve">Health Equity Strategy — Equity (15–20 pp) — geographic-equity indicators by HSA; disparity measures; SDOH coordination; culturally competent care; 2028–2031 targets.</w:t>
      </w:r>
    </w:p>
    <w:p>
      <w:pPr>
        <w:numPr>
          <w:ilvl w:val="0"/>
          <w:numId w:val="1033"/>
        </w:numPr>
        <w:keepLines w:val="true"/>
      </w:pPr>
      <w:r>
        <w:t xml:space="preserve">Workforce Strategy (15–20 pp) — supply/demand by profession and geography; RHT workforce investments and outcomes; scope-of-practice changes; pipeline; 2030 projections.</w:t>
      </w:r>
    </w:p>
    <w:p>
      <w:pPr>
        <w:numPr>
          <w:ilvl w:val="0"/>
          <w:numId w:val="1033"/>
        </w:numPr>
        <w:keepLines w:val="true"/>
      </w:pPr>
      <w:r>
        <w:t xml:space="preserve">AHS Organizational Architecture — Policy &amp; Operations (10–15 pp) — the redesigned structure; HSA Coordinator model; Division of Planning and Effectiveness; cross-program SDOH integration; governance relationships.</w:t>
      </w:r>
    </w:p>
    <w:p>
      <w:pPr>
        <w:numPr>
          <w:ilvl w:val="0"/>
          <w:numId w:val="1033"/>
        </w:numPr>
        <w:keepLines w:val="true"/>
      </w:pPr>
      <w:r>
        <w:t xml:space="preserve">Accountability Framework (10–15 pp) — full metrics dashboard (all 17+ Act 167/Act 68 measures); data sources and update frequencies; 2028–2031 targets; reporting calendar; revision conditions.</w:t>
      </w:r>
    </w:p>
    <w:p>
      <w:pPr>
        <w:numPr>
          <w:ilvl w:val="0"/>
          <w:numId w:val="1033"/>
        </w:numPr>
        <w:keepLines w:val="true"/>
      </w:pPr>
      <w:r>
        <w:t xml:space="preserve">Financial Plan (15–20 pp) — RHT capital allocation (remaining balance); EAST Fund allocation; Act 68 grant commitments; projected savings; state-budget implications.</w:t>
      </w:r>
    </w:p>
    <w:p>
      <w:pPr>
        <w:pStyle w:val="Heading3"/>
        <w:keepNext w:val="false"/>
      </w:pPr>
      <w:r>
        <w:rPr>
          <w:color w:val="161B22"/>
        </w:rPr>
        <w:t xml:space="preserve">16.6.1  </w:t>
      </w:r>
      <w:bookmarkStart w:id="1432" w:name="_Toc1431"/>
      <w:r>
        <w:rPr>
          <w:b/>
          <w:bCs/>
          <w:color w:val="161B22"/>
        </w:rPr>
        <w:t xml:space="preserve">The Central Commitment the Plan Must Make</w:t>
      </w:r>
      <w:bookmarkEnd w:id="1432"/>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16.5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3" w:name="_Toc1432"/>
      <w:r>
        <w:rPr>
          <w:b/>
          <w:bCs/>
          <w:color w:val="161B22"/>
        </w:rPr>
        <w:t xml:space="preserve">Vermont as National Template — Why This Restructuring Matters Beyond Vermont</w:t>
      </w:r>
      <w:bookmarkEnd w:id="1433"/>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4" w:name="_Toc1433"/>
      <w:r>
        <w:rPr>
          <w:b/>
          <w:bCs/>
          <w:color w:val="161B22"/>
        </w:rPr>
        <w:t xml:space="preserve">Work This Chapter on the Platform</w:t>
      </w:r>
      <w:bookmarkEnd w:id="1434"/>
    </w:p>
    <w:p>
      <w:pPr>
        <w:pStyle w:val="FirstParagraph"/>
        <w:keepNext w:val="false"/>
      </w:pPr>
      <w:r>
        <w:t xml:space="preserve">This chapter specifies an organizational design. The tools below let a system architect test that design against the five-pillar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Map the redesigned AHS operating model onto the five pillars and check for uncovered functions</w:t>
            </w:r>
          </w:p>
        </w:tc>
        <w:tc>
          <w:tcPr>
            <w:tcW w:w="2736" w:type="dxa"/>
          </w:tcPr>
          <w:p>
            <w:pPr>
              <w:pStyle w:val="Compact"/>
              <w:jc w:val="left"/>
            </w:pPr>
            <w:hyperlink r:id="rId473">
              <w:r>
                <w:rPr>
                  <w:rStyle w:val="Hyperlink"/>
                  <w:b/>
                  <w:bCs/>
                </w:rPr>
                <w:t xml:space="preserve">Five-Pillar Map</w:t>
              </w:r>
            </w:hyperlink>
          </w:p>
        </w:tc>
        <w:tc>
          <w:tcPr>
            <w:tcW w:w="3023" w:type="dxa"/>
          </w:tcPr>
          <w:p>
            <w:pPr>
              <w:pStyle w:val="Compact"/>
              <w:jc w:val="left"/>
            </w:pPr>
            <w:r>
              <w:rPr>
                <w:sz w:val="18"/>
              </w:rPr>
              <w:t xml:space="preserve">A pillar with no named organizational owner in the restructuring. That is the gap this chapter’s design is meant to close.</w:t>
            </w:r>
          </w:p>
        </w:tc>
      </w:tr>
      <w:tr>
        <w:trPr/>
        <w:tc>
          <w:tcPr>
            <w:tcW w:w="3312" w:type="dxa"/>
          </w:tcPr>
          <w:p>
            <w:pPr>
              <w:pStyle w:val="Compact"/>
              <w:jc w:val="left"/>
            </w:pPr>
            <w:r>
              <w:rPr>
                <w:sz w:val="18"/>
              </w:rPr>
              <w:t xml:space="preserve">Track AHS’s delivery against the statutory deadlines this chapter enumerates</w:t>
            </w:r>
          </w:p>
        </w:tc>
        <w:tc>
          <w:tcPr>
            <w:tcW w:w="2736" w:type="dxa"/>
          </w:tcPr>
          <w:p>
            <w:pPr>
              <w:pStyle w:val="Compact"/>
              <w:jc w:val="left"/>
            </w:pPr>
            <w:hyperlink r:id="rId420">
              <w:r>
                <w:rPr>
                  <w:rStyle w:val="Hyperlink"/>
                  <w:b/>
                  <w:bCs/>
                </w:rPr>
                <w:t xml:space="preserve">HTI Dashboard</w:t>
              </w:r>
            </w:hyperlink>
          </w:p>
        </w:tc>
        <w:tc>
          <w:tcPr>
            <w:tcW w:w="3023" w:type="dxa"/>
          </w:tcPr>
          <w:p>
            <w:pPr>
              <w:pStyle w:val="Compact"/>
              <w:jc w:val="left"/>
            </w:pPr>
            <w:r>
              <w:rPr>
                <w:sz w:val="18"/>
              </w:rPr>
              <w:t xml:space="preserve">Whether Operations-pillar capacity is rising fast enough to meet the December 2028 Strategic Plan obligation.</w:t>
            </w:r>
          </w:p>
        </w:tc>
      </w:tr>
      <w:tr>
        <w:trPr>
          <w:cantSplit/>
        </w:trPr>
        <w:tc>
          <w:tcPr>
            <w:tcW w:w="3312" w:type="dxa"/>
          </w:tcPr>
          <w:p>
            <w:pPr>
              <w:pStyle w:val="Compact"/>
              <w:jc w:val="left"/>
            </w:pPr>
            <w:r>
              <w:rPr>
                <w:sz w:val="18"/>
              </w:rPr>
              <w:t xml:space="preserve">Test what the restructuring is worth by removing it</w:t>
            </w:r>
          </w:p>
        </w:tc>
        <w:tc>
          <w:tcPr>
            <w:tcW w:w="2736" w:type="dxa"/>
          </w:tcPr>
          <w:p>
            <w:pPr>
              <w:pStyle w:val="Compact"/>
              <w:jc w:val="left"/>
            </w:pPr>
            <w:hyperlink r:id="rId45">
              <w:r>
                <w:rPr>
                  <w:rStyle w:val="Hyperlink"/>
                  <w:b/>
                  <w:bCs/>
                </w:rPr>
                <w:t xml:space="preserve">HTR Simulator</w:t>
              </w:r>
            </w:hyperlink>
          </w:p>
        </w:tc>
        <w:tc>
          <w:tcPr>
            <w:tcW w:w="3023"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16.6 — Hands-on platform tools for Chapter 16: testing the AHS restructuring design.</w:t>
      </w:r>
    </w:p>
    <w:p>
      <w:pPr>
        <w:pStyle w:val="Heading2"/>
        <w:pBdr>
          <w:top w:val="single" w:sz="6" w:space="10" w:color="C9D2DF"/>
        </w:pBdr>
      </w:pPr>
      <w:r>
        <w:rPr>
          <w:color w:val="161B22"/>
        </w:rPr>
        <w:t xml:space="preserve">16.9  </w:t>
      </w:r>
      <w:bookmarkStart w:id="1435" w:name="_Toc1434"/>
      <w:r>
        <w:rPr>
          <w:b/>
          <w:bCs/>
          <w:color w:val="161B22"/>
        </w:rPr>
        <w:t xml:space="preserve">Implications for You</w:t>
      </w:r>
      <w:bookmarkEnd w:id="1435"/>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36" w:name="_Toc1435"/>
      <w:r>
        <w:rPr>
          <w:b/>
          <w:bCs/>
          <w:color w:val="161B22"/>
        </w:rPr>
        <w:t xml:space="preserve">Key Concepts in This Chapter</w:t>
      </w:r>
      <w:bookmarkEnd w:id="1436"/>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37" w:name="_Toc1436"/>
      <w:r>
        <w:rPr>
          <w:b/>
          <w:bCs/>
          <w:color w:val="161B22"/>
        </w:rPr>
        <w:t xml:space="preserve">Conclusion — What Vermont Proves, and What Remains to Be Proven</w:t>
      </w:r>
      <w:bookmarkEnd w:id="1437"/>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38" w:name="_Toc1437"/>
      <w:r>
        <w:rPr>
          <w:b/>
          <w:bCs/>
          <w:color w:val="161B22"/>
        </w:rPr>
        <w:t xml:space="preserve">What Failure Actually Looks Like</w:t>
      </w:r>
      <w:bookmarkEnd w:id="1438"/>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39" w:name="_Toc1438"/>
      <w:r>
        <w:rPr>
          <w:b/>
          <w:bCs/>
          <w:color w:val="161B22"/>
        </w:rPr>
        <w:t xml:space="preserve">The Three Decisions That Are Not Yet Made</w:t>
      </w:r>
      <w:bookmarkEnd w:id="1439"/>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0" w:name="_Toc1439"/>
      <w:r>
        <w:rPr>
          <w:b/>
          <w:bCs/>
          <w:color w:val="161B22"/>
        </w:rPr>
        <w:t xml:space="preserve">Decision 1: Will the Statewide Strategic Plan Be Binding or Descriptive?</w:t>
      </w:r>
      <w:bookmarkEnd w:id="1440"/>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1" w:name="_Toc1440"/>
      <w:r>
        <w:rPr>
          <w:b/>
          <w:bCs/>
          <w:color w:val="161B22"/>
        </w:rPr>
        <w:t xml:space="preserve">Decision 2: Will the Analytics Vendor Be Operational Before Act 68’s Global Budgets Take Effect?</w:t>
      </w:r>
      <w:bookmarkEnd w:id="1441"/>
    </w:p>
    <w:p>
      <w:pPr>
        <w:pStyle w:val="FirstParagraph"/>
      </w:pPr>
      <w: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2" w:name="_Toc1441"/>
      <w:r>
        <w:rPr>
          <w:b/>
          <w:bCs/>
          <w:color w:val="161B22"/>
        </w:rPr>
        <w:t xml:space="preserve">Decision 3: Will H.R. 1’s Medicaid Cuts Force a Contraction or Accelerate a Transformation?</w:t>
      </w:r>
      <w:bookmarkEnd w:id="1442"/>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3" w:name="_Toc1442"/>
      <w:r>
        <w:rPr>
          <w:b/>
          <w:bCs/>
          <w:color w:val="161B22"/>
        </w:rPr>
        <w:t xml:space="preserve">What Vermont Has Proved — As of April 2026</w:t>
      </w:r>
      <w:bookmarkEnd w:id="1443"/>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4" w:name="_Toc1443"/>
      <w:r>
        <w:rPr>
          <w:b/>
          <w:bCs/>
          <w:color w:val="161B22"/>
        </w:rPr>
        <w:t xml:space="preserve">The People This Book Cannot Reach</w:t>
      </w:r>
      <w:bookmarkEnd w:id="1444"/>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45" w:name="_Toc1444"/>
      <w:r>
        <w:rPr>
          <w:b/>
          <w:bCs/>
          <w:color w:val="161B22"/>
        </w:rPr>
        <w:t xml:space="preserve">The Call</w:t>
      </w:r>
      <w:bookmarkEnd w:id="1445"/>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46" w:name="_Toc1445"/>
      <w:r>
        <w:rPr>
          <w:b/>
          <w:bCs/>
          <w:color w:val="161B22"/>
        </w:rPr>
        <w:t xml:space="preserve">Key Concepts in This Chapter</w:t>
      </w:r>
      <w:bookmarkEnd w:id="1446"/>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t xml:space="preserve"> </w:t>
      </w:r>
      <w:r>
        <w:rPr>
          <w:rFonts w:ascii="Calibri" w:hAnsi="Calibri"/>
          <w:color w:val="000000"/>
          <w:sz w:val="18"/>
        </w:rPr>
        <w:t xml:space="preserve">The failure mode in which Vermont makes progress on all five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t xml:space="preserve"> </w:t>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t xml:space="preserve"> </w:t>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47" w:name="_Toc1446"/>
      <w:r>
        <w:rPr>
          <w:b/>
          <w:bCs/>
          <w:color w:val="161B22"/>
        </w:rPr>
        <w:t xml:space="preserve">Appendix A — Vermont System Portrait</w:t>
      </w:r>
      <w:bookmarkEnd w:id="1447"/>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48" w:name="_Toc1447"/>
      <w:r>
        <w:rPr>
          <w:b/>
          <w:bCs/>
          <w:color w:val="161B22"/>
        </w:rPr>
        <w:t xml:space="preserve">Vermont: The State</w:t>
      </w:r>
      <w:bookmarkEnd w:id="1448"/>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49" w:name="_Toc1448"/>
      <w:r>
        <w:rPr>
          <w:b/>
          <w:bCs/>
          <w:color w:val="161B22"/>
        </w:rPr>
        <w:t xml:space="preserve">Demographics and Population Projections</w:t>
      </w:r>
      <w:bookmarkEnd w:id="1449"/>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0" w:name="_Toc1449"/>
      <w:r>
        <w:rPr>
          <w:b/>
          <w:bCs/>
          <w:color w:val="161B22"/>
        </w:rPr>
        <w:t xml:space="preserve">Regulatory Architecture: The Green Mountain Care Board</w:t>
      </w:r>
      <w:bookmarkEnd w:id="1450"/>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contested results in part because federal law — per</w:t>
      </w:r>
      <w:r>
        <w:t xml:space="preserve"> </w:t>
      </w:r>
      <w:r>
        <w:rPr>
          <w:i/>
          <w:iCs/>
        </w:rPr>
        <w:t xml:space="preserve">Gobeille v. Liberty Mutual</w:t>
      </w:r>
      <w:r>
        <w:t xml:space="preserve"> </w:t>
      </w:r>
      <w:r>
        <w:t xml:space="preserve">(2016)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1" w:name="_Toc1450"/>
      <w:r>
        <w:rPr>
          <w:b/>
          <w:bCs/>
          <w:color w:val="161B22"/>
        </w:rPr>
        <w:t xml:space="preserve">The Hospital System</w:t>
      </w:r>
      <w:bookmarkEnd w:id="1451"/>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2" w:name="_Toc1451"/>
      <w:r>
        <w:rPr>
          <w:b/>
          <w:bCs/>
          <w:color w:val="161B22"/>
        </w:rPr>
        <w:t xml:space="preserve">The Fourteen Hospitals (January 2026 transformation plans)</w:t>
      </w:r>
      <w:bookmarkEnd w:id="1452"/>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3" w:name="_Toc1452"/>
      <w:r>
        <w:rPr>
          <w:b/>
          <w:bCs/>
          <w:color w:val="161B22"/>
        </w:rPr>
        <w:t xml:space="preserve">Patterns in the Data</w:t>
      </w:r>
      <w:bookmarkEnd w:id="1453"/>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4" w:name="_Toc1453"/>
      <w:r>
        <w:rPr>
          <w:b/>
          <w:bCs/>
          <w:color w:val="161B22"/>
        </w:rPr>
        <w:t xml:space="preserve">The Transformation Plans: A System in Motion</w:t>
      </w:r>
      <w:bookmarkEnd w:id="1454"/>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55" w:name="_Toc1454"/>
      <w:r>
        <w:rPr>
          <w:b/>
          <w:bCs/>
          <w:color w:val="161B22"/>
        </w:rPr>
        <w:t xml:space="preserve">The Insurance and Premium Crisis</w:t>
      </w:r>
      <w:bookmarkEnd w:id="1455"/>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UVMMC’s commercial prices averaged 358% of Medicare in RAND’s published data — the highest in the state.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56" w:name="_Toc1455"/>
      <w:r>
        <w:rPr>
          <w:b/>
          <w:bCs/>
          <w:color w:val="161B22"/>
        </w:rPr>
        <w:t xml:space="preserve">Healthcare Workforce</w:t>
      </w:r>
      <w:bookmarkEnd w:id="1456"/>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57" w:name="_Toc1456"/>
      <w:r>
        <w:rPr>
          <w:b/>
          <w:bCs/>
          <w:color w:val="161B22"/>
        </w:rPr>
        <w:t xml:space="preserve">Clinical Quality Indicators</w:t>
      </w:r>
      <w:bookmarkEnd w:id="1457"/>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10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58" w:name="_Toc1457"/>
      <w:r>
        <w:rPr>
          <w:b/>
          <w:bCs/>
          <w:color w:val="161B22"/>
        </w:rPr>
        <w:t xml:space="preserve">Appendix B — Act 68 Statutory Timeline and Milestones</w:t>
      </w:r>
      <w:bookmarkEnd w:id="1458"/>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Medicaid global budgets continue under the Global Commitment demonstration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Act 68 hospital global budgets take effect (FY2028)</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Figure B.1 — Act 68 statutory timeline and milestones. Source: Act 68 of 2025.</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AHEAD State Agreement (January 2025); Vermont RHT Program Application (November 2025); CMS BALANCE Model (December 2025).</w:t>
      </w:r>
    </w:p>
    <w:p>
      <w:pPr>
        <w:pStyle w:val="Heading3"/>
        <w:keepNext w:val="false"/>
      </w:pPr>
      <w:r>
        <w:rPr>
          <w:color w:val="161B22"/>
        </w:rPr>
        <w:t xml:space="preserve">B.0.1  </w:t>
      </w:r>
      <w:bookmarkStart w:id="1459" w:name="_Toc1458"/>
      <w:r>
        <w:rPr>
          <w:b/>
          <w:bCs/>
          <w:color w:val="161B22"/>
        </w:rPr>
        <w:t xml:space="preserve">Policy-Pillar Implementation Matrix</w:t>
      </w:r>
      <w:bookmarkEnd w:id="1459"/>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B.2 — Policy-pillar implementation matrix. Sources: HTR Advisory methodology; Vermont RHT Program Application (2025); GMCB rate-setting documentation.</w:t>
      </w:r>
    </w:p>
    <w:p>
      <w:r>
        <w:br w:type="page"/>
      </w:r>
    </w:p>
    <w:p>
      <w:pPr>
        <w:pStyle w:val="Heading1"/>
        <w:keepNext w:val="false"/>
      </w:pPr>
      <w:bookmarkStart w:id="1460" w:name="_Toc1459"/>
      <w:r>
        <w:rPr>
          <w:b/>
          <w:bCs/>
          <w:color w:val="161B22"/>
        </w:rPr>
        <w:t xml:space="preserve">Appendix C — The 14-Hospital Centers of Excellence Assignment Framework</w:t>
      </w:r>
      <w:bookmarkEnd w:id="1460"/>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pPr>
      <w:bookmarkStart w:id="1461" w:name="_Toc1460"/>
      <w:r>
        <w:rPr>
          <w:b/>
          <w:bCs/>
          <w:color w:val="161B22"/>
        </w:rPr>
        <w:t xml:space="preserve">Appendix D — HTR Platform Tools and Methodology Overview</w:t>
      </w:r>
      <w:bookmarkEnd w:id="1461"/>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five pillars. Convergence Newsletter (free weekly) for Observer-tier; full analysis with Vermont commentary for Strategist and Enterprise.</w:t>
      </w:r>
    </w:p>
    <w:p>
      <w:r>
        <w:br w:type="page"/>
      </w:r>
    </w:p>
    <w:p>
      <w:pPr>
        <w:pStyle w:val="Heading1"/>
      </w:pPr>
      <w:bookmarkStart w:id="1462" w:name="_Toc1461"/>
      <w:r>
        <w:rPr>
          <w:b/>
          <w:bCs/>
          <w:color w:val="161B22"/>
        </w:rPr>
        <w:t xml:space="preserve">Appendix E — Vermont Transformation Scorecard: 2022 Baseline, 2026 Status, 2028 Target</w:t>
      </w:r>
      <w:bookmarkEnd w:id="1462"/>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E.0.1  </w:t>
      </w:r>
      <w:bookmarkStart w:id="1463" w:name="_Toc1462"/>
      <w:r>
        <w:rPr>
          <w:b/>
          <w:bCs/>
          <w:color w:val="161B22"/>
        </w:rPr>
        <w:t xml:space="preserve">Policy Pillar</w:t>
      </w:r>
      <w:bookmarkEnd w:id="146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$195M/yr awarded, first year committed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E.1 — Policy-pillar scorecard. Sources: Act 68 of 2025; Oliver Wyman Act 167 Report; CMS AHEAD documentation; Vermont RHT Program Application.</w:t>
      </w:r>
    </w:p>
    <w:p>
      <w:pPr>
        <w:pStyle w:val="Heading3"/>
        <w:keepNext w:val="false"/>
      </w:pPr>
      <w:r>
        <w:rPr>
          <w:color w:val="161B22"/>
        </w:rPr>
        <w:t xml:space="preserve">E.0.2  </w:t>
      </w:r>
      <w:bookmarkStart w:id="1464" w:name="_Toc1463"/>
      <w:r>
        <w:rPr>
          <w:b/>
          <w:bCs/>
          <w:color w:val="161B22"/>
        </w:rPr>
        <w:t xml:space="preserve">Technology Pillar</w:t>
      </w:r>
      <w:bookmarkEnd w:id="146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E.2 — Technology-pillar scorecard. Sources: GMCB VHCURES; VITL; Vermont DOH Health Equity Data Report (January 2025); Vermont RHT Application.</w:t>
      </w:r>
    </w:p>
    <w:p>
      <w:pPr>
        <w:pStyle w:val="Heading3"/>
        <w:keepNext w:val="false"/>
      </w:pPr>
      <w:r>
        <w:rPr>
          <w:color w:val="161B22"/>
        </w:rPr>
        <w:t xml:space="preserve">E.0.3  </w:t>
      </w:r>
      <w:bookmarkStart w:id="1465" w:name="_Toc1464"/>
      <w:r>
        <w:rPr>
          <w:b/>
          <w:bCs/>
          <w:color w:val="161B22"/>
        </w:rPr>
        <w:t xml:space="preserve">Economics Pillar</w:t>
      </w:r>
      <w:bookmarkEnd w:id="1465"/>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Act 68 global budgets take effect FY2028; commercial VBC growing</w:t>
            </w:r>
          </w:p>
        </w:tc>
        <w:tc>
          <w:tcPr>
            <w:tcW w:w="2326" w:type="dxa"/>
          </w:tcPr>
          <w:p>
            <w:pPr>
              <w:pStyle w:val="Compact"/>
              <w:jc w:val="left"/>
            </w:pPr>
            <w:r>
              <w:rPr>
                <w:sz w:val="18"/>
              </w:rPr>
              <w:t xml:space="preserve">Medicare: fee-for-service (AHEAD withdrawn);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E.3 — Economics-pillar scorecard. Sources: Oliver Wyman Act 167 Report; AHS November 2025 Report; GMCB price-transparency data; CMS AHEAD.</w:t>
      </w:r>
    </w:p>
    <w:p>
      <w:pPr>
        <w:pStyle w:val="Heading3"/>
        <w:keepNext w:val="false"/>
      </w:pPr>
      <w:r>
        <w:rPr>
          <w:color w:val="161B22"/>
        </w:rPr>
        <w:t xml:space="preserve">E.0.4  </w:t>
      </w:r>
      <w:bookmarkStart w:id="1466" w:name="_Toc1465"/>
      <w:r>
        <w:rPr>
          <w:b/>
          <w:bCs/>
          <w:color w:val="161B22"/>
        </w:rPr>
        <w:t xml:space="preserve">Clinical Pillar</w:t>
      </w:r>
      <w:bookmarkEnd w:id="1466"/>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E.4 — Clinical-pillar scorecard. Sources: Vermont Blueprint Annual Report 2024; Vermont AHS; GMCB quality reporting; Oliver Wyman workforce analysis.</w:t>
      </w:r>
    </w:p>
    <w:p>
      <w:pPr>
        <w:pStyle w:val="Heading3"/>
        <w:keepNext w:val="false"/>
      </w:pPr>
      <w:r>
        <w:rPr>
          <w:color w:val="161B22"/>
        </w:rPr>
        <w:t xml:space="preserve">E.0.5  </w:t>
      </w:r>
      <w:bookmarkStart w:id="1467" w:name="_Toc1466"/>
      <w:r>
        <w:rPr>
          <w:b/>
          <w:bCs/>
          <w:color w:val="161B22"/>
        </w:rPr>
        <w:t xml:space="preserve">Equity Imperative</w:t>
      </w:r>
      <w:bookmarkEnd w:id="1467"/>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E.5 — Equity Imperative scorecard. Sources: Vermont DOH Health Equity Data Report (January 2025); Act 68; GMCB equity reporting; HTR HEROI framework.</w:t>
      </w:r>
    </w:p>
    <w:p>
      <w:pPr>
        <w:pStyle w:val="Heading3"/>
        <w:keepNext w:val="false"/>
      </w:pPr>
      <w:r>
        <w:rPr>
          <w:color w:val="161B22"/>
        </w:rPr>
        <w:t xml:space="preserve">E.0.6  </w:t>
      </w:r>
      <w:bookmarkStart w:id="1468" w:name="_Toc1467"/>
      <w:r>
        <w:rPr>
          <w:b/>
          <w:bCs/>
          <w:color w:val="161B22"/>
        </w:rPr>
        <w:t xml:space="preserve">Operations Pillar</w:t>
      </w:r>
      <w:bookmarkEnd w:id="1468"/>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E.6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69" w:name="_Toc1468"/>
      <w:r>
        <w:rPr>
          <w:b/>
          <w:bCs/>
          <w:color w:val="161B22"/>
        </w:rPr>
        <w:t xml:space="preserve">Appendix F — A Reader’s Guide to the Health Transformation Review Platform</w:t>
      </w:r>
      <w:bookmarkEnd w:id="1469"/>
    </w:p>
    <w:p>
      <w:pPr>
        <w:pStyle w:val="FirstParagraph"/>
      </w:pPr>
      <w:r>
        <w:t xml:space="preserve">A companion to Transforming Healthcare.</w:t>
      </w:r>
    </w:p>
    <w:p>
      <w:pPr>
        <w:pStyle w:val="Heading2"/>
        <w:pBdr>
          <w:top w:val="single" w:sz="6" w:space="10" w:color="C9D2DF"/>
        </w:pBdr>
      </w:pPr>
      <w:r>
        <w:rPr>
          <w:color w:val="161B22"/>
        </w:rPr>
        <w:t xml:space="preserve">F.1  </w:t>
      </w:r>
      <w:bookmarkStart w:id="1470" w:name="_Toc1469"/>
      <w:r>
        <w:rPr>
          <w:b/>
          <w:bCs/>
          <w:color w:val="161B22"/>
        </w:rPr>
        <w:t xml:space="preserve">What This Platform Is</w:t>
      </w:r>
      <w:bookmarkEnd w:id="1470"/>
    </w:p>
    <w:p>
      <w:pPr>
        <w:pStyle w:val="FirstParagraph"/>
      </w:pPr>
      <w: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F.2  </w:t>
      </w:r>
      <w:bookmarkStart w:id="1471" w:name="_Toc1470"/>
      <w:r>
        <w:rPr>
          <w:b/>
          <w:bCs/>
          <w:color w:val="161B22"/>
        </w:rPr>
        <w:t xml:space="preserve">Navigating the Platform</w:t>
      </w:r>
      <w:bookmarkEnd w:id="1471"/>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F.3  </w:t>
      </w:r>
      <w:bookmarkStart w:id="1472" w:name="_Toc1471"/>
      <w:r>
        <w:rPr>
          <w:b/>
          <w:bCs/>
          <w:color w:val="161B22"/>
        </w:rPr>
        <w:t xml:space="preserve">The Five Pillars of Intelligence</w:t>
      </w:r>
      <w:bookmarkEnd w:id="1472"/>
    </w:p>
    <w:p>
      <w:pPr>
        <w:pStyle w:val="FirstParagraph"/>
        <w:keepNext w:val="false"/>
      </w:pPr>
      <w:r>
        <w:t xml:space="preserve">The knowledge base is organized around the same five-pillar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F.4  </w:t>
      </w:r>
      <w:bookmarkStart w:id="1473" w:name="_Toc1472"/>
      <w:r>
        <w:rPr>
          <w:b/>
          <w:bCs/>
          <w:color w:val="161B22"/>
        </w:rPr>
        <w:t xml:space="preserve">The Academy</w:t>
      </w:r>
      <w:bookmarkEnd w:id="1473"/>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F.5  </w:t>
      </w:r>
      <w:bookmarkStart w:id="1474" w:name="_Toc1473"/>
      <w:r>
        <w:rPr>
          <w:b/>
          <w:bCs/>
          <w:color w:val="161B22"/>
        </w:rPr>
        <w:t xml:space="preserve">The Research Lab</w:t>
      </w:r>
      <w:bookmarkEnd w:id="1474"/>
    </w:p>
    <w:p>
      <w:pPr>
        <w:pStyle w:val="FirstParagraph"/>
      </w:pPr>
      <w:r>
        <w:t xml:space="preserve">The Research Lab is a suite of nearly forty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D.</w:t>
      </w:r>
    </w:p>
    <w:p>
      <w:pPr>
        <w:pStyle w:val="Heading2"/>
        <w:pBdr>
          <w:top w:val="single" w:sz="6" w:space="10" w:color="C9D2DF"/>
        </w:pBdr>
      </w:pPr>
      <w:r>
        <w:rPr>
          <w:color w:val="161B22"/>
        </w:rPr>
        <w:t xml:space="preserve">F.6  </w:t>
      </w:r>
      <w:bookmarkStart w:id="1475" w:name="_Toc1474"/>
      <w:r>
        <w:rPr>
          <w:b/>
          <w:bCs/>
          <w:color w:val="161B22"/>
        </w:rPr>
        <w:t xml:space="preserve">States &amp; Programs</w:t>
      </w:r>
      <w:bookmarkEnd w:id="1475"/>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F.7  </w:t>
      </w:r>
      <w:bookmarkStart w:id="1476" w:name="_Toc1475"/>
      <w:r>
        <w:rPr>
          <w:b/>
          <w:bCs/>
          <w:color w:val="161B22"/>
        </w:rPr>
        <w:t xml:space="preserve">Advisory &amp; Services and the AI Analyst</w:t>
      </w:r>
      <w:bookmarkEnd w:id="1476"/>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F.8  </w:t>
      </w:r>
      <w:bookmarkStart w:id="1477" w:name="_Toc1476"/>
      <w:r>
        <w:rPr>
          <w:b/>
          <w:bCs/>
          <w:color w:val="161B22"/>
        </w:rPr>
        <w:t xml:space="preserve">Reader Profiles and Recommended Paths</w:t>
      </w:r>
      <w:bookmarkEnd w:id="1477"/>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(five-pillar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78" w:name="_Toc1477"/>
      <w:r>
        <w:rPr>
          <w:b/>
          <w:bCs/>
          <w:color w:val="161B22"/>
        </w:rPr>
        <w:t xml:space="preserve">Appendix G — Adapting and Stress-Testing the Framework</w:t>
      </w:r>
      <w:bookmarkEnd w:id="1478"/>
    </w:p>
    <w:p>
      <w:pPr>
        <w:pStyle w:val="FirstParagraph"/>
      </w:pPr>
      <w: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G.1  </w:t>
      </w:r>
      <w:bookmarkStart w:id="1479" w:name="_Toc1478"/>
      <w:r>
        <w:rPr>
          <w:b/>
          <w:bCs/>
          <w:color w:val="161B22"/>
        </w:rPr>
        <w:t xml:space="preserve">Glossary of Vermont-Specific Acronyms and Institutions</w:t>
      </w:r>
      <w:bookmarkEnd w:id="1479"/>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$195M for its first year, awarded annually through FY2030.</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G.2  </w:t>
      </w:r>
      <w:bookmarkStart w:id="1480" w:name="_Toc1479"/>
      <w:r>
        <w:rPr>
          <w:b/>
          <w:bCs/>
          <w:color w:val="161B22"/>
        </w:rPr>
        <w:t xml:space="preserve">Worksheet — Adapt This Framework to Your State</w:t>
      </w:r>
      <w:bookmarkEnd w:id="1480"/>
    </w:p>
    <w:p>
      <w:pPr>
        <w:pStyle w:val="FirstParagraph"/>
        <w:keepNext w:val="false"/>
      </w:pPr>
      <w: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G.3  </w:t>
      </w:r>
      <w:bookmarkStart w:id="1481" w:name="_Toc1480"/>
      <w:r>
        <w:rPr>
          <w:b/>
          <w:bCs/>
          <w:color w:val="161B22"/>
        </w:rPr>
        <w:t xml:space="preserve">The Transition Window — Financing FY2027–2030</w:t>
      </w:r>
      <w:bookmarkEnd w:id="1481"/>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G.3.1  </w:t>
      </w:r>
      <w:bookmarkStart w:id="1482" w:name="_Toc1481"/>
      <w:r>
        <w:rPr>
          <w:b/>
          <w:bCs/>
          <w:color w:val="161B22"/>
        </w:rPr>
        <w:t xml:space="preserve">What bridges exist</w:t>
      </w:r>
      <w:bookmarkEnd w:id="1482"/>
    </w:p>
    <w:p>
      <w:pPr>
        <w:pStyle w:val="FirstParagraph"/>
        <w:keepNext w:val="false"/>
      </w:pPr>
      <w:r>
        <w:t xml:space="preserve">Three sources of transition-period support were expected to exist in parallel, on different timelines and with different eligibility rules — though only two now actually apply. The Rural Health Transformation Program provides Vermont roughly $195M per year across five years (2026–2030), about $1 billion in total — capital funding intended for structural transformation, not operating-loss replacement, and explicitly time-limited. The AHEAD EAST Fund was to provide up to $150M per year to Vermont, contingent on Cohort 2 implementation milestones beginning January 2028 — but Vermont withdrew from AHEAD in July 2026, so this funding will not arrive at all (see</w:t>
      </w:r>
      <w:r>
        <w:t xml:space="preserve"> </w:t>
      </w:r>
      <w:r>
        <w:t xml:space="preserve">“The AHEAD Model”</w:t>
      </w:r>
      <w:r>
        <w:t xml:space="preserve"> </w:t>
      </w:r>
      <w:r>
        <w:t xml:space="preserve">in this chapter).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are already in operation, commercial RBP becomes mandatory in FY2027 (October 2026),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p>
        </w:tc>
      </w:tr>
    </w:tbl>
    <w:p>
      <w:pPr>
        <w:spacing w:after="120" w:line="240" w:lineRule="auto"/>
        <w:rPr>
          <w:sz w:val="16"/>
        </w:rPr>
      </w:pPr>
    </w:p>
    <w:p>
      <w:pPr>
        <w:pStyle w:val="Heading3"/>
      </w:pPr>
      <w:r>
        <w:rPr>
          <w:color w:val="161B22"/>
        </w:rPr>
        <w:t xml:space="preserve">G.3.2  </w:t>
      </w:r>
      <w:bookmarkStart w:id="1483" w:name="_Toc1482"/>
      <w:r>
        <w:rPr>
          <w:b/>
          <w:bCs/>
          <w:color w:val="161B22"/>
        </w:rPr>
        <w:t xml:space="preserve">What this means for a hospital CFO</w:t>
      </w:r>
      <w:bookmarkEnd w:id="1483"/>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pPr>
      <w:r>
        <w:rPr>
          <w:color w:val="161B22"/>
        </w:rPr>
        <w:t xml:space="preserve">G.4  </w:t>
      </w:r>
      <w:bookmarkStart w:id="1484" w:name="_Toc1483"/>
      <w:r>
        <w:rPr>
          <w:b/>
          <w:bCs/>
          <w:color w:val="161B22"/>
        </w:rPr>
        <w:t xml:space="preserve">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84"/>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G.4.1  </w:t>
      </w:r>
      <w:bookmarkStart w:id="1485" w:name="_Toc1484"/>
      <w:r>
        <w:rPr>
          <w:b/>
          <w:bCs/>
          <w:color w:val="161B22"/>
        </w:rPr>
        <w:t xml:space="preserve">GMCB’s enforcement toolkit</w:t>
      </w:r>
      <w:bookmarkEnd w:id="1485"/>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G.4.2  </w:t>
      </w:r>
      <w:bookmarkStart w:id="1486" w:name="_Toc1485"/>
      <w:r>
        <w:rPr>
          <w:b/>
          <w:bCs/>
          <w:color w:val="161B22"/>
        </w:rPr>
        <w:t xml:space="preserve">The test case: GMCB v. UVMMC</w:t>
      </w:r>
      <w:bookmarkEnd w:id="1486"/>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line="240" w:lineRule="auto"/>
        <w:rPr>
          <w:sz w:val="16"/>
        </w:rPr>
      </w:pPr>
    </w:p>
    <w:p>
      <w:r>
        <w:br w:type="page"/>
      </w:r>
    </w:p>
    <w:p>
      <w:pPr>
        <w:pStyle w:val="Heading1"/>
      </w:pPr>
      <w:bookmarkStart w:id="1487" w:name="_Toc1486"/>
      <w:r>
        <w:rPr>
          <w:b/>
          <w:bCs/>
          <w:color w:val="161B22"/>
        </w:rPr>
        <w:t xml:space="preserve">Appendix H — The HTR Lab Workbook: A Five-Pillar Practicum</w:t>
      </w:r>
      <w:bookmarkEnd w:id="1487"/>
    </w:p>
    <w:p>
      <w:pPr>
        <w:pStyle w:val="FirstParagraph"/>
      </w:pPr>
      <w:r>
        <w:rPr>
          <w:i/>
          <w:iCs/>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H.1  </w:t>
      </w:r>
      <w:bookmarkStart w:id="1488" w:name="_Toc1487"/>
      <w:r>
        <w:rPr>
          <w:b/>
          <w:bCs/>
          <w:color w:val="161B22"/>
        </w:rPr>
        <w:t xml:space="preserve">How to Use This Workbook</w:t>
      </w:r>
      <w:bookmarkEnd w:id="1488"/>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H.2  </w:t>
      </w:r>
      <w:bookmarkStart w:id="1489" w:name="_Toc1488"/>
      <w:r>
        <w:rPr>
          <w:b/>
          <w:bCs/>
          <w:color w:val="161B22"/>
        </w:rPr>
        <w:t xml:space="preserve">Stage 1 — Policy: Establish the Mandate</w:t>
      </w:r>
      <w:bookmarkEnd w:id="1489"/>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ody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H.3  </w:t>
      </w:r>
      <w:bookmarkStart w:id="1490" w:name="_Toc1489"/>
      <w:r>
        <w:rPr>
          <w:b/>
          <w:bCs/>
          <w:color w:val="161B22"/>
        </w:rPr>
        <w:t xml:space="preserve">Stage 2 — Technology: Build the Substrate</w:t>
      </w:r>
      <w:bookmarkEnd w:id="1490"/>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ody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H.4  </w:t>
      </w:r>
      <w:bookmarkStart w:id="1491" w:name="_Toc1490"/>
      <w:r>
        <w:rPr>
          <w:b/>
          <w:bCs/>
          <w:color w:val="161B22"/>
        </w:rPr>
        <w:t xml:space="preserve">Stage 3 — Economics: Put Incentives on a Visible System</w:t>
      </w:r>
      <w:bookmarkEnd w:id="1491"/>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ody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H.5  </w:t>
      </w:r>
      <w:bookmarkStart w:id="1492" w:name="_Toc1491"/>
      <w:r>
        <w:rPr>
          <w:b/>
          <w:bCs/>
          <w:color w:val="161B22"/>
        </w:rPr>
        <w:t xml:space="preserve">Stage 4 — Clinical: Redesign Care on Aligned Incentives</w:t>
      </w:r>
      <w:bookmarkEnd w:id="1492"/>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ody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H.6  </w:t>
      </w:r>
      <w:bookmarkStart w:id="1493" w:name="_Toc1492"/>
      <w:r>
        <w:rPr>
          <w:b/>
          <w:bCs/>
          <w:color w:val="161B22"/>
        </w:rPr>
        <w:t xml:space="preserve">The Equity Imperative: Calibrate for the Gap, Not the Average</w:t>
      </w:r>
      <w:bookmarkEnd w:id="1493"/>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ody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H.7  </w:t>
      </w:r>
      <w:bookmarkStart w:id="1494" w:name="_Toc1493"/>
      <w:r>
        <w:rPr>
          <w:b/>
          <w:bCs/>
          <w:color w:val="161B22"/>
        </w:rPr>
        <w:t xml:space="preserve">Stage 5 — Operations: Close the Execution Gap</w:t>
      </w:r>
      <w:bookmarkEnd w:id="1494"/>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five-pillar readiness and project the workforce required to operate the redesigned model.</w:t>
      </w:r>
    </w:p>
    <w:p>
      <w:pPr>
        <w:pStyle w:val="BodyText"/>
        <w:keepNext w:val="false"/>
      </w:pPr>
      <w:r>
        <w:t xml:space="preserve">The Stage 5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Healthcare</w:t>
            </w:r>
            <w:r>
              <w:rPr>
                <w:sz w:val="20"/>
                <w:szCs w:val="20"/>
              </w:rPr>
              <w:t xml:space="preserve">, reproduced by your own hand.</w:t>
            </w:r>
          </w:p>
        </w:tc>
      </w:tr>
    </w:tbl>
    <w:p>
      <w:pPr>
        <w:spacing w:after="120" w:line="240" w:lineRule="auto"/>
        <w:rPr>
          <w:sz w:val="16"/>
        </w:rPr>
      </w:pPr>
    </w:p>
    <w:p>
      <w:pPr>
        <w:pStyle w:val="Caption"/>
      </w:pPr>
      <w:r>
        <w:rPr>
          <w:i/>
          <w:iCs/>
        </w:rPr>
        <w:t xml:space="preserve">Figure I.1 — The HTR Lab Workbook maps each of the five pillars to a working platform tool, in the book’s execution sequence.</w:t>
      </w:r>
    </w:p>
    <w:p>
      <w:pPr>
        <w:pStyle w:val="Heading1"/>
      </w:pPr>
      <w:bookmarkStart w:id="1495" w:name="_Toc1494"/>
      <w:r>
        <w:rPr>
          <w:b/>
          <w:bCs/>
          <w:color w:val="161B22"/>
        </w:rPr>
        <w:t xml:space="preserve">Figure Index</w:t>
      </w:r>
      <w:bookmarkEnd w:id="1495"/>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five pillars: diagnostic questions and structural roles. Sources: Acts 167 (2022) and 68 (2025).</w:t>
      </w:r>
    </w:p>
    <w:p>
      <w:pPr>
        <w:pStyle w:val="Caption"/>
      </w:pPr>
      <w:r>
        <w:t xml:space="preserve">Figure 1.3 — The Dependency Matrix. Read each cell as row-pillar → column-pillar. Sources: Acts 167 (2022) and 68 (2025).</w:t>
      </w:r>
    </w:p>
    <w:p>
      <w:pPr>
        <w:pStyle w:val="Caption"/>
      </w:pPr>
      <w:r>
        <w:t xml:space="preserve">Figure 1.4 — Failure-cascade analysis: what breaks when each pillar is absent. Sources: HTR analysis; CMMI evaluation literature; Oliver Wyman Act 167 Report; Vermont experience.</w:t>
      </w:r>
    </w:p>
    <w:p>
      <w:pPr>
        <w:pStyle w:val="Caption"/>
      </w:pPr>
      <w:r>
        <w:t xml:space="preserve">Figure 1.5 — Vermont’s five-pillar transformation map. Sources: Acts 167, 51, 55, 62, 68 of 2022–2025; AHEAD State Agreement; Vermont RHT Program Application; Oliver Wyman Act 167 Report.</w:t>
      </w:r>
    </w:p>
    <w:p>
      <w:pPr>
        <w:pStyle w:val="Caption"/>
      </w:pPr>
      <w:r>
        <w:t xml:space="preserve">Figure 1.6 — The Five-Stage Execution Sequence. Source: HTR Analysis (2026).</w:t>
      </w:r>
    </w:p>
    <w:p>
      <w:pPr>
        <w:pStyle w:val="Caption"/>
      </w:pPr>
      <w:r>
        <w:t xml:space="preserve">Figure 1.7 — Five sequencing errors: the diagnostic pattern, early-warning signals, and correction for each. Sources: HTR analysis; Vermont experience; Oliver Wyman Act 167 Report.</w:t>
      </w:r>
    </w:p>
    <w:p>
      <w:pPr>
        <w:pStyle w:val="Caption"/>
      </w:pPr>
      <w:r>
        <w:t xml:space="preserve">Figure 1.8 — Vermont’s transformation timeline, by pillar. Sources: HTR Analysis (2026); Act 68 of 2025; AHEAD State Agreement.</w:t>
      </w:r>
    </w:p>
    <w:p>
      <w:pPr>
        <w:pStyle w:val="Caption"/>
      </w:pPr>
      <w:r>
        <w:t xml:space="preserve">Figure 1.9 — Hands-on platform tools for Chapter 1: working the execution-sequence argument on the HTR platform.</w:t>
      </w:r>
    </w:p>
    <w:p>
      <w:pPr>
        <w:pStyle w:val="Caption"/>
      </w:pPr>
      <w:r>
        <w:t xml:space="preserve">Figure 1.10 — Academy Track 1 lessons mapped to this chapter.</w:t>
      </w:r>
    </w:p>
    <w:p>
      <w:pPr>
        <w:pStyle w:val="Caption"/>
      </w:pPr>
      <w:r>
        <w:t xml:space="preserve">Figure T.1 — Vermont Healthcare Transformation Timeline: 2022–2035. Source: Vermont Legislature, CMS, AHS, GMCB.</w:t>
      </w:r>
    </w:p>
    <w:p>
      <w:pPr>
        <w:pStyle w:val="Caption"/>
      </w:pPr>
      <w:r>
        <w:t xml:space="preserve">Figure 2.1 — Common perceptions of Vermont’s health system versus the data. Sources: Oliver Wyman Act 167 Report; GMCB.</w:t>
      </w:r>
    </w:p>
    <w:p>
      <w:pPr>
        <w:pStyle w:val="Caption"/>
      </w:pPr>
      <w:r>
        <w:t xml:space="preserve">Figure 2.2 — Proposed Centers of Excellence assignments by hospital. Source: Oliver Wyman regionalization blueprint.</w:t>
      </w:r>
    </w:p>
    <w:p>
      <w:pPr>
        <w:pStyle w:val="Caption"/>
      </w:pPr>
      <w:r>
        <w:t xml:space="preserve">Figure 2.3 — Act 68 statutory implementation timeline. Source: Act 68 of 2025.</w:t>
      </w:r>
    </w:p>
    <w:p>
      <w:pPr>
        <w:pStyle w:val="Caption"/>
      </w:pPr>
      <w:r>
        <w:t xml:space="preserve">Figure 2.4 — State reference-based pricing and rate-setting programs compared. Sources: state program documentation; RAND; GMCB.</w:t>
      </w:r>
    </w:p>
    <w:p>
      <w:pPr>
        <w:pStyle w:val="Caption"/>
      </w:pPr>
      <w:r>
        <w:t xml:space="preserve">Figure 2.5 — Hands-on platform tools for the Policy Pillar.</w:t>
      </w:r>
    </w:p>
    <w:p>
      <w:pPr>
        <w:pStyle w:val="Caption"/>
      </w:pPr>
      <w:r>
        <w:t xml:space="preserve">Figure 3.1 — CMMI model success factors: what distinguishes models that produce results from those that don’t. Sources: HTR analysis of CMMI evaluation literature; CMS model documentation.</w:t>
      </w:r>
    </w:p>
    <w:p>
      <w:pPr>
        <w:pStyle w:val="Caption"/>
      </w:pPr>
      <w:r>
        <w:t xml:space="preserve">Figure 3.2 — CMMI models most relevant to Vermont’s transformation. Source: CMS Innovation Center.</w:t>
      </w:r>
    </w:p>
    <w:p>
      <w:pPr>
        <w:pStyle w:val="Caption"/>
      </w:pPr>
      <w:r>
        <w:t xml:space="preserve">Figure 3.3 — Policy strategy functions for healthcare organizations. Source: HTR Advisory framework.</w:t>
      </w:r>
    </w:p>
    <w:p>
      <w:pPr>
        <w:pStyle w:val="Caption"/>
      </w:pPr>
      <w:r>
        <w:t xml:space="preserve">Figure 3.4 — H.R. 1 Medicaid provisions: timeline, financial impact, and Vermont implications. Sources: KFF analysis; CBO estimates; Pew Charitable Trusts (January 2026).</w:t>
      </w:r>
    </w:p>
    <w:p>
      <w:pPr>
        <w:pStyle w:val="Caption"/>
      </w:pPr>
      <w:r>
        <w:t xml:space="preserve">Figure 3.5 — Hands-on platform tools for the Policy Pillar in practice.</w:t>
      </w:r>
    </w:p>
    <w:p>
      <w:pPr>
        <w:pStyle w:val="Caption"/>
      </w:pPr>
      <w:r>
        <w:t xml:space="preserve">Figure 4.1 — Vermont’s three-layer health data infrastructure. Sources: GMCB VHCURES documentation; Vermont HIE Strategic Plan.</w:t>
      </w:r>
    </w:p>
    <w:p>
      <w:pPr>
        <w:pStyle w:val="Caption"/>
      </w:pPr>
      <w:r>
        <w:t xml:space="preserve">Figure 4.2 — VHCURES structural limitations and required improvements. Sources: GMCB VHCURES data documentation; Oliver Wyman Act 167 Report; AHS Transformation Reports; Act 68 of 2025.</w:t>
      </w:r>
    </w:p>
    <w:p>
      <w:pPr>
        <w:pStyle w:val="Caption"/>
      </w:pPr>
      <w:r>
        <w:t xml:space="preserve">Figure 4.3 — Vermont’s three-step path to integrated health records. Sources: Vermont HIE Steering Committee statutory mandate; AHS January 2025 Legislative Presentation; DVHA HIE governance documents.</w:t>
      </w:r>
    </w:p>
    <w:p>
      <w:pPr>
        <w:pStyle w:val="Caption"/>
      </w:pPr>
      <w:r>
        <w:t xml:space="preserve">Figure 4.4 — The UHDS three-layer architecture. Each layer is dependent on the one below it. Sources: Vermont UHDS Transition Plan; DVHA HIE program documentation.</w:t>
      </w:r>
    </w:p>
    <w:p>
      <w:pPr>
        <w:pStyle w:val="Caption"/>
      </w:pPr>
      <w:r>
        <w:t xml:space="preserve">Figure 4.5 — Vermont statewide EHR: case for and against. The feasibility assessment underway will weigh these factors against Vermont’s specific cost, disruption tolerance, and FHIR interoperability capacity.</w:t>
      </w:r>
    </w:p>
    <w:p>
      <w:pPr>
        <w:pStyle w:val="Caption"/>
      </w:pPr>
      <w:r>
        <w:t xml:space="preserve">Figure 4.6 — Vermont FHIR compliance landscape (estimated as of 2026). Sources: AHS Legislative Presentation January 2025; Vermont RHT Program Application; GMCB HIE connectivity criteria.</w:t>
      </w:r>
    </w:p>
    <w:p>
      <w:pPr>
        <w:pStyle w:val="Caption"/>
      </w:pPr>
      <w: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4.8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5.3 — Technology pillar implementation matrix. Sources: HTR Advisory; Vermont RHT Program (2025); CMS interoperability rule.</w:t>
      </w:r>
    </w:p>
    <w:p>
      <w:pPr>
        <w:pStyle w:val="Caption"/>
      </w:pPr>
      <w:r>
        <w:t xml:space="preserve">Figure 5.4 — Hands-on platform tools for the Technology Pillar in practice.</w:t>
      </w:r>
    </w:p>
    <w:p>
      <w:pPr>
        <w:pStyle w:val="Caption"/>
      </w:pPr>
      <w:r>
        <w:t xml:space="preserve">Figure 6.1 — Vermont hospital commercial pricing vs. Medicare and break-even benchmarks. Sources: GMCB Act 68 RBP Update (February 2026); RAND Hospital Price Transparency Study.</w:t>
      </w:r>
    </w:p>
    <w:p>
      <w:pPr>
        <w:pStyle w:val="Caption"/>
      </w:pPr>
      <w:r>
        <w:t xml:space="preserve">Figure 6.2 — Vermont silver marketplace premium trajectory 2018–2024, showing 108% increase over six years. Sources: Oliver Wyman Act 167 Report; GMCB analysis.</w:t>
      </w:r>
    </w:p>
    <w:p>
      <w:pPr>
        <w:pStyle w:val="Caption"/>
      </w:pPr>
      <w:r>
        <w:t xml:space="preserve">Figure 6.3 — Cross-state reference-based pricing and rate regulation: design and outcomes. Sources: GMCB Act 68 Update (February 2026); Health Affairs; Commonwealth Fund; CMS.</w:t>
      </w:r>
    </w:p>
    <w:p>
      <w:pPr>
        <w:pStyle w:val="Caption"/>
      </w:pPr>
      <w:r>
        <w:t xml:space="preserve">Figure 6.4 — Vermont RBP and global budget implementation phases. Source: GMCB Act 68 Update, February 2026.</w:t>
      </w:r>
    </w:p>
    <w:p>
      <w:pPr>
        <w:pStyle w:val="Caption"/>
      </w:pPr>
      <w:r>
        <w:t xml:space="preserve">Figure 6.5 — Five dimensions of global budget design with Vermont’s current direction. Sources: GMCB Act 68 Update (February 2026); Act 68 of 2025.</w:t>
      </w:r>
    </w:p>
    <w:p>
      <w:pPr>
        <w:pStyle w:val="Caption"/>
      </w:pPr>
      <w:r>
        <w:t xml:space="preserve">Figure 6.6 — Vermont global budget history: four attempts and the central lesson. Sources: GMCB Act 68 Update (February 2026); Oliver Wyman Act 167 Report.</w:t>
      </w:r>
    </w:p>
    <w:p>
      <w:pPr>
        <w:pStyle w:val="Caption"/>
      </w:pPr>
      <w:r>
        <w:t xml:space="preserve">Figure 6.7 — Maryland All-Payer Global Budget Model results summary. Sources: HSCRC; CMS; Commonwealth Fund; Milbank Memorial Fund.</w:t>
      </w:r>
    </w:p>
    <w:p>
      <w:pPr>
        <w:pStyle w:val="Caption"/>
      </w:pPr>
      <w:r>
        <w:t xml:space="preserve">Figure 6.8 — Oliver Wyman Vermont hospital financial projection scenarios. Source: Oliver Wyman Act 167 Community Engagement: Recommendations (August 2024, revised October 2024 and January 2025).</w:t>
      </w:r>
    </w:p>
    <w:p>
      <w:pPr>
        <w:pStyle w:val="Caption"/>
      </w:pPr>
      <w:r>
        <w:t xml:space="preserve">Figure 6.9 — Financial metrics that matter: FFS vs. global budget environment. Compiled from GMCB guidance, Maryland HSCRC methodology, and Act 68 accountability framework.</w:t>
      </w:r>
    </w:p>
    <w:p>
      <w:pPr>
        <w:pStyle w:val="Caption"/>
      </w:pPr>
      <w:r>
        <w:t xml:space="preserve">Figure 6.10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6.11 — Three-phase APM transition model for Vermont healthcare organizations.</w:t>
      </w:r>
    </w:p>
    <w:p>
      <w:pPr>
        <w:pStyle w:val="Caption"/>
      </w:pPr>
      <w:r>
        <w:t xml:space="preserve">Figure 6.12 — Hands-on platform tools for the Economics Pillar.</w:t>
      </w:r>
    </w:p>
    <w:p>
      <w:pPr>
        <w:pStyle w:val="Caption"/>
      </w:pPr>
      <w:r>
        <w:t xml:space="preserve">Figure 7.1 — APM shared savings calculation framework. Sources: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7.3 — APM contract review framework: provisions and key questions. Source: HTR Advisory framework.</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7.6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8.7 — Hands-on platform tools for the Clinical Pillar.</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9.6 — Hands-on platform tools for the Clinical Pillar in practice.</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Caption"/>
      </w:pPr>
      <w:r>
        <w:t xml:space="preserve">Figure 10.4 — Vermont equity gaps and required investments. Sources: Vermont Department of Health Health Equity Data Report (January 2025); Oliver Wyman Act 167 Report; AHS Transformation Reports; KFF GLP-1 coverage analysis.</w:t>
      </w:r>
    </w:p>
    <w:p>
      <w:pPr>
        <w:pStyle w:val="Caption"/>
      </w:pPr>
      <w:r>
        <w:t xml:space="preserve">Figure 10.5 — Equity as a cross-cutting dimension of all five pillars. Sources: Act 68 of 2025; Oliver Wyman Act 167 Report; five-pillar framework.</w:t>
      </w:r>
    </w:p>
    <w:p>
      <w:pPr>
        <w:pStyle w:val="Caption"/>
      </w:pPr>
      <w:r>
        <w:t xml:space="preserve">Figure 10.6 — Vermont equity accountability framework: indicators, stratifications, and targets. Sources: Act 167; Act 68; VDH Health Equity Data Report (January 2025); AHS Transformation Reports.</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equity imperative implementation matrix. Sources: Vermont Department of Health Health Equity Data Report (January 2025); Act 68 of 2025.</w:t>
      </w:r>
    </w:p>
    <w:p>
      <w:pPr>
        <w:pStyle w:val="Caption"/>
      </w:pPr>
      <w:r>
        <w:t xml:space="preserve">Figure 10.9 — Five-step disparity closure process with Vermont applications. Source: HTR’s Health Equity Studio methodology.</w:t>
      </w:r>
    </w:p>
    <w:p>
      <w:pPr>
        <w:pStyle w:val="Caption"/>
      </w:pPr>
      <w:r>
        <w:t xml:space="preserve">Figure 10.10 — Vermont equity analytics: current data sources by equity dimension. Sources: GMCB; VDH; Blueprint for Health; DVHA; AHS.</w:t>
      </w:r>
    </w:p>
    <w:p>
      <w:pPr>
        <w:pStyle w:val="Caption"/>
      </w:pPr>
      <w:r>
        <w:t xml:space="preserve">Figure 10.11 — Hands-on platform tools for the Equity Imperative.</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11.8 — Attribution error taxonomy and remediation. Sources: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11.10 — Hands-on platform tools for the Operations Pillar.</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Sources: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12.4 — Hands-on platform tools for Chapter 12: turning knowledge into implementation.</w:t>
      </w:r>
    </w:p>
    <w:p>
      <w:pPr>
        <w:pStyle w:val="Caption"/>
      </w:pPr>
      <w: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13.5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14.3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Sources: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E).</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15.8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Key parameters for the Strategic Plan. Sources: Act 68; VTDigger; Oliver Wyman Act 167 Report; Vermont RHT Program Application.</w:t>
      </w:r>
    </w:p>
    <w:p>
      <w:pPr>
        <w:pStyle w:val="Caption"/>
      </w:pPr>
      <w:r>
        <w:t xml:space="preserve">Figure 16.6 — Hands-on platform tools for Chapter 16: testing the AHS restructuring design.</w:t>
      </w:r>
    </w:p>
    <w:p>
      <w:pPr>
        <w:pStyle w:val="Caption"/>
      </w:pPr>
      <w:r>
        <w:t xml:space="preserve">Figure A.1 — Vermont demographic transformation. Sources: Oliver Wyman Act 167 Report (2024); Vermont RHT Program Application; KFF.</w:t>
      </w:r>
    </w:p>
    <w:p>
      <w:pPr>
        <w:pStyle w:val="Caption"/>
      </w:pPr>
      <w:r>
        <w:t xml:space="preserve">Figure A.2 — GMCB regulatory functions. Sources: GMCB Hospital Budget Review Guide; Acts 167 and 68; GMCB Annual Report 2024.</w:t>
      </w:r>
    </w:p>
    <w:p>
      <w:pPr>
        <w:pStyle w:val="Caption"/>
      </w:pPr>
      <w:r>
        <w:t xml:space="preserve">Figure A.3 — Vermont’s 14 hospitals: typology, grant status, focus, and challenges. Sources: AHS Hospital Tracking data (January 2026); individual transformation plans (January 15, 2026); GMCB FY26 Budget Orders.</w:t>
      </w:r>
    </w:p>
    <w:p>
      <w:pPr>
        <w:pStyle w:val="Caption"/>
      </w:pPr>
      <w:r>
        <w:t xml:space="preserve">Figure A.4 — Vermont hospital transformation initiative themes, January 2026 (148 initiatives). Source: AHS Transformation Plans Analysis (January 2026).</w:t>
      </w:r>
    </w:p>
    <w:p>
      <w:pPr>
        <w:pStyle w:val="Caption"/>
      </w:pPr>
      <w:r>
        <w:t xml:space="preserve">Figure B.1 — Act 68 statutory timeline and milestones. Source: Act 68 of 2025.</w:t>
      </w:r>
    </w:p>
    <w:p>
      <w:pPr>
        <w:pStyle w:val="Caption"/>
      </w:pPr>
      <w:r>
        <w:t xml:space="preserve">Figure B.2 — Policy-pillar implementation matrix. Sources: HTR Advisory methodology; Vermont RHT Program Application (2025); GMCB rate-setting documentation.</w:t>
      </w:r>
    </w:p>
    <w:p>
      <w:pPr>
        <w:pStyle w:val="Caption"/>
      </w:pPr>
      <w:r>
        <w:t xml:space="preserve">Figure E.1 — Policy-pillar scorecard. Sources: Act 68 of 2025; Oliver Wyman Act 167 Report; CMS AHEAD documentation; Vermont RHT Program Application.</w:t>
      </w:r>
    </w:p>
    <w:p>
      <w:pPr>
        <w:pStyle w:val="Caption"/>
      </w:pPr>
      <w:r>
        <w:t xml:space="preserve">Figure E.2 — Technology-pillar scorecard. Sources: GMCB VHCURES; VITL; Vermont DOH Health Equity Data Report (January 2025); Vermont RHT Application.</w:t>
      </w:r>
    </w:p>
    <w:p>
      <w:pPr>
        <w:pStyle w:val="Caption"/>
      </w:pPr>
      <w:r>
        <w:t xml:space="preserve">Figure E.3 — Economics-pillar scorecard. Sources: Oliver Wyman Act 167 Report; AHS November 2025 Report; GMCB price-transparency data; CMS AHEAD.</w:t>
      </w:r>
    </w:p>
    <w:p>
      <w:pPr>
        <w:pStyle w:val="Caption"/>
      </w:pPr>
      <w:r>
        <w:t xml:space="preserve">Figure E.4 — Clinical-pillar scorecard. Sources: Vermont Blueprint Annual Report 2024; Vermont AHS; GMCB quality reporting; Oliver Wyman workforce analysis.</w:t>
      </w:r>
    </w:p>
    <w:p>
      <w:pPr>
        <w:pStyle w:val="Caption"/>
      </w:pPr>
      <w:r>
        <w:t xml:space="preserve">Figure E.5 — Equity Imperative scorecard. Sources: Vermont DOH Health Equity Data Report (January 2025); Act 68; GMCB equity reporting; HTR HEROI framework.</w:t>
      </w:r>
    </w:p>
    <w:p>
      <w:pPr>
        <w:pStyle w:val="Caption"/>
      </w:pPr>
      <w:r>
        <w:t xml:space="preserve">Figure E.6 — Operations-pillar scorecard. Sources: AHS Transformation Reports (August, November 2025); RHRC; Vermont RHT Program Application; Act 68.</w:t>
      </w:r>
    </w:p>
    <w:p>
      <w:pPr>
        <w:pStyle w:val="Caption"/>
      </w:pPr>
      <w:r>
        <w:t xml:space="preserve">Figure I.1 — The HTR Lab Workbook maps each of the five pillars to a working platform tool, in the book’s execution sequence.</w:t>
      </w:r>
    </w:p>
    <w:p>
      <w:pPr>
        <w:pStyle w:val="Heading1"/>
      </w:pPr>
      <w:bookmarkStart w:id="1496" w:name="_Toc1495"/>
      <w:r>
        <w:rPr>
          <w:b/>
          <w:bCs/>
          <w:color w:val="161B22"/>
        </w:rPr>
        <w:t xml:space="preserve">Bibliography and Source Notes</w:t>
      </w:r>
      <w:bookmarkEnd w:id="1496"/>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97" w:name="_Toc1496"/>
      <w:r>
        <w:rPr>
          <w:b/>
          <w:bCs/>
          <w:color w:val="161B22"/>
        </w:rPr>
        <w:t xml:space="preserve">Index (Selected)</w:t>
      </w:r>
      <w:bookmarkEnd w:id="1497"/>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3"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0" Type="http://schemas.openxmlformats.org/officeDocument/2006/relationships/hyperlink" Target="https://healthtransformationreview.org/academy/getting-started" TargetMode="External"/><Relationship Id="rId50"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39" Type="http://schemas.openxmlformats.org/officeDocument/2006/relationships/hyperlink" Target="https://healthtransformationreview.org/dashboard" TargetMode="External"/><Relationship Id="rId51" Type="http://schemas.openxmlformats.org/officeDocument/2006/relationships/hyperlink" Target="https://healthtransformationreview.org/dashboard/vermont/hospitals" TargetMode="External"/><Relationship Id="rId420" Type="http://schemas.openxmlformats.org/officeDocument/2006/relationships/hyperlink" Target="https://healthtransformationreview.org/hti-dashboard" TargetMode="External"/><Relationship Id="rId45" Type="http://schemas.openxmlformats.org/officeDocument/2006/relationships/hyperlink" Target="https://healthtransformationreview.org/htr-simulator" TargetMode="External"/><Relationship Id="rId456"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1" Type="http://schemas.openxmlformats.org/officeDocument/2006/relationships/hyperlink" Target="https://healthtransformationreview.org/research-lab/knowledge-workspace?tab=evidence" TargetMode="External"/><Relationship Id="rId421" Type="http://schemas.openxmlformats.org/officeDocument/2006/relationships/hyperlink" Target="https://healthtransformationreview.org/research-lab/knowledge-workspace?tab=leaderboard" TargetMode="External"/><Relationship Id="rId402"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6" Type="http://schemas.openxmlformats.org/officeDocument/2006/relationships/hyperlink" Target="https://healthtransformationreview.org/research-lab/policy-quality" TargetMode="External"/><Relationship Id="rId422" Type="http://schemas.openxmlformats.org/officeDocument/2006/relationships/hyperlink" Target="https://healthtransformationreview.org/the-wire" TargetMode="External"/><Relationship Id="rId87" Type="http://schemas.openxmlformats.org/officeDocument/2006/relationships/hyperlink" Target="https://healthtransformationreview.org/transformation-friction-index" TargetMode="External"/><Relationship Id="rId48" Type="http://schemas.openxmlformats.org/officeDocument/2006/relationships/hyperlink" Target="https://healthtransformationreview.org/vermont-act-167" TargetMode="External"/><Relationship Id="rId49"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3"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0" Type="http://schemas.openxmlformats.org/officeDocument/2006/relationships/hyperlink" Target="https://healthtransformationreview.org/academy/getting-started" TargetMode="External"/><Relationship Id="rId50"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39" Type="http://schemas.openxmlformats.org/officeDocument/2006/relationships/hyperlink" Target="https://healthtransformationreview.org/dashboard" TargetMode="External"/><Relationship Id="rId51" Type="http://schemas.openxmlformats.org/officeDocument/2006/relationships/hyperlink" Target="https://healthtransformationreview.org/dashboard/vermont/hospitals" TargetMode="External"/><Relationship Id="rId420" Type="http://schemas.openxmlformats.org/officeDocument/2006/relationships/hyperlink" Target="https://healthtransformationreview.org/hti-dashboard" TargetMode="External"/><Relationship Id="rId45" Type="http://schemas.openxmlformats.org/officeDocument/2006/relationships/hyperlink" Target="https://healthtransformationreview.org/htr-simulator" TargetMode="External"/><Relationship Id="rId456"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1" Type="http://schemas.openxmlformats.org/officeDocument/2006/relationships/hyperlink" Target="https://healthtransformationreview.org/research-lab/knowledge-workspace?tab=evidence" TargetMode="External"/><Relationship Id="rId421" Type="http://schemas.openxmlformats.org/officeDocument/2006/relationships/hyperlink" Target="https://healthtransformationreview.org/research-lab/knowledge-workspace?tab=leaderboard" TargetMode="External"/><Relationship Id="rId402"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6" Type="http://schemas.openxmlformats.org/officeDocument/2006/relationships/hyperlink" Target="https://healthtransformationreview.org/research-lab/policy-quality" TargetMode="External"/><Relationship Id="rId422" Type="http://schemas.openxmlformats.org/officeDocument/2006/relationships/hyperlink" Target="https://healthtransformationreview.org/the-wire" TargetMode="External"/><Relationship Id="rId87" Type="http://schemas.openxmlformats.org/officeDocument/2006/relationships/hyperlink" Target="https://healthtransformationreview.org/transformation-friction-index" TargetMode="External"/><Relationship Id="rId48" Type="http://schemas.openxmlformats.org/officeDocument/2006/relationships/hyperlink" Target="https://healthtransformationreview.org/vermont-act-167" TargetMode="External"/><Relationship Id="rId49"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2026-09-09T20:35:48Z</dcterms:created>
  <dcterms:modified xsi:type="dcterms:W3CDTF">2026-09-09T20:35:48Z</dcterms:modified>
</cp:coreProperties>
</file>

<file path=docProps/custom.xml><?xml version="1.0" encoding="utf-8"?>
<Properties xmlns="http://schemas.openxmlformats.org/officeDocument/2006/custom-properties" xmlns:vt="http://schemas.openxmlformats.org/officeDocument/2006/docPropsVTypes"/>
</file>