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before="1440" w:after="120"/>
        <w:jc w:val="left"/>
        <w:pBdr>
          <w:bottom w:val="single" w:sz="18" w:space="6" w:color="1B3A6B"/>
        </w:pBdr>
      </w:pPr>
      <w:r>
        <w:rPr>
          <w:b/>
          <w:bCs/>
          <w:i w:val="0"/>
          <w:color w:val="1B3A6B"/>
          <w:sz w:val="52"/>
        </w:rPr>
        <w:t>TRANSFORMING AMERICAN HEALTHCARE</w:t>
      </w:r>
    </w:p>
    <w:p>
      <w:pPr>
        <w:pStyle w:val="BodyText"/>
        <w:spacing w:before="200" w:after="40"/>
        <w:jc w:val="left"/>
      </w:pPr>
      <w:r>
        <w:rPr>
          <w:b w:val="0"/>
          <w:bCs/>
          <w:i/>
          <w:color w:val="1B3A6B"/>
          <w:sz w:val="28"/>
        </w:rPr>
        <w:t xml:space="preserve">A Six-Pillar Framework for System Transformation</w:t>
      </w:r>
    </w:p>
    <w:p>
      <w:pPr>
        <w:pStyle w:val="BodyText"/>
        <w:spacing w:after="480"/>
        <w:jc w:val="left"/>
      </w:pPr>
      <w:r>
        <w:rPr>
          <w:b w:val="0"/>
          <w:i/>
          <w:iCs/>
          <w:color w:val="1B3A6B"/>
          <w:sz w:val="23"/>
        </w:rPr>
        <w:t xml:space="preserve">With Vermont as the National Proving Ground</w:t>
      </w:r>
    </w:p>
    <w:p>
      <w:pPr>
        <w:pStyle w:val="BodyText"/>
        <w:spacing w:before="80" w:after="40"/>
        <w:jc w:val="left"/>
      </w:pPr>
      <w:r>
        <w:rPr>
          <w:b/>
          <w:i w:val="0"/>
          <w:color w:val="1A1A1A"/>
          <w:sz w:val="24"/>
        </w:rPr>
        <w:t xml:space="preserve">Bechir BenSaid</w:t>
      </w:r>
    </w:p>
    <w:p>
      <w:pPr>
        <w:spacing w:after="280"/>
      </w:pPr>
    </w:p>
    <w:p>
      <w:pPr>
        <w:jc w:val="center"/>
      </w:pPr>
      <w:r>
        <w:drawing>
          <wp:inline>
            <wp:extent cx="5222313" cy="5166360"/>
            <wp:docPr id="1" name="Picture 1"/>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5222313" cy="5166360"/>
                    </a:xfrm>
                    <a:prstGeom prst="rect"/>
                  </pic:spPr>
                </pic:pic>
              </a:graphicData>
            </a:graphic>
          </wp:inline>
        </w:drawing>
      </w:r>
    </w:p>
    <w:p>
      <w:r>
        <w:br w:type="page"/>
      </w:r>
    </w:p>
    <w:p>
      <w:r>
        <w:br w:type="page"/>
      </w:r>
    </w:p>
    <w:p>
      <w:pPr>
        <w:pStyle w:val="Title"/>
      </w:pPr>
      <w:r>
        <w:rPr>
          <w:color w:val="1B3A6B"/>
        </w:rPr>
        <w:t>Table of Contents</w:t>
      </w:r>
    </w:p>
    <w:p>
      <w:r>
        <w:fldChar w:fldCharType="begin"/>
      </w:r>
      <w:r>
        <w:instrText xml:space="preserve">TOC \o "1-2" \h \z \u</w:instrText>
      </w:r>
      <w:r>
        <w:fldChar w:fldCharType="separate"/>
      </w:r>
    </w:p>
    <w:p>
      <w:pPr>
        <w:pStyle w:val="TOC1"/>
      </w:pPr>
      <w:hyperlink w:anchor="_Toc1000">
        <w:r>
          <w:t xml:space="preserve">PREFACE</w:t>
        </w:r>
      </w:hyperlink>
      <w:r>
        <w:tab/>
      </w:r>
      <w:r>
        <w:fldChar w:fldCharType="begin"/>
      </w:r>
      <w:r>
        <w:instrText xml:space="preserve"> PAGEREF _Toc1000 \h </w:instrText>
      </w:r>
      <w:r>
        <w:fldChar w:fldCharType="separate"/>
      </w:r>
      <w:r>
        <w:t>1</w:t>
      </w:r>
      <w:r>
        <w:fldChar w:fldCharType="end"/>
      </w:r>
    </w:p>
    <w:p>
      <w:pPr>
        <w:pStyle w:val="TOC1"/>
      </w:pPr>
      <w:hyperlink w:anchor="_Toc1001">
        <w:r>
          <w:t xml:space="preserve">INTRODUCTION</w:t>
        </w:r>
      </w:hyperlink>
      <w:r>
        <w:tab/>
      </w:r>
      <w:r>
        <w:fldChar w:fldCharType="begin"/>
      </w:r>
      <w:r>
        <w:instrText xml:space="preserve"> PAGEREF _Toc1001 \h </w:instrText>
      </w:r>
      <w:r>
        <w:fldChar w:fldCharType="separate"/>
      </w:r>
      <w:r>
        <w:t>1</w:t>
      </w:r>
      <w:r>
        <w:fldChar w:fldCharType="end"/>
      </w:r>
    </w:p>
    <w:p>
      <w:pPr>
        <w:pStyle w:val="TOC2"/>
      </w:pPr>
      <w:hyperlink w:anchor="_Toc1002">
        <w:r>
          <w:t xml:space="preserve">September 18, 2024</w:t>
        </w:r>
      </w:hyperlink>
      <w:r>
        <w:tab/>
      </w:r>
      <w:r>
        <w:fldChar w:fldCharType="begin"/>
      </w:r>
      <w:r>
        <w:instrText xml:space="preserve"> PAGEREF _Toc1002 \h </w:instrText>
      </w:r>
      <w:r>
        <w:fldChar w:fldCharType="separate"/>
      </w:r>
      <w:r>
        <w:t>1</w:t>
      </w:r>
      <w:r>
        <w:fldChar w:fldCharType="end"/>
      </w:r>
    </w:p>
    <w:p>
      <w:pPr>
        <w:pStyle w:val="TOC2"/>
      </w:pPr>
      <w:hyperlink w:anchor="_Toc1003">
        <w:r>
          <w:t xml:space="preserve">What Transformation Actually Means</w:t>
        </w:r>
      </w:hyperlink>
      <w:r>
        <w:tab/>
      </w:r>
      <w:r>
        <w:fldChar w:fldCharType="begin"/>
      </w:r>
      <w:r>
        <w:instrText xml:space="preserve"> PAGEREF _Toc1003 \h </w:instrText>
      </w:r>
      <w:r>
        <w:fldChar w:fldCharType="separate"/>
      </w:r>
      <w:r>
        <w:t>1</w:t>
      </w:r>
      <w:r>
        <w:fldChar w:fldCharType="end"/>
      </w:r>
    </w:p>
    <w:p>
      <w:pPr>
        <w:pStyle w:val="TOC2"/>
      </w:pPr>
      <w:hyperlink w:anchor="_Toc1004">
        <w:r>
          <w:t xml:space="preserve">Vermont Is Not an Outlier. It Is a Preview.</w:t>
        </w:r>
      </w:hyperlink>
      <w:r>
        <w:tab/>
      </w:r>
      <w:r>
        <w:fldChar w:fldCharType="begin"/>
      </w:r>
      <w:r>
        <w:instrText xml:space="preserve"> PAGEREF _Toc1004 \h </w:instrText>
      </w:r>
      <w:r>
        <w:fldChar w:fldCharType="separate"/>
      </w:r>
      <w:r>
        <w:t>1</w:t>
      </w:r>
      <w:r>
        <w:fldChar w:fldCharType="end"/>
      </w:r>
    </w:p>
    <w:p>
      <w:pPr>
        <w:pStyle w:val="TOC2"/>
      </w:pPr>
      <w:hyperlink w:anchor="_Toc1005">
        <w:r>
          <w:t xml:space="preserve">How to Read This Book If Vermont Isn’t Your Context</w:t>
        </w:r>
      </w:hyperlink>
      <w:r>
        <w:tab/>
      </w:r>
      <w:r>
        <w:fldChar w:fldCharType="begin"/>
      </w:r>
      <w:r>
        <w:instrText xml:space="preserve"> PAGEREF _Toc1005 \h </w:instrText>
      </w:r>
      <w:r>
        <w:fldChar w:fldCharType="separate"/>
      </w:r>
      <w:r>
        <w:t>1</w:t>
      </w:r>
      <w:r>
        <w:fldChar w:fldCharType="end"/>
      </w:r>
    </w:p>
    <w:p>
      <w:pPr>
        <w:pStyle w:val="TOC2"/>
      </w:pPr>
      <w:hyperlink w:anchor="_Toc1006">
        <w:r>
          <w:t xml:space="preserve">The Strongest Case Against This Book’s Argument</w:t>
        </w:r>
      </w:hyperlink>
      <w:r>
        <w:tab/>
      </w:r>
      <w:r>
        <w:fldChar w:fldCharType="begin"/>
      </w:r>
      <w:r>
        <w:instrText xml:space="preserve"> PAGEREF _Toc1006 \h </w:instrText>
      </w:r>
      <w:r>
        <w:fldChar w:fldCharType="separate"/>
      </w:r>
      <w:r>
        <w:t>1</w:t>
      </w:r>
      <w:r>
        <w:fldChar w:fldCharType="end"/>
      </w:r>
    </w:p>
    <w:p>
      <w:pPr>
        <w:pStyle w:val="TOC2"/>
      </w:pPr>
      <w:hyperlink w:anchor="_Toc1015">
        <w:r>
          <w:t xml:space="preserve">The Six-Pillar Framework: Why All Six Must Move Together</w:t>
        </w:r>
      </w:hyperlink>
      <w:r>
        <w:tab/>
      </w:r>
      <w:r>
        <w:fldChar w:fldCharType="begin"/>
      </w:r>
      <w:r>
        <w:instrText xml:space="preserve"> PAGEREF _Toc1015 \h </w:instrText>
      </w:r>
      <w:r>
        <w:fldChar w:fldCharType="separate"/>
      </w:r>
      <w:r>
        <w:t>1</w:t>
      </w:r>
      <w:r>
        <w:fldChar w:fldCharType="end"/>
      </w:r>
    </w:p>
    <w:p>
      <w:pPr>
        <w:pStyle w:val="TOC2"/>
      </w:pPr>
      <w:hyperlink w:anchor="_Toc1016">
        <w:r>
          <w:t xml:space="preserve">The HTR Ecosystem: How the Book, the Platform, and the Academy Work Together</w:t>
        </w:r>
      </w:hyperlink>
      <w:r>
        <w:tab/>
      </w:r>
      <w:r>
        <w:fldChar w:fldCharType="begin"/>
      </w:r>
      <w:r>
        <w:instrText xml:space="preserve"> PAGEREF _Toc1016 \h </w:instrText>
      </w:r>
      <w:r>
        <w:fldChar w:fldCharType="separate"/>
      </w:r>
      <w:r>
        <w:t>1</w:t>
      </w:r>
      <w:r>
        <w:fldChar w:fldCharType="end"/>
      </w:r>
    </w:p>
    <w:p>
      <w:pPr>
        <w:pStyle w:val="TOC2"/>
      </w:pPr>
      <w:hyperlink w:anchor="_Toc1017">
        <w:r>
          <w:t xml:space="preserve">How to Use This Book</w:t>
        </w:r>
      </w:hyperlink>
      <w:r>
        <w:tab/>
      </w:r>
      <w:r>
        <w:fldChar w:fldCharType="begin"/>
      </w:r>
      <w:r>
        <w:instrText xml:space="preserve"> PAGEREF _Toc1017 \h </w:instrText>
      </w:r>
      <w:r>
        <w:fldChar w:fldCharType="separate"/>
      </w:r>
      <w:r>
        <w:t>1</w:t>
      </w:r>
      <w:r>
        <w:fldChar w:fldCharType="end"/>
      </w:r>
    </w:p>
    <w:p>
      <w:pPr>
        <w:pStyle w:val="TOC2"/>
      </w:pPr>
      <w:hyperlink w:anchor="_Toc1022">
        <w:r>
          <w:t xml:space="preserve">What This Book Cannot Do</w:t>
        </w:r>
      </w:hyperlink>
      <w:r>
        <w:tab/>
      </w:r>
      <w:r>
        <w:fldChar w:fldCharType="begin"/>
      </w:r>
      <w:r>
        <w:instrText xml:space="preserve"> PAGEREF _Toc1022 \h </w:instrText>
      </w:r>
      <w:r>
        <w:fldChar w:fldCharType="separate"/>
      </w:r>
      <w:r>
        <w:t>1</w:t>
      </w:r>
      <w:r>
        <w:fldChar w:fldCharType="end"/>
      </w:r>
    </w:p>
    <w:p>
      <w:pPr>
        <w:pStyle w:val="TOC1"/>
      </w:pPr>
      <w:hyperlink w:anchor="_Toc1023">
        <w:r>
          <w:t xml:space="preserve">Chapter 1: The Six-Pillar Framework and the Execution Sequence</w:t>
        </w:r>
      </w:hyperlink>
      <w:r>
        <w:tab/>
      </w:r>
      <w:r>
        <w:fldChar w:fldCharType="begin"/>
      </w:r>
      <w:r>
        <w:instrText xml:space="preserve"> PAGEREF _Toc1023 \h </w:instrText>
      </w:r>
      <w:r>
        <w:fldChar w:fldCharType="separate"/>
      </w:r>
      <w:r>
        <w:t>1</w:t>
      </w:r>
      <w:r>
        <w:fldChar w:fldCharType="end"/>
      </w:r>
    </w:p>
    <w:p>
      <w:pPr>
        <w:pStyle w:val="TOC2"/>
      </w:pPr>
      <w:hyperlink w:anchor="_Toc1024">
        <w:r>
          <w:t xml:space="preserve">The Problem with Single-Pillar Thinking</w:t>
        </w:r>
      </w:hyperlink>
      <w:r>
        <w:tab/>
      </w:r>
      <w:r>
        <w:fldChar w:fldCharType="begin"/>
      </w:r>
      <w:r>
        <w:instrText xml:space="preserve"> PAGEREF _Toc1024 \h </w:instrText>
      </w:r>
      <w:r>
        <w:fldChar w:fldCharType="separate"/>
      </w:r>
      <w:r>
        <w:t>1</w:t>
      </w:r>
      <w:r>
        <w:fldChar w:fldCharType="end"/>
      </w:r>
    </w:p>
    <w:p>
      <w:pPr>
        <w:pStyle w:val="TOC2"/>
      </w:pPr>
      <w:hyperlink w:anchor="_Toc1025">
        <w:r>
          <w:t xml:space="preserve">The OneCare Failure: A Sequencing Autopsy</w:t>
        </w:r>
      </w:hyperlink>
      <w:r>
        <w:tab/>
      </w:r>
      <w:r>
        <w:fldChar w:fldCharType="begin"/>
      </w:r>
      <w:r>
        <w:instrText xml:space="preserve"> PAGEREF _Toc1025 \h </w:instrText>
      </w:r>
      <w:r>
        <w:fldChar w:fldCharType="separate"/>
      </w:r>
      <w:r>
        <w:t>1</w:t>
      </w:r>
      <w:r>
        <w:fldChar w:fldCharType="end"/>
      </w:r>
    </w:p>
    <w:p>
      <w:pPr>
        <w:pStyle w:val="TOC2"/>
      </w:pPr>
      <w:hyperlink w:anchor="_Toc1029">
        <w:r>
          <w:t xml:space="preserve">The Six Pillars Defined</w:t>
        </w:r>
      </w:hyperlink>
      <w:r>
        <w:tab/>
      </w:r>
      <w:r>
        <w:fldChar w:fldCharType="begin"/>
      </w:r>
      <w:r>
        <w:instrText xml:space="preserve"> PAGEREF _Toc1029 \h </w:instrText>
      </w:r>
      <w:r>
        <w:fldChar w:fldCharType="separate"/>
      </w:r>
      <w:r>
        <w:t>1</w:t>
      </w:r>
      <w:r>
        <w:fldChar w:fldCharType="end"/>
      </w:r>
    </w:p>
    <w:p>
      <w:pPr>
        <w:pStyle w:val="TOC2"/>
      </w:pPr>
      <w:hyperlink w:anchor="_Toc1030">
        <w:r>
          <w:t xml:space="preserve">The Architecture of Interdependency: The Fifteen Dependency Relationships</w:t>
        </w:r>
      </w:hyperlink>
      <w:r>
        <w:tab/>
      </w:r>
      <w:r>
        <w:fldChar w:fldCharType="begin"/>
      </w:r>
      <w:r>
        <w:instrText xml:space="preserve"> PAGEREF _Toc1030 \h </w:instrText>
      </w:r>
      <w:r>
        <w:fldChar w:fldCharType="separate"/>
      </w:r>
      <w:r>
        <w:t>1</w:t>
      </w:r>
      <w:r>
        <w:fldChar w:fldCharType="end"/>
      </w:r>
    </w:p>
    <w:p>
      <w:pPr>
        <w:pStyle w:val="TOC2"/>
      </w:pPr>
      <w:hyperlink w:anchor="_Toc1037">
        <w:r>
          <w:t xml:space="preserve">The Failure Cascade: What Happens When a Pillar Is Missing</w:t>
        </w:r>
      </w:hyperlink>
      <w:r>
        <w:tab/>
      </w:r>
      <w:r>
        <w:fldChar w:fldCharType="begin"/>
      </w:r>
      <w:r>
        <w:instrText xml:space="preserve"> PAGEREF _Toc1037 \h </w:instrText>
      </w:r>
      <w:r>
        <w:fldChar w:fldCharType="separate"/>
      </w:r>
      <w:r>
        <w:t>1</w:t>
      </w:r>
      <w:r>
        <w:fldChar w:fldCharType="end"/>
      </w:r>
    </w:p>
    <w:p>
      <w:pPr>
        <w:pStyle w:val="TOC2"/>
      </w:pPr>
      <w:hyperlink w:anchor="_Toc1038">
        <w:r>
          <w:t xml:space="preserve">Using the Dependency Map as an Analytical Tool</w:t>
        </w:r>
      </w:hyperlink>
      <w:r>
        <w:tab/>
      </w:r>
      <w:r>
        <w:fldChar w:fldCharType="begin"/>
      </w:r>
      <w:r>
        <w:instrText xml:space="preserve"> PAGEREF _Toc1038 \h </w:instrText>
      </w:r>
      <w:r>
        <w:fldChar w:fldCharType="separate"/>
      </w:r>
      <w:r>
        <w:t>1</w:t>
      </w:r>
      <w:r>
        <w:fldChar w:fldCharType="end"/>
      </w:r>
    </w:p>
    <w:p>
      <w:pPr>
        <w:pStyle w:val="TOC2"/>
      </w:pPr>
      <w:hyperlink w:anchor="_Toc1039">
        <w:r>
          <w:t xml:space="preserve">The Vermont Thread: Six Pillars in One System</w:t>
        </w:r>
      </w:hyperlink>
      <w:r>
        <w:tab/>
      </w:r>
      <w:r>
        <w:fldChar w:fldCharType="begin"/>
      </w:r>
      <w:r>
        <w:instrText xml:space="preserve"> PAGEREF _Toc1039 \h </w:instrText>
      </w:r>
      <w:r>
        <w:fldChar w:fldCharType="separate"/>
      </w:r>
      <w:r>
        <w:t>1</w:t>
      </w:r>
      <w:r>
        <w:fldChar w:fldCharType="end"/>
      </w:r>
    </w:p>
    <w:p>
      <w:pPr>
        <w:pStyle w:val="TOC2"/>
      </w:pPr>
      <w:hyperlink w:anchor="_Toc1040">
        <w:r>
          <w:t xml:space="preserve">From Framework to Sequence: Why Order Is Not Optional</w:t>
        </w:r>
      </w:hyperlink>
      <w:r>
        <w:tab/>
      </w:r>
      <w:r>
        <w:fldChar w:fldCharType="begin"/>
      </w:r>
      <w:r>
        <w:instrText xml:space="preserve"> PAGEREF _Toc1040 \h </w:instrText>
      </w:r>
      <w:r>
        <w:fldChar w:fldCharType="separate"/>
      </w:r>
      <w:r>
        <w:t>1</w:t>
      </w:r>
      <w:r>
        <w:fldChar w:fldCharType="end"/>
      </w:r>
    </w:p>
    <w:p>
      <w:pPr>
        <w:pStyle w:val="TOC2"/>
      </w:pPr>
      <w:hyperlink w:anchor="_Toc1041">
        <w:r>
          <w:t xml:space="preserve">The Core Argument: Dependency Logic Determines Sequence</w:t>
        </w:r>
      </w:hyperlink>
      <w:r>
        <w:tab/>
      </w:r>
      <w:r>
        <w:fldChar w:fldCharType="begin"/>
      </w:r>
      <w:r>
        <w:instrText xml:space="preserve"> PAGEREF _Toc1041 \h </w:instrText>
      </w:r>
      <w:r>
        <w:fldChar w:fldCharType="separate"/>
      </w:r>
      <w:r>
        <w:t>1</w:t>
      </w:r>
      <w:r>
        <w:fldChar w:fldCharType="end"/>
      </w:r>
    </w:p>
    <w:p>
      <w:pPr>
        <w:pStyle w:val="TOC2"/>
      </w:pPr>
      <w:hyperlink w:anchor="_Toc1042">
        <w:r>
          <w:t xml:space="preserve">The Critics: Why Sequencing Logic Has Real Opponents</w:t>
        </w:r>
      </w:hyperlink>
      <w:r>
        <w:tab/>
      </w:r>
      <w:r>
        <w:fldChar w:fldCharType="begin"/>
      </w:r>
      <w:r>
        <w:instrText xml:space="preserve"> PAGEREF _Toc1042 \h </w:instrText>
      </w:r>
      <w:r>
        <w:fldChar w:fldCharType="separate"/>
      </w:r>
      <w:r>
        <w:t>1</w:t>
      </w:r>
      <w:r>
        <w:fldChar w:fldCharType="end"/>
      </w:r>
    </w:p>
    <w:p>
      <w:pPr>
        <w:pStyle w:val="TOC2"/>
      </w:pPr>
      <w:hyperlink w:anchor="_Toc1046">
        <w:r>
          <w:t xml:space="preserve">The Six Stages: Resolved</w:t>
        </w:r>
      </w:hyperlink>
      <w:r>
        <w:tab/>
      </w:r>
      <w:r>
        <w:fldChar w:fldCharType="begin"/>
      </w:r>
      <w:r>
        <w:instrText xml:space="preserve"> PAGEREF _Toc1046 \h </w:instrText>
      </w:r>
      <w:r>
        <w:fldChar w:fldCharType="separate"/>
      </w:r>
      <w:r>
        <w:t>1</w:t>
      </w:r>
      <w:r>
        <w:fldChar w:fldCharType="end"/>
      </w:r>
    </w:p>
    <w:p>
      <w:pPr>
        <w:pStyle w:val="TOC2"/>
      </w:pPr>
      <w:hyperlink w:anchor="_Toc1053">
        <w:r>
          <w:t xml:space="preserve">Three Sequencing Principles in Practice</w:t>
        </w:r>
      </w:hyperlink>
      <w:r>
        <w:tab/>
      </w:r>
      <w:r>
        <w:fldChar w:fldCharType="begin"/>
      </w:r>
      <w:r>
        <w:instrText xml:space="preserve"> PAGEREF _Toc1053 \h </w:instrText>
      </w:r>
      <w:r>
        <w:fldChar w:fldCharType="separate"/>
      </w:r>
      <w:r>
        <w:t>1</w:t>
      </w:r>
      <w:r>
        <w:fldChar w:fldCharType="end"/>
      </w:r>
    </w:p>
    <w:p>
      <w:pPr>
        <w:pStyle w:val="TOC2"/>
      </w:pPr>
      <w:hyperlink w:anchor="_Toc1057">
        <w:r>
          <w:t xml:space="preserve">Five Sequencing Decisions That Organizations Get Wrong</w:t>
        </w:r>
      </w:hyperlink>
      <w:r>
        <w:tab/>
      </w:r>
      <w:r>
        <w:fldChar w:fldCharType="begin"/>
      </w:r>
      <w:r>
        <w:instrText xml:space="preserve"> PAGEREF _Toc1057 \h </w:instrText>
      </w:r>
      <w:r>
        <w:fldChar w:fldCharType="separate"/>
      </w:r>
      <w:r>
        <w:t>1</w:t>
      </w:r>
      <w:r>
        <w:fldChar w:fldCharType="end"/>
      </w:r>
    </w:p>
    <w:p>
      <w:pPr>
        <w:pStyle w:val="TOC2"/>
      </w:pPr>
      <w:hyperlink w:anchor="_Toc1058">
        <w:r>
          <w:t xml:space="preserve">Vermont’s Implementation Timeline: Reading the Sequence in Statutory Deadlines</w:t>
        </w:r>
      </w:hyperlink>
      <w:r>
        <w:tab/>
      </w:r>
      <w:r>
        <w:fldChar w:fldCharType="begin"/>
      </w:r>
      <w:r>
        <w:instrText xml:space="preserve"> PAGEREF _Toc1058 \h </w:instrText>
      </w:r>
      <w:r>
        <w:fldChar w:fldCharType="separate"/>
      </w:r>
      <w:r>
        <w:t>1</w:t>
      </w:r>
      <w:r>
        <w:fldChar w:fldCharType="end"/>
      </w:r>
    </w:p>
    <w:p>
      <w:pPr>
        <w:pStyle w:val="TOC2"/>
      </w:pPr>
      <w:hyperlink w:anchor="_Toc1060">
        <w:r>
          <w:t xml:space="preserve">Work This Chapter on the Platform</w:t>
        </w:r>
      </w:hyperlink>
      <w:r>
        <w:tab/>
      </w:r>
      <w:r>
        <w:fldChar w:fldCharType="begin"/>
      </w:r>
      <w:r>
        <w:instrText xml:space="preserve"> PAGEREF _Toc1060 \h </w:instrText>
      </w:r>
      <w:r>
        <w:fldChar w:fldCharType="separate"/>
      </w:r>
      <w:r>
        <w:t>1</w:t>
      </w:r>
      <w:r>
        <w:fldChar w:fldCharType="end"/>
      </w:r>
    </w:p>
    <w:p>
      <w:pPr>
        <w:pStyle w:val="TOC2"/>
      </w:pPr>
      <w:hyperlink w:anchor="_Toc1061">
        <w:r>
          <w:t xml:space="preserve">Implications for You</w:t>
        </w:r>
      </w:hyperlink>
      <w:r>
        <w:tab/>
      </w:r>
      <w:r>
        <w:fldChar w:fldCharType="begin"/>
      </w:r>
      <w:r>
        <w:instrText xml:space="preserve"> PAGEREF _Toc1061 \h </w:instrText>
      </w:r>
      <w:r>
        <w:fldChar w:fldCharType="separate"/>
      </w:r>
      <w:r>
        <w:t>1</w:t>
      </w:r>
      <w:r>
        <w:fldChar w:fldCharType="end"/>
      </w:r>
    </w:p>
    <w:p>
      <w:pPr>
        <w:pStyle w:val="TOC2"/>
      </w:pPr>
      <w:hyperlink w:anchor="_Toc1062">
        <w:r>
          <w:t xml:space="preserve">Key Concepts in This Chapter</w:t>
        </w:r>
      </w:hyperlink>
      <w:r>
        <w:tab/>
      </w:r>
      <w:r>
        <w:fldChar w:fldCharType="begin"/>
      </w:r>
      <w:r>
        <w:instrText xml:space="preserve"> PAGEREF _Toc1062 \h </w:instrText>
      </w:r>
      <w:r>
        <w:fldChar w:fldCharType="separate"/>
      </w:r>
      <w:r>
        <w:t>1</w:t>
      </w:r>
      <w:r>
        <w:fldChar w:fldCharType="end"/>
      </w:r>
    </w:p>
    <w:p>
      <w:pPr>
        <w:pStyle w:val="TOC1"/>
      </w:pPr>
      <w:hyperlink w:anchor="_Toc1063">
        <w:r>
          <w:t xml:space="preserve">Chapter 2: The Policy Pillar — Legislative Architecture for Structural Reform</w:t>
        </w:r>
      </w:hyperlink>
      <w:r>
        <w:tab/>
      </w:r>
      <w:r>
        <w:fldChar w:fldCharType="begin"/>
      </w:r>
      <w:r>
        <w:instrText xml:space="preserve"> PAGEREF _Toc1063 \h </w:instrText>
      </w:r>
      <w:r>
        <w:fldChar w:fldCharType="separate"/>
      </w:r>
      <w:r>
        <w:t>1</w:t>
      </w:r>
      <w:r>
        <w:fldChar w:fldCharType="end"/>
      </w:r>
    </w:p>
    <w:p>
      <w:pPr>
        <w:pStyle w:val="TOC2"/>
      </w:pPr>
      <w:hyperlink w:anchor="_Toc1064">
        <w:r>
          <w:t xml:space="preserve">The Anatomy of a System-Level Reform Mandate</w:t>
        </w:r>
      </w:hyperlink>
      <w:r>
        <w:tab/>
      </w:r>
      <w:r>
        <w:fldChar w:fldCharType="begin"/>
      </w:r>
      <w:r>
        <w:instrText xml:space="preserve"> PAGEREF _Toc1064 \h </w:instrText>
      </w:r>
      <w:r>
        <w:fldChar w:fldCharType="separate"/>
      </w:r>
      <w:r>
        <w:t>1</w:t>
      </w:r>
      <w:r>
        <w:fldChar w:fldCharType="end"/>
      </w:r>
    </w:p>
    <w:p>
      <w:pPr>
        <w:pStyle w:val="TOC2"/>
      </w:pPr>
      <w:hyperlink w:anchor="_Toc1065">
        <w:r>
          <w:t xml:space="preserve">The Three Imperatives: Oliver Wyman’s Central Finding</w:t>
        </w:r>
      </w:hyperlink>
      <w:r>
        <w:tab/>
      </w:r>
      <w:r>
        <w:fldChar w:fldCharType="begin"/>
      </w:r>
      <w:r>
        <w:instrText xml:space="preserve"> PAGEREF _Toc1065 \h </w:instrText>
      </w:r>
      <w:r>
        <w:fldChar w:fldCharType="separate"/>
      </w:r>
      <w:r>
        <w:t>1</w:t>
      </w:r>
      <w:r>
        <w:fldChar w:fldCharType="end"/>
      </w:r>
    </w:p>
    <w:p>
      <w:pPr>
        <w:pStyle w:val="TOC2"/>
      </w:pPr>
      <w:hyperlink w:anchor="_Toc1066">
        <w:r>
          <w:t xml:space="preserve">The Platform for Change: Vermont’s System in Crisis</w:t>
        </w:r>
      </w:hyperlink>
      <w:r>
        <w:tab/>
      </w:r>
      <w:r>
        <w:fldChar w:fldCharType="begin"/>
      </w:r>
      <w:r>
        <w:instrText xml:space="preserve"> PAGEREF _Toc1066 \h </w:instrText>
      </w:r>
      <w:r>
        <w:fldChar w:fldCharType="separate"/>
      </w:r>
      <w:r>
        <w:t>1</w:t>
      </w:r>
      <w:r>
        <w:fldChar w:fldCharType="end"/>
      </w:r>
    </w:p>
    <w:p>
      <w:pPr>
        <w:pStyle w:val="TOC2"/>
      </w:pPr>
      <w:hyperlink w:anchor="_Toc1072">
        <w:r>
          <w:t xml:space="preserve">The Perception vs. Reality Problem</w:t>
        </w:r>
      </w:hyperlink>
      <w:r>
        <w:tab/>
      </w:r>
      <w:r>
        <w:fldChar w:fldCharType="begin"/>
      </w:r>
      <w:r>
        <w:instrText xml:space="preserve"> PAGEREF _Toc1072 \h </w:instrText>
      </w:r>
      <w:r>
        <w:fldChar w:fldCharType="separate"/>
      </w:r>
      <w:r>
        <w:t>1</w:t>
      </w:r>
      <w:r>
        <w:fldChar w:fldCharType="end"/>
      </w:r>
    </w:p>
    <w:p>
      <w:pPr>
        <w:pStyle w:val="TOC2"/>
      </w:pPr>
      <w:hyperlink w:anchor="_Toc1073">
        <w:r>
          <w:t xml:space="preserve">Act 167 (2022): The Diagnostic Mandate</w:t>
        </w:r>
      </w:hyperlink>
      <w:r>
        <w:tab/>
      </w:r>
      <w:r>
        <w:fldChar w:fldCharType="begin"/>
      </w:r>
      <w:r>
        <w:instrText xml:space="preserve"> PAGEREF _Toc1073 \h </w:instrText>
      </w:r>
      <w:r>
        <w:fldChar w:fldCharType="separate"/>
      </w:r>
      <w:r>
        <w:t>1</w:t>
      </w:r>
      <w:r>
        <w:fldChar w:fldCharType="end"/>
      </w:r>
    </w:p>
    <w:p>
      <w:pPr>
        <w:pStyle w:val="TOC2"/>
      </w:pPr>
      <w:hyperlink w:anchor="_Toc1076">
        <w:r>
          <w:t xml:space="preserve">The Oliver Wyman System Redesign Blueprint</w:t>
        </w:r>
      </w:hyperlink>
      <w:r>
        <w:tab/>
      </w:r>
      <w:r>
        <w:fldChar w:fldCharType="begin"/>
      </w:r>
      <w:r>
        <w:instrText xml:space="preserve"> PAGEREF _Toc1076 \h </w:instrText>
      </w:r>
      <w:r>
        <w:fldChar w:fldCharType="separate"/>
      </w:r>
      <w:r>
        <w:t>1</w:t>
      </w:r>
      <w:r>
        <w:fldChar w:fldCharType="end"/>
      </w:r>
    </w:p>
    <w:p>
      <w:pPr>
        <w:pStyle w:val="TOC2"/>
      </w:pPr>
      <w:hyperlink w:anchor="_Toc1080">
        <w:r>
          <w:t xml:space="preserve">Act 68 (2025): The Operational Mandate</w:t>
        </w:r>
      </w:hyperlink>
      <w:r>
        <w:tab/>
      </w:r>
      <w:r>
        <w:fldChar w:fldCharType="begin"/>
      </w:r>
      <w:r>
        <w:instrText xml:space="preserve"> PAGEREF _Toc1080 \h </w:instrText>
      </w:r>
      <w:r>
        <w:fldChar w:fldCharType="separate"/>
      </w:r>
      <w:r>
        <w:t>1</w:t>
      </w:r>
      <w:r>
        <w:fldChar w:fldCharType="end"/>
      </w:r>
    </w:p>
    <w:p>
      <w:pPr>
        <w:pStyle w:val="TOC2"/>
      </w:pPr>
      <w:hyperlink w:anchor="_Toc1084">
        <w:r>
          <w:t xml:space="preserve">The Rural Health Transformation Program: Capital for an Operational Strategy</w:t>
        </w:r>
      </w:hyperlink>
      <w:r>
        <w:tab/>
      </w:r>
      <w:r>
        <w:fldChar w:fldCharType="begin"/>
      </w:r>
      <w:r>
        <w:instrText xml:space="preserve"> PAGEREF _Toc1084 \h </w:instrText>
      </w:r>
      <w:r>
        <w:fldChar w:fldCharType="separate"/>
      </w:r>
      <w:r>
        <w:t>1</w:t>
      </w:r>
      <w:r>
        <w:fldChar w:fldCharType="end"/>
      </w:r>
    </w:p>
    <w:p>
      <w:pPr>
        <w:pStyle w:val="TOC2"/>
      </w:pPr>
      <w:hyperlink w:anchor="_Toc1085">
        <w:r>
          <w:t xml:space="preserve">Cross-State Lessons: What Vermont’s Model Generalizes</w:t>
        </w:r>
      </w:hyperlink>
      <w:r>
        <w:tab/>
      </w:r>
      <w:r>
        <w:fldChar w:fldCharType="begin"/>
      </w:r>
      <w:r>
        <w:instrText xml:space="preserve"> PAGEREF _Toc1085 \h </w:instrText>
      </w:r>
      <w:r>
        <w:fldChar w:fldCharType="separate"/>
      </w:r>
      <w:r>
        <w:t>1</w:t>
      </w:r>
      <w:r>
        <w:fldChar w:fldCharType="end"/>
      </w:r>
    </w:p>
    <w:p>
      <w:pPr>
        <w:pStyle w:val="TOC2"/>
      </w:pPr>
      <w:hyperlink w:anchor="_Toc1086">
        <w:r>
          <w:t xml:space="preserve">Work This Chapter on the Platform</w:t>
        </w:r>
      </w:hyperlink>
      <w:r>
        <w:tab/>
      </w:r>
      <w:r>
        <w:fldChar w:fldCharType="begin"/>
      </w:r>
      <w:r>
        <w:instrText xml:space="preserve"> PAGEREF _Toc1086 \h </w:instrText>
      </w:r>
      <w:r>
        <w:fldChar w:fldCharType="separate"/>
      </w:r>
      <w:r>
        <w:t>1</w:t>
      </w:r>
      <w:r>
        <w:fldChar w:fldCharType="end"/>
      </w:r>
    </w:p>
    <w:p>
      <w:pPr>
        <w:pStyle w:val="TOC2"/>
      </w:pPr>
      <w:hyperlink w:anchor="_Toc1087">
        <w:r>
          <w:t xml:space="preserve">Implications for You</w:t>
        </w:r>
      </w:hyperlink>
      <w:r>
        <w:tab/>
      </w:r>
      <w:r>
        <w:fldChar w:fldCharType="begin"/>
      </w:r>
      <w:r>
        <w:instrText xml:space="preserve"> PAGEREF _Toc1087 \h </w:instrText>
      </w:r>
      <w:r>
        <w:fldChar w:fldCharType="separate"/>
      </w:r>
      <w:r>
        <w:t>1</w:t>
      </w:r>
      <w:r>
        <w:fldChar w:fldCharType="end"/>
      </w:r>
    </w:p>
    <w:p>
      <w:pPr>
        <w:pStyle w:val="TOC2"/>
      </w:pPr>
      <w:hyperlink w:anchor="_Toc1088">
        <w:r>
          <w:t xml:space="preserve">Key Concepts in This Chapter</w:t>
        </w:r>
      </w:hyperlink>
      <w:r>
        <w:tab/>
      </w:r>
      <w:r>
        <w:fldChar w:fldCharType="begin"/>
      </w:r>
      <w:r>
        <w:instrText xml:space="preserve"> PAGEREF _Toc1088 \h </w:instrText>
      </w:r>
      <w:r>
        <w:fldChar w:fldCharType="separate"/>
      </w:r>
      <w:r>
        <w:t>1</w:t>
      </w:r>
      <w:r>
        <w:fldChar w:fldCharType="end"/>
      </w:r>
    </w:p>
    <w:p>
      <w:pPr>
        <w:pStyle w:val="TOC1"/>
      </w:pPr>
      <w:hyperlink w:anchor="_Toc1089">
        <w:r>
          <w:t xml:space="preserve">Chapter 3: The Policy Pillar in Practice — CMMI Models, Waiver Strategy, and the Federal-State Interface</w:t>
        </w:r>
      </w:hyperlink>
      <w:r>
        <w:tab/>
      </w:r>
      <w:r>
        <w:fldChar w:fldCharType="begin"/>
      </w:r>
      <w:r>
        <w:instrText xml:space="preserve"> PAGEREF _Toc1089 \h </w:instrText>
      </w:r>
      <w:r>
        <w:fldChar w:fldCharType="separate"/>
      </w:r>
      <w:r>
        <w:t>1</w:t>
      </w:r>
      <w:r>
        <w:fldChar w:fldCharType="end"/>
      </w:r>
    </w:p>
    <w:p>
      <w:pPr>
        <w:pStyle w:val="TOC2"/>
      </w:pPr>
      <w:hyperlink w:anchor="_Toc1090">
        <w:r>
          <w:t xml:space="preserve">From Policy Architecture to Policy Practice</w:t>
        </w:r>
      </w:hyperlink>
      <w:r>
        <w:tab/>
      </w:r>
      <w:r>
        <w:fldChar w:fldCharType="begin"/>
      </w:r>
      <w:r>
        <w:instrText xml:space="preserve"> PAGEREF _Toc1090 \h </w:instrText>
      </w:r>
      <w:r>
        <w:fldChar w:fldCharType="separate"/>
      </w:r>
      <w:r>
        <w:t>1</w:t>
      </w:r>
      <w:r>
        <w:fldChar w:fldCharType="end"/>
      </w:r>
    </w:p>
    <w:p>
      <w:pPr>
        <w:pStyle w:val="TOC2"/>
      </w:pPr>
      <w:hyperlink w:anchor="_Toc1091">
        <w:r>
          <w:t xml:space="preserve">The CMMI Landscape — What Exists, What Works, and What Has Been Discontinued</w:t>
        </w:r>
      </w:hyperlink>
      <w:r>
        <w:tab/>
      </w:r>
      <w:r>
        <w:fldChar w:fldCharType="begin"/>
      </w:r>
      <w:r>
        <w:instrText xml:space="preserve"> PAGEREF _Toc1091 \h </w:instrText>
      </w:r>
      <w:r>
        <w:fldChar w:fldCharType="separate"/>
      </w:r>
      <w:r>
        <w:t>1</w:t>
      </w:r>
      <w:r>
        <w:fldChar w:fldCharType="end"/>
      </w:r>
    </w:p>
    <w:p>
      <w:pPr>
        <w:pStyle w:val="TOC2"/>
      </w:pPr>
      <w:hyperlink w:anchor="_Toc1094">
        <w:r>
          <w:t xml:space="preserve">Section 1115 Waivers — The State’s Primary Federal Policy Tool</w:t>
        </w:r>
      </w:hyperlink>
      <w:r>
        <w:tab/>
      </w:r>
      <w:r>
        <w:fldChar w:fldCharType="begin"/>
      </w:r>
      <w:r>
        <w:instrText xml:space="preserve"> PAGEREF _Toc1094 \h </w:instrText>
      </w:r>
      <w:r>
        <w:fldChar w:fldCharType="separate"/>
      </w:r>
      <w:r>
        <w:t>1</w:t>
      </w:r>
      <w:r>
        <w:fldChar w:fldCharType="end"/>
      </w:r>
    </w:p>
    <w:p>
      <w:pPr>
        <w:pStyle w:val="TOC2"/>
      </w:pPr>
      <w:hyperlink w:anchor="_Toc1099">
        <w:r>
          <w:t xml:space="preserve">Prior Authorization Reform — The Administrative Pillar of Policy Strategy</w:t>
        </w:r>
      </w:hyperlink>
      <w:r>
        <w:tab/>
      </w:r>
      <w:r>
        <w:fldChar w:fldCharType="begin"/>
      </w:r>
      <w:r>
        <w:instrText xml:space="preserve"> PAGEREF _Toc1099 \h </w:instrText>
      </w:r>
      <w:r>
        <w:fldChar w:fldCharType="separate"/>
      </w:r>
      <w:r>
        <w:t>1</w:t>
      </w:r>
      <w:r>
        <w:fldChar w:fldCharType="end"/>
      </w:r>
    </w:p>
    <w:p>
      <w:pPr>
        <w:pStyle w:val="TOC2"/>
      </w:pPr>
      <w:hyperlink w:anchor="_Toc1102">
        <w:r>
          <w:t xml:space="preserve">The State-Federal Policy Interface — Navigating the Relationship</w:t>
        </w:r>
      </w:hyperlink>
      <w:r>
        <w:tab/>
      </w:r>
      <w:r>
        <w:fldChar w:fldCharType="begin"/>
      </w:r>
      <w:r>
        <w:instrText xml:space="preserve"> PAGEREF _Toc1102 \h </w:instrText>
      </w:r>
      <w:r>
        <w:fldChar w:fldCharType="separate"/>
      </w:r>
      <w:r>
        <w:t>1</w:t>
      </w:r>
      <w:r>
        <w:fldChar w:fldCharType="end"/>
      </w:r>
    </w:p>
    <w:p>
      <w:pPr>
        <w:pStyle w:val="TOC2"/>
      </w:pPr>
      <w:hyperlink w:anchor="_Toc1105">
        <w:r>
          <w:t xml:space="preserve">The Medicaid Policy Landscape — What H.R. 1 Changes and What It Does Not</w:t>
        </w:r>
      </w:hyperlink>
      <w:r>
        <w:tab/>
      </w:r>
      <w:r>
        <w:fldChar w:fldCharType="begin"/>
      </w:r>
      <w:r>
        <w:instrText xml:space="preserve"> PAGEREF _Toc1105 \h </w:instrText>
      </w:r>
      <w:r>
        <w:fldChar w:fldCharType="separate"/>
      </w:r>
      <w:r>
        <w:t>1</w:t>
      </w:r>
      <w:r>
        <w:fldChar w:fldCharType="end"/>
      </w:r>
    </w:p>
    <w:p>
      <w:pPr>
        <w:pStyle w:val="TOC2"/>
      </w:pPr>
      <w:hyperlink w:anchor="_Toc1106">
        <w:r>
          <w:t xml:space="preserve">Policy Strategy for Healthcare Leaders — The Practitioner Framework</w:t>
        </w:r>
      </w:hyperlink>
      <w:r>
        <w:tab/>
      </w:r>
      <w:r>
        <w:fldChar w:fldCharType="begin"/>
      </w:r>
      <w:r>
        <w:instrText xml:space="preserve"> PAGEREF _Toc1106 \h </w:instrText>
      </w:r>
      <w:r>
        <w:fldChar w:fldCharType="separate"/>
      </w:r>
      <w:r>
        <w:t>1</w:t>
      </w:r>
      <w:r>
        <w:fldChar w:fldCharType="end"/>
      </w:r>
    </w:p>
    <w:p>
      <w:pPr>
        <w:pStyle w:val="TOC2"/>
      </w:pPr>
      <w:hyperlink w:anchor="_Toc1109">
        <w:r>
          <w:t xml:space="preserve">Work This Chapter on the Platform</w:t>
        </w:r>
      </w:hyperlink>
      <w:r>
        <w:tab/>
      </w:r>
      <w:r>
        <w:fldChar w:fldCharType="begin"/>
      </w:r>
      <w:r>
        <w:instrText xml:space="preserve"> PAGEREF _Toc1109 \h </w:instrText>
      </w:r>
      <w:r>
        <w:fldChar w:fldCharType="separate"/>
      </w:r>
      <w:r>
        <w:t>1</w:t>
      </w:r>
      <w:r>
        <w:fldChar w:fldCharType="end"/>
      </w:r>
    </w:p>
    <w:p>
      <w:pPr>
        <w:pStyle w:val="TOC2"/>
      </w:pPr>
      <w:hyperlink w:anchor="_Toc1110">
        <w:r>
          <w:t xml:space="preserve">Implications for You</w:t>
        </w:r>
      </w:hyperlink>
      <w:r>
        <w:tab/>
      </w:r>
      <w:r>
        <w:fldChar w:fldCharType="begin"/>
      </w:r>
      <w:r>
        <w:instrText xml:space="preserve"> PAGEREF _Toc1110 \h </w:instrText>
      </w:r>
      <w:r>
        <w:fldChar w:fldCharType="separate"/>
      </w:r>
      <w:r>
        <w:t>1</w:t>
      </w:r>
      <w:r>
        <w:fldChar w:fldCharType="end"/>
      </w:r>
    </w:p>
    <w:p>
      <w:pPr>
        <w:pStyle w:val="TOC2"/>
      </w:pPr>
      <w:hyperlink w:anchor="_Toc1111">
        <w:r>
          <w:t xml:space="preserve">Key Concepts in This Chapter</w:t>
        </w:r>
      </w:hyperlink>
      <w:r>
        <w:tab/>
      </w:r>
      <w:r>
        <w:fldChar w:fldCharType="begin"/>
      </w:r>
      <w:r>
        <w:instrText xml:space="preserve"> PAGEREF _Toc1111 \h </w:instrText>
      </w:r>
      <w:r>
        <w:fldChar w:fldCharType="separate"/>
      </w:r>
      <w:r>
        <w:t>1</w:t>
      </w:r>
      <w:r>
        <w:fldChar w:fldCharType="end"/>
      </w:r>
    </w:p>
    <w:p>
      <w:pPr>
        <w:pStyle w:val="TOC1"/>
      </w:pPr>
      <w:hyperlink w:anchor="_Toc1112">
        <w:r>
          <w:t xml:space="preserve">Chapter 4: The Technology Pillar — Data Infrastructure for a Transformed Health System</w:t>
        </w:r>
      </w:hyperlink>
      <w:r>
        <w:tab/>
      </w:r>
      <w:r>
        <w:fldChar w:fldCharType="begin"/>
      </w:r>
      <w:r>
        <w:instrText xml:space="preserve"> PAGEREF _Toc1112 \h </w:instrText>
      </w:r>
      <w:r>
        <w:fldChar w:fldCharType="separate"/>
      </w:r>
      <w:r>
        <w:t>1</w:t>
      </w:r>
      <w:r>
        <w:fldChar w:fldCharType="end"/>
      </w:r>
    </w:p>
    <w:p>
      <w:pPr>
        <w:pStyle w:val="TOC2"/>
      </w:pPr>
      <w:hyperlink w:anchor="_Toc1113">
        <w:r>
          <w:t xml:space="preserve">The Technology Pillar: Why Data Infrastructure Is the Foundation of Everything Else</w:t>
        </w:r>
      </w:hyperlink>
      <w:r>
        <w:tab/>
      </w:r>
      <w:r>
        <w:fldChar w:fldCharType="begin"/>
      </w:r>
      <w:r>
        <w:instrText xml:space="preserve"> PAGEREF _Toc1113 \h </w:instrText>
      </w:r>
      <w:r>
        <w:fldChar w:fldCharType="separate"/>
      </w:r>
      <w:r>
        <w:t>1</w:t>
      </w:r>
      <w:r>
        <w:fldChar w:fldCharType="end"/>
      </w:r>
    </w:p>
    <w:p>
      <w:pPr>
        <w:pStyle w:val="TOC2"/>
      </w:pPr>
      <w:hyperlink w:anchor="_Toc1115">
        <w:r>
          <w:t xml:space="preserve">VHCURES — Vermont’s All-Payer Claims Database</w:t>
        </w:r>
      </w:hyperlink>
      <w:r>
        <w:tab/>
      </w:r>
      <w:r>
        <w:fldChar w:fldCharType="begin"/>
      </w:r>
      <w:r>
        <w:instrText xml:space="preserve"> PAGEREF _Toc1115 \h </w:instrText>
      </w:r>
      <w:r>
        <w:fldChar w:fldCharType="separate"/>
      </w:r>
      <w:r>
        <w:t>1</w:t>
      </w:r>
      <w:r>
        <w:fldChar w:fldCharType="end"/>
      </w:r>
    </w:p>
    <w:p>
      <w:pPr>
        <w:pStyle w:val="TOC2"/>
      </w:pPr>
      <w:hyperlink w:anchor="_Toc1118">
        <w:r>
          <w:t xml:space="preserve">The Vermont HIE — VITL, the Governance Shift, and the Integration Imperative</w:t>
        </w:r>
      </w:hyperlink>
      <w:r>
        <w:tab/>
      </w:r>
      <w:r>
        <w:fldChar w:fldCharType="begin"/>
      </w:r>
      <w:r>
        <w:instrText xml:space="preserve"> PAGEREF _Toc1118 \h </w:instrText>
      </w:r>
      <w:r>
        <w:fldChar w:fldCharType="separate"/>
      </w:r>
      <w:r>
        <w:t>1</w:t>
      </w:r>
      <w:r>
        <w:fldChar w:fldCharType="end"/>
      </w:r>
    </w:p>
    <w:p>
      <w:pPr>
        <w:pStyle w:val="TOC2"/>
      </w:pPr>
      <w:hyperlink w:anchor="_Toc1130">
        <w:r>
          <w:t xml:space="preserve">The Vermont Clinically Integrated Network — A New Technology Institution</w:t>
        </w:r>
      </w:hyperlink>
      <w:r>
        <w:tab/>
      </w:r>
      <w:r>
        <w:fldChar w:fldCharType="begin"/>
      </w:r>
      <w:r>
        <w:instrText xml:space="preserve"> PAGEREF _Toc1130 \h </w:instrText>
      </w:r>
      <w:r>
        <w:fldChar w:fldCharType="separate"/>
      </w:r>
      <w:r>
        <w:t>1</w:t>
      </w:r>
      <w:r>
        <w:fldChar w:fldCharType="end"/>
      </w:r>
    </w:p>
    <w:p>
      <w:pPr>
        <w:pStyle w:val="TOC2"/>
      </w:pPr>
      <w:hyperlink w:anchor="_Toc1133">
        <w:r>
          <w:t xml:space="preserve">FHIR Interoperability — The National Standard and Vermont’s Compliance Path</w:t>
        </w:r>
      </w:hyperlink>
      <w:r>
        <w:tab/>
      </w:r>
      <w:r>
        <w:fldChar w:fldCharType="begin"/>
      </w:r>
      <w:r>
        <w:instrText xml:space="preserve"> PAGEREF _Toc1133 \h </w:instrText>
      </w:r>
      <w:r>
        <w:fldChar w:fldCharType="separate"/>
      </w:r>
      <w:r>
        <w:t>1</w:t>
      </w:r>
      <w:r>
        <w:fldChar w:fldCharType="end"/>
      </w:r>
    </w:p>
    <w:p>
      <w:pPr>
        <w:pStyle w:val="TOC2"/>
      </w:pPr>
      <w:hyperlink w:anchor="_Toc1136">
        <w:r>
          <w:t xml:space="preserve">AI and Digital Health Technologies — Vermont’s Targeted Investment Strategy</w:t>
        </w:r>
      </w:hyperlink>
      <w:r>
        <w:tab/>
      </w:r>
      <w:r>
        <w:fldChar w:fldCharType="begin"/>
      </w:r>
      <w:r>
        <w:instrText xml:space="preserve"> PAGEREF _Toc1136 \h </w:instrText>
      </w:r>
      <w:r>
        <w:fldChar w:fldCharType="separate"/>
      </w:r>
      <w:r>
        <w:t>1</w:t>
      </w:r>
      <w:r>
        <w:fldChar w:fldCharType="end"/>
      </w:r>
    </w:p>
    <w:p>
      <w:pPr>
        <w:pStyle w:val="TOC2"/>
      </w:pPr>
      <w:hyperlink w:anchor="_Toc1142">
        <w:r>
          <w:t xml:space="preserve">AI Governance — Vermont’s Responsibility Before the Risk Arrives</w:t>
        </w:r>
      </w:hyperlink>
      <w:r>
        <w:tab/>
      </w:r>
      <w:r>
        <w:fldChar w:fldCharType="begin"/>
      </w:r>
      <w:r>
        <w:instrText xml:space="preserve"> PAGEREF _Toc1142 \h </w:instrText>
      </w:r>
      <w:r>
        <w:fldChar w:fldCharType="separate"/>
      </w:r>
      <w:r>
        <w:t>1</w:t>
      </w:r>
      <w:r>
        <w:fldChar w:fldCharType="end"/>
      </w:r>
    </w:p>
    <w:p>
      <w:pPr>
        <w:pStyle w:val="TOC2"/>
      </w:pPr>
      <w:hyperlink w:anchor="_Toc1144">
        <w:r>
          <w:t xml:space="preserve">Vermont’s Target Technology Architecture — A Framework for the Strategic Plan</w:t>
        </w:r>
      </w:hyperlink>
      <w:r>
        <w:tab/>
      </w:r>
      <w:r>
        <w:fldChar w:fldCharType="begin"/>
      </w:r>
      <w:r>
        <w:instrText xml:space="preserve"> PAGEREF _Toc1144 \h </w:instrText>
      </w:r>
      <w:r>
        <w:fldChar w:fldCharType="separate"/>
      </w:r>
      <w:r>
        <w:t>1</w:t>
      </w:r>
      <w:r>
        <w:fldChar w:fldCharType="end"/>
      </w:r>
    </w:p>
    <w:p>
      <w:pPr>
        <w:pStyle w:val="TOC2"/>
      </w:pPr>
      <w:hyperlink w:anchor="_Toc1145">
        <w:r>
          <w:t xml:space="preserve">Work This Chapter on the Platform</w:t>
        </w:r>
      </w:hyperlink>
      <w:r>
        <w:tab/>
      </w:r>
      <w:r>
        <w:fldChar w:fldCharType="begin"/>
      </w:r>
      <w:r>
        <w:instrText xml:space="preserve"> PAGEREF _Toc1145 \h </w:instrText>
      </w:r>
      <w:r>
        <w:fldChar w:fldCharType="separate"/>
      </w:r>
      <w:r>
        <w:t>1</w:t>
      </w:r>
      <w:r>
        <w:fldChar w:fldCharType="end"/>
      </w:r>
    </w:p>
    <w:p>
      <w:pPr>
        <w:pStyle w:val="TOC2"/>
      </w:pPr>
      <w:hyperlink w:anchor="_Toc1146">
        <w:r>
          <w:t xml:space="preserve">Implications for You</w:t>
        </w:r>
      </w:hyperlink>
      <w:r>
        <w:tab/>
      </w:r>
      <w:r>
        <w:fldChar w:fldCharType="begin"/>
      </w:r>
      <w:r>
        <w:instrText xml:space="preserve"> PAGEREF _Toc1146 \h </w:instrText>
      </w:r>
      <w:r>
        <w:fldChar w:fldCharType="separate"/>
      </w:r>
      <w:r>
        <w:t>1</w:t>
      </w:r>
      <w:r>
        <w:fldChar w:fldCharType="end"/>
      </w:r>
    </w:p>
    <w:p>
      <w:pPr>
        <w:pStyle w:val="TOC2"/>
      </w:pPr>
      <w:hyperlink w:anchor="_Toc1147">
        <w:r>
          <w:t xml:space="preserve">Key Concepts in This Chapter</w:t>
        </w:r>
      </w:hyperlink>
      <w:r>
        <w:tab/>
      </w:r>
      <w:r>
        <w:fldChar w:fldCharType="begin"/>
      </w:r>
      <w:r>
        <w:instrText xml:space="preserve"> PAGEREF _Toc1147 \h </w:instrText>
      </w:r>
      <w:r>
        <w:fldChar w:fldCharType="separate"/>
      </w:r>
      <w:r>
        <w:t>1</w:t>
      </w:r>
      <w:r>
        <w:fldChar w:fldCharType="end"/>
      </w:r>
    </w:p>
    <w:p>
      <w:pPr>
        <w:pStyle w:val="TOC1"/>
      </w:pPr>
      <w:hyperlink w:anchor="_Toc1148">
        <w:r>
          <w:t xml:space="preserve">Chapter 5: The Technology Pillar in Practice — FHIR, AI Governance, and Clinical Decision Support</w:t>
        </w:r>
      </w:hyperlink>
      <w:r>
        <w:tab/>
      </w:r>
      <w:r>
        <w:fldChar w:fldCharType="begin"/>
      </w:r>
      <w:r>
        <w:instrText xml:space="preserve"> PAGEREF _Toc1148 \h </w:instrText>
      </w:r>
      <w:r>
        <w:fldChar w:fldCharType="separate"/>
      </w:r>
      <w:r>
        <w:t>1</w:t>
      </w:r>
      <w:r>
        <w:fldChar w:fldCharType="end"/>
      </w:r>
    </w:p>
    <w:p>
      <w:pPr>
        <w:pStyle w:val="TOC2"/>
      </w:pPr>
      <w:hyperlink w:anchor="_Toc1149">
        <w:r>
          <w:t xml:space="preserve">From Architecture to Implementation</w:t>
        </w:r>
      </w:hyperlink>
      <w:r>
        <w:tab/>
      </w:r>
      <w:r>
        <w:fldChar w:fldCharType="begin"/>
      </w:r>
      <w:r>
        <w:instrText xml:space="preserve"> PAGEREF _Toc1149 \h </w:instrText>
      </w:r>
      <w:r>
        <w:fldChar w:fldCharType="separate"/>
      </w:r>
      <w:r>
        <w:t>1</w:t>
      </w:r>
      <w:r>
        <w:fldChar w:fldCharType="end"/>
      </w:r>
    </w:p>
    <w:p>
      <w:pPr>
        <w:pStyle w:val="TOC2"/>
      </w:pPr>
      <w:hyperlink w:anchor="_Toc1150">
        <w:r>
          <w:t xml:space="preserve">FHIR Implementation — From Standard to Working System</w:t>
        </w:r>
      </w:hyperlink>
      <w:r>
        <w:tab/>
      </w:r>
      <w:r>
        <w:fldChar w:fldCharType="begin"/>
      </w:r>
      <w:r>
        <w:instrText xml:space="preserve"> PAGEREF _Toc1150 \h </w:instrText>
      </w:r>
      <w:r>
        <w:fldChar w:fldCharType="separate"/>
      </w:r>
      <w:r>
        <w:t>1</w:t>
      </w:r>
      <w:r>
        <w:fldChar w:fldCharType="end"/>
      </w:r>
    </w:p>
    <w:p>
      <w:pPr>
        <w:pStyle w:val="TOC2"/>
      </w:pPr>
      <w:hyperlink w:anchor="_Toc1154">
        <w:r>
          <w:t xml:space="preserve">AI Clinical Governance — The Complete Framework</w:t>
        </w:r>
      </w:hyperlink>
      <w:r>
        <w:tab/>
      </w:r>
      <w:r>
        <w:fldChar w:fldCharType="begin"/>
      </w:r>
      <w:r>
        <w:instrText xml:space="preserve"> PAGEREF _Toc1154 \h </w:instrText>
      </w:r>
      <w:r>
        <w:fldChar w:fldCharType="separate"/>
      </w:r>
      <w:r>
        <w:t>1</w:t>
      </w:r>
      <w:r>
        <w:fldChar w:fldCharType="end"/>
      </w:r>
    </w:p>
    <w:p>
      <w:pPr>
        <w:pStyle w:val="TOC2"/>
      </w:pPr>
      <w:hyperlink w:anchor="_Toc1161">
        <w:r>
          <w:t xml:space="preserve">Clinical Decision Support — From Alerts to Intelligence</w:t>
        </w:r>
      </w:hyperlink>
      <w:r>
        <w:tab/>
      </w:r>
      <w:r>
        <w:fldChar w:fldCharType="begin"/>
      </w:r>
      <w:r>
        <w:instrText xml:space="preserve"> PAGEREF _Toc1161 \h </w:instrText>
      </w:r>
      <w:r>
        <w:fldChar w:fldCharType="separate"/>
      </w:r>
      <w:r>
        <w:t>1</w:t>
      </w:r>
      <w:r>
        <w:fldChar w:fldCharType="end"/>
      </w:r>
    </w:p>
    <w:p>
      <w:pPr>
        <w:pStyle w:val="TOC2"/>
      </w:pPr>
      <w:hyperlink w:anchor="_Toc1164">
        <w:r>
          <w:t xml:space="preserve">Cybersecurity in Rural Health Infrastructure</w:t>
        </w:r>
      </w:hyperlink>
      <w:r>
        <w:tab/>
      </w:r>
      <w:r>
        <w:fldChar w:fldCharType="begin"/>
      </w:r>
      <w:r>
        <w:instrText xml:space="preserve"> PAGEREF _Toc1164 \h </w:instrText>
      </w:r>
      <w:r>
        <w:fldChar w:fldCharType="separate"/>
      </w:r>
      <w:r>
        <w:t>1</w:t>
      </w:r>
      <w:r>
        <w:fldChar w:fldCharType="end"/>
      </w:r>
    </w:p>
    <w:p>
      <w:pPr>
        <w:pStyle w:val="TOC2"/>
      </w:pPr>
      <w:hyperlink w:anchor="_Toc1166">
        <w:r>
          <w:t xml:space="preserve">Technology Pillar Implementation Matrix</w:t>
        </w:r>
      </w:hyperlink>
      <w:r>
        <w:tab/>
      </w:r>
      <w:r>
        <w:fldChar w:fldCharType="begin"/>
      </w:r>
      <w:r>
        <w:instrText xml:space="preserve"> PAGEREF _Toc1166 \h </w:instrText>
      </w:r>
      <w:r>
        <w:fldChar w:fldCharType="separate"/>
      </w:r>
      <w:r>
        <w:t>1</w:t>
      </w:r>
      <w:r>
        <w:fldChar w:fldCharType="end"/>
      </w:r>
    </w:p>
    <w:p>
      <w:pPr>
        <w:pStyle w:val="TOC2"/>
      </w:pPr>
      <w:hyperlink w:anchor="_Toc1167">
        <w:r>
          <w:t xml:space="preserve">Work This Chapter on the Platform</w:t>
        </w:r>
      </w:hyperlink>
      <w:r>
        <w:tab/>
      </w:r>
      <w:r>
        <w:fldChar w:fldCharType="begin"/>
      </w:r>
      <w:r>
        <w:instrText xml:space="preserve"> PAGEREF _Toc1167 \h </w:instrText>
      </w:r>
      <w:r>
        <w:fldChar w:fldCharType="separate"/>
      </w:r>
      <w:r>
        <w:t>1</w:t>
      </w:r>
      <w:r>
        <w:fldChar w:fldCharType="end"/>
      </w:r>
    </w:p>
    <w:p>
      <w:pPr>
        <w:pStyle w:val="TOC2"/>
      </w:pPr>
      <w:hyperlink w:anchor="_Toc1168">
        <w:r>
          <w:t xml:space="preserve">Implications for You</w:t>
        </w:r>
      </w:hyperlink>
      <w:r>
        <w:tab/>
      </w:r>
      <w:r>
        <w:fldChar w:fldCharType="begin"/>
      </w:r>
      <w:r>
        <w:instrText xml:space="preserve"> PAGEREF _Toc1168 \h </w:instrText>
      </w:r>
      <w:r>
        <w:fldChar w:fldCharType="separate"/>
      </w:r>
      <w:r>
        <w:t>1</w:t>
      </w:r>
      <w:r>
        <w:fldChar w:fldCharType="end"/>
      </w:r>
    </w:p>
    <w:p>
      <w:pPr>
        <w:pStyle w:val="TOC2"/>
      </w:pPr>
      <w:hyperlink w:anchor="_Toc1169">
        <w:r>
          <w:t xml:space="preserve">Key Concepts in This Chapter</w:t>
        </w:r>
      </w:hyperlink>
      <w:r>
        <w:tab/>
      </w:r>
      <w:r>
        <w:fldChar w:fldCharType="begin"/>
      </w:r>
      <w:r>
        <w:instrText xml:space="preserve"> PAGEREF _Toc1169 \h </w:instrText>
      </w:r>
      <w:r>
        <w:fldChar w:fldCharType="separate"/>
      </w:r>
      <w:r>
        <w:t>1</w:t>
      </w:r>
      <w:r>
        <w:fldChar w:fldCharType="end"/>
      </w:r>
    </w:p>
    <w:p>
      <w:pPr>
        <w:pStyle w:val="TOC1"/>
      </w:pPr>
      <w:hyperlink w:anchor="_Toc1170">
        <w:r>
          <w:t xml:space="preserve">Chapter 6: The Economics Pillar — Global Budgets, Reference-Based Pricing, and Financial Reform</w:t>
        </w:r>
      </w:hyperlink>
      <w:r>
        <w:tab/>
      </w:r>
      <w:r>
        <w:fldChar w:fldCharType="begin"/>
      </w:r>
      <w:r>
        <w:instrText xml:space="preserve"> PAGEREF _Toc1170 \h </w:instrText>
      </w:r>
      <w:r>
        <w:fldChar w:fldCharType="separate"/>
      </w:r>
      <w:r>
        <w:t>1</w:t>
      </w:r>
      <w:r>
        <w:fldChar w:fldCharType="end"/>
      </w:r>
    </w:p>
    <w:p>
      <w:pPr>
        <w:pStyle w:val="TOC2"/>
      </w:pPr>
      <w:hyperlink w:anchor="_Toc1171">
        <w:r>
          <w:t xml:space="preserve">The Economics Pillar: Why Payment Reform Is the Master Variable</w:t>
        </w:r>
      </w:hyperlink>
      <w:r>
        <w:tab/>
      </w:r>
      <w:r>
        <w:fldChar w:fldCharType="begin"/>
      </w:r>
      <w:r>
        <w:instrText xml:space="preserve"> PAGEREF _Toc1171 \h </w:instrText>
      </w:r>
      <w:r>
        <w:fldChar w:fldCharType="separate"/>
      </w:r>
      <w:r>
        <w:t>1</w:t>
      </w:r>
      <w:r>
        <w:fldChar w:fldCharType="end"/>
      </w:r>
    </w:p>
    <w:p>
      <w:pPr>
        <w:pStyle w:val="TOC2"/>
      </w:pPr>
      <w:hyperlink w:anchor="_Toc1172">
        <w:r>
          <w:t xml:space="preserve">The Fee-for-Service Trap — Why the Current System Fails</w:t>
        </w:r>
      </w:hyperlink>
      <w:r>
        <w:tab/>
      </w:r>
      <w:r>
        <w:fldChar w:fldCharType="begin"/>
      </w:r>
      <w:r>
        <w:instrText xml:space="preserve"> PAGEREF _Toc1172 \h </w:instrText>
      </w:r>
      <w:r>
        <w:fldChar w:fldCharType="separate"/>
      </w:r>
      <w:r>
        <w:t>1</w:t>
      </w:r>
      <w:r>
        <w:fldChar w:fldCharType="end"/>
      </w:r>
    </w:p>
    <w:p>
      <w:pPr>
        <w:pStyle w:val="TOC2"/>
      </w:pPr>
      <w:hyperlink w:anchor="_Toc1176">
        <w:r>
          <w:t xml:space="preserve">Reference-Based Pricing — Mechanics, Evidence, and Vermont’s Design</w:t>
        </w:r>
      </w:hyperlink>
      <w:r>
        <w:tab/>
      </w:r>
      <w:r>
        <w:fldChar w:fldCharType="begin"/>
      </w:r>
      <w:r>
        <w:instrText xml:space="preserve"> PAGEREF _Toc1176 \h </w:instrText>
      </w:r>
      <w:r>
        <w:fldChar w:fldCharType="separate"/>
      </w:r>
      <w:r>
        <w:t>1</w:t>
      </w:r>
      <w:r>
        <w:fldChar w:fldCharType="end"/>
      </w:r>
    </w:p>
    <w:p>
      <w:pPr>
        <w:pStyle w:val="TOC2"/>
      </w:pPr>
      <w:hyperlink w:anchor="_Toc1181">
        <w:r>
          <w:t xml:space="preserve">Hospital Global Budgets — Architecture, History, and Vermont’s Mandate</w:t>
        </w:r>
      </w:hyperlink>
      <w:r>
        <w:tab/>
      </w:r>
      <w:r>
        <w:fldChar w:fldCharType="begin"/>
      </w:r>
      <w:r>
        <w:instrText xml:space="preserve"> PAGEREF _Toc1181 \h </w:instrText>
      </w:r>
      <w:r>
        <w:fldChar w:fldCharType="separate"/>
      </w:r>
      <w:r>
        <w:t>1</w:t>
      </w:r>
      <w:r>
        <w:fldChar w:fldCharType="end"/>
      </w:r>
    </w:p>
    <w:p>
      <w:pPr>
        <w:pStyle w:val="TOC2"/>
      </w:pPr>
      <w:hyperlink w:anchor="_Toc1185">
        <w:r>
          <w:t xml:space="preserve">Maryland — A Decade of Global Budget Evidence</w:t>
        </w:r>
      </w:hyperlink>
      <w:r>
        <w:tab/>
      </w:r>
      <w:r>
        <w:fldChar w:fldCharType="begin"/>
      </w:r>
      <w:r>
        <w:instrText xml:space="preserve"> PAGEREF _Toc1185 \h </w:instrText>
      </w:r>
      <w:r>
        <w:fldChar w:fldCharType="separate"/>
      </w:r>
      <w:r>
        <w:t>1</w:t>
      </w:r>
      <w:r>
        <w:fldChar w:fldCharType="end"/>
      </w:r>
    </w:p>
    <w:p>
      <w:pPr>
        <w:pStyle w:val="TOC2"/>
      </w:pPr>
      <w:hyperlink w:anchor="_Toc1190">
        <w:r>
          <w:t xml:space="preserve">The AHEAD Model — Medicare’s Entry into Vermont’s Reform</w:t>
        </w:r>
      </w:hyperlink>
      <w:r>
        <w:tab/>
      </w:r>
      <w:r>
        <w:fldChar w:fldCharType="begin"/>
      </w:r>
      <w:r>
        <w:instrText xml:space="preserve"> PAGEREF _Toc1190 \h </w:instrText>
      </w:r>
      <w:r>
        <w:fldChar w:fldCharType="separate"/>
      </w:r>
      <w:r>
        <w:t>1</w:t>
      </w:r>
      <w:r>
        <w:fldChar w:fldCharType="end"/>
      </w:r>
    </w:p>
    <w:p>
      <w:pPr>
        <w:pStyle w:val="TOC2"/>
      </w:pPr>
      <w:hyperlink w:anchor="_Toc1193">
        <w:r>
          <w:t xml:space="preserve">Hospital Financial Modeling — Reading the Numbers That Matter</w:t>
        </w:r>
      </w:hyperlink>
      <w:r>
        <w:tab/>
      </w:r>
      <w:r>
        <w:fldChar w:fldCharType="begin"/>
      </w:r>
      <w:r>
        <w:instrText xml:space="preserve"> PAGEREF _Toc1193 \h </w:instrText>
      </w:r>
      <w:r>
        <w:fldChar w:fldCharType="separate"/>
      </w:r>
      <w:r>
        <w:t>1</w:t>
      </w:r>
      <w:r>
        <w:fldChar w:fldCharType="end"/>
      </w:r>
    </w:p>
    <w:p>
      <w:pPr>
        <w:pStyle w:val="TOC2"/>
      </w:pPr>
      <w:hyperlink w:anchor="_Toc1197">
        <w:r>
          <w:t xml:space="preserve">APM Transition Strategy for Vermont Healthcare Organizations</w:t>
        </w:r>
      </w:hyperlink>
      <w:r>
        <w:tab/>
      </w:r>
      <w:r>
        <w:fldChar w:fldCharType="begin"/>
      </w:r>
      <w:r>
        <w:instrText xml:space="preserve"> PAGEREF _Toc1197 \h </w:instrText>
      </w:r>
      <w:r>
        <w:fldChar w:fldCharType="separate"/>
      </w:r>
      <w:r>
        <w:t>1</w:t>
      </w:r>
      <w:r>
        <w:fldChar w:fldCharType="end"/>
      </w:r>
    </w:p>
    <w:p>
      <w:pPr>
        <w:pStyle w:val="TOC2"/>
      </w:pPr>
      <w:hyperlink w:anchor="_Toc1200">
        <w:r>
          <w:t xml:space="preserve">Work This Chapter on the Platform</w:t>
        </w:r>
      </w:hyperlink>
      <w:r>
        <w:tab/>
      </w:r>
      <w:r>
        <w:fldChar w:fldCharType="begin"/>
      </w:r>
      <w:r>
        <w:instrText xml:space="preserve"> PAGEREF _Toc1200 \h </w:instrText>
      </w:r>
      <w:r>
        <w:fldChar w:fldCharType="separate"/>
      </w:r>
      <w:r>
        <w:t>1</w:t>
      </w:r>
      <w:r>
        <w:fldChar w:fldCharType="end"/>
      </w:r>
    </w:p>
    <w:p>
      <w:pPr>
        <w:pStyle w:val="TOC2"/>
      </w:pPr>
      <w:hyperlink w:anchor="_Toc1201">
        <w:r>
          <w:t xml:space="preserve">Implications for You</w:t>
        </w:r>
      </w:hyperlink>
      <w:r>
        <w:tab/>
      </w:r>
      <w:r>
        <w:fldChar w:fldCharType="begin"/>
      </w:r>
      <w:r>
        <w:instrText xml:space="preserve"> PAGEREF _Toc1201 \h </w:instrText>
      </w:r>
      <w:r>
        <w:fldChar w:fldCharType="separate"/>
      </w:r>
      <w:r>
        <w:t>1</w:t>
      </w:r>
      <w:r>
        <w:fldChar w:fldCharType="end"/>
      </w:r>
    </w:p>
    <w:p>
      <w:pPr>
        <w:pStyle w:val="TOC2"/>
      </w:pPr>
      <w:hyperlink w:anchor="_Toc1202">
        <w:r>
          <w:t xml:space="preserve">Key Concepts in This Chapter</w:t>
        </w:r>
      </w:hyperlink>
      <w:r>
        <w:tab/>
      </w:r>
      <w:r>
        <w:fldChar w:fldCharType="begin"/>
      </w:r>
      <w:r>
        <w:instrText xml:space="preserve"> PAGEREF _Toc1202 \h </w:instrText>
      </w:r>
      <w:r>
        <w:fldChar w:fldCharType="separate"/>
      </w:r>
      <w:r>
        <w:t>1</w:t>
      </w:r>
      <w:r>
        <w:fldChar w:fldCharType="end"/>
      </w:r>
    </w:p>
    <w:p>
      <w:pPr>
        <w:pStyle w:val="TOC1"/>
      </w:pPr>
      <w:hyperlink w:anchor="_Toc1203">
        <w:r>
          <w:t xml:space="preserve">Chapter 7: The Economics Pillar in Practice — VBC Financial Modeling and APM Readiness</w:t>
        </w:r>
      </w:hyperlink>
      <w:r>
        <w:tab/>
      </w:r>
      <w:r>
        <w:fldChar w:fldCharType="begin"/>
      </w:r>
      <w:r>
        <w:instrText xml:space="preserve"> PAGEREF _Toc1203 \h </w:instrText>
      </w:r>
      <w:r>
        <w:fldChar w:fldCharType="separate"/>
      </w:r>
      <w:r>
        <w:t>1</w:t>
      </w:r>
      <w:r>
        <w:fldChar w:fldCharType="end"/>
      </w:r>
    </w:p>
    <w:p>
      <w:pPr>
        <w:pStyle w:val="TOC2"/>
      </w:pPr>
      <w:hyperlink w:anchor="_Toc1204">
        <w:r>
          <w:t xml:space="preserve">From Payment Architecture to Financial Practice</w:t>
        </w:r>
      </w:hyperlink>
      <w:r>
        <w:tab/>
      </w:r>
      <w:r>
        <w:fldChar w:fldCharType="begin"/>
      </w:r>
      <w:r>
        <w:instrText xml:space="preserve"> PAGEREF _Toc1204 \h </w:instrText>
      </w:r>
      <w:r>
        <w:fldChar w:fldCharType="separate"/>
      </w:r>
      <w:r>
        <w:t>1</w:t>
      </w:r>
      <w:r>
        <w:fldChar w:fldCharType="end"/>
      </w:r>
    </w:p>
    <w:p>
      <w:pPr>
        <w:pStyle w:val="TOC2"/>
      </w:pPr>
      <w:hyperlink w:anchor="_Toc1205">
        <w:r>
          <w:t xml:space="preserve">The APM Financial Modeling Framework</w:t>
        </w:r>
      </w:hyperlink>
      <w:r>
        <w:tab/>
      </w:r>
      <w:r>
        <w:fldChar w:fldCharType="begin"/>
      </w:r>
      <w:r>
        <w:instrText xml:space="preserve"> PAGEREF _Toc1205 \h </w:instrText>
      </w:r>
      <w:r>
        <w:fldChar w:fldCharType="separate"/>
      </w:r>
      <w:r>
        <w:t>1</w:t>
      </w:r>
      <w:r>
        <w:fldChar w:fldCharType="end"/>
      </w:r>
    </w:p>
    <w:p>
      <w:pPr>
        <w:pStyle w:val="TOC2"/>
      </w:pPr>
      <w:hyperlink w:anchor="_Toc1213">
        <w:r>
          <w:t xml:space="preserve">Economics Pillar Implementation Matrix</w:t>
        </w:r>
      </w:hyperlink>
      <w:r>
        <w:tab/>
      </w:r>
      <w:r>
        <w:fldChar w:fldCharType="begin"/>
      </w:r>
      <w:r>
        <w:instrText xml:space="preserve"> PAGEREF _Toc1213 \h </w:instrText>
      </w:r>
      <w:r>
        <w:fldChar w:fldCharType="separate"/>
      </w:r>
      <w:r>
        <w:t>1</w:t>
      </w:r>
      <w:r>
        <w:fldChar w:fldCharType="end"/>
      </w:r>
    </w:p>
    <w:p>
      <w:pPr>
        <w:pStyle w:val="TOC2"/>
      </w:pPr>
      <w:hyperlink w:anchor="_Toc1214">
        <w:r>
          <w:t xml:space="preserve">APM Readiness Assessment — The 30-Dimension Framework</w:t>
        </w:r>
      </w:hyperlink>
      <w:r>
        <w:tab/>
      </w:r>
      <w:r>
        <w:fldChar w:fldCharType="begin"/>
      </w:r>
      <w:r>
        <w:instrText xml:space="preserve"> PAGEREF _Toc1214 \h </w:instrText>
      </w:r>
      <w:r>
        <w:fldChar w:fldCharType="separate"/>
      </w:r>
      <w:r>
        <w:t>1</w:t>
      </w:r>
      <w:r>
        <w:fldChar w:fldCharType="end"/>
      </w:r>
    </w:p>
    <w:p>
      <w:pPr>
        <w:pStyle w:val="TOC2"/>
      </w:pPr>
      <w:hyperlink w:anchor="_Toc1217">
        <w:r>
          <w:t xml:space="preserve">Contract Analysis — Reading an APM Contract for Financial Risk</w:t>
        </w:r>
      </w:hyperlink>
      <w:r>
        <w:tab/>
      </w:r>
      <w:r>
        <w:fldChar w:fldCharType="begin"/>
      </w:r>
      <w:r>
        <w:instrText xml:space="preserve"> PAGEREF _Toc1217 \h </w:instrText>
      </w:r>
      <w:r>
        <w:fldChar w:fldCharType="separate"/>
      </w:r>
      <w:r>
        <w:t>1</w:t>
      </w:r>
      <w:r>
        <w:fldChar w:fldCharType="end"/>
      </w:r>
    </w:p>
    <w:p>
      <w:pPr>
        <w:pStyle w:val="TOC2"/>
      </w:pPr>
      <w:hyperlink w:anchor="_Toc1219">
        <w:r>
          <w:t xml:space="preserve">Hospital Financial Modeling Under Global Budgets — The Vermont Framework</w:t>
        </w:r>
      </w:hyperlink>
      <w:r>
        <w:tab/>
      </w:r>
      <w:r>
        <w:fldChar w:fldCharType="begin"/>
      </w:r>
      <w:r>
        <w:instrText xml:space="preserve"> PAGEREF _Toc1219 \h </w:instrText>
      </w:r>
      <w:r>
        <w:fldChar w:fldCharType="separate"/>
      </w:r>
      <w:r>
        <w:t>1</w:t>
      </w:r>
      <w:r>
        <w:fldChar w:fldCharType="end"/>
      </w:r>
    </w:p>
    <w:p>
      <w:pPr>
        <w:pStyle w:val="TOC2"/>
      </w:pPr>
      <w:hyperlink w:anchor="_Toc1222">
        <w:r>
          <w:t xml:space="preserve">The ROI of Transformation — Building the Financial Case</w:t>
        </w:r>
      </w:hyperlink>
      <w:r>
        <w:tab/>
      </w:r>
      <w:r>
        <w:fldChar w:fldCharType="begin"/>
      </w:r>
      <w:r>
        <w:instrText xml:space="preserve"> PAGEREF _Toc1222 \h </w:instrText>
      </w:r>
      <w:r>
        <w:fldChar w:fldCharType="separate"/>
      </w:r>
      <w:r>
        <w:t>1</w:t>
      </w:r>
      <w:r>
        <w:fldChar w:fldCharType="end"/>
      </w:r>
    </w:p>
    <w:p>
      <w:pPr>
        <w:pStyle w:val="TOC2"/>
      </w:pPr>
      <w:hyperlink w:anchor="_Toc1224">
        <w:r>
          <w:t xml:space="preserve">Making Care Primary — Vermont’s Primary Care Economics</w:t>
        </w:r>
      </w:hyperlink>
      <w:r>
        <w:tab/>
      </w:r>
      <w:r>
        <w:fldChar w:fldCharType="begin"/>
      </w:r>
      <w:r>
        <w:instrText xml:space="preserve"> PAGEREF _Toc1224 \h </w:instrText>
      </w:r>
      <w:r>
        <w:fldChar w:fldCharType="separate"/>
      </w:r>
      <w:r>
        <w:t>1</w:t>
      </w:r>
      <w:r>
        <w:fldChar w:fldCharType="end"/>
      </w:r>
    </w:p>
    <w:p>
      <w:pPr>
        <w:pStyle w:val="TOC2"/>
      </w:pPr>
      <w:hyperlink w:anchor="_Toc1225">
        <w:r>
          <w:t xml:space="preserve">Work This Chapter on the Platform</w:t>
        </w:r>
      </w:hyperlink>
      <w:r>
        <w:tab/>
      </w:r>
      <w:r>
        <w:fldChar w:fldCharType="begin"/>
      </w:r>
      <w:r>
        <w:instrText xml:space="preserve"> PAGEREF _Toc1225 \h </w:instrText>
      </w:r>
      <w:r>
        <w:fldChar w:fldCharType="separate"/>
      </w:r>
      <w:r>
        <w:t>1</w:t>
      </w:r>
      <w:r>
        <w:fldChar w:fldCharType="end"/>
      </w:r>
    </w:p>
    <w:p>
      <w:pPr>
        <w:pStyle w:val="TOC2"/>
      </w:pPr>
      <w:hyperlink w:anchor="_Toc1226">
        <w:r>
          <w:t xml:space="preserve">Implications for You</w:t>
        </w:r>
      </w:hyperlink>
      <w:r>
        <w:tab/>
      </w:r>
      <w:r>
        <w:fldChar w:fldCharType="begin"/>
      </w:r>
      <w:r>
        <w:instrText xml:space="preserve"> PAGEREF _Toc1226 \h </w:instrText>
      </w:r>
      <w:r>
        <w:fldChar w:fldCharType="separate"/>
      </w:r>
      <w:r>
        <w:t>1</w:t>
      </w:r>
      <w:r>
        <w:fldChar w:fldCharType="end"/>
      </w:r>
    </w:p>
    <w:p>
      <w:pPr>
        <w:pStyle w:val="TOC2"/>
      </w:pPr>
      <w:hyperlink w:anchor="_Toc1227">
        <w:r>
          <w:t xml:space="preserve">Key Concepts in This Chapter</w:t>
        </w:r>
      </w:hyperlink>
      <w:r>
        <w:tab/>
      </w:r>
      <w:r>
        <w:fldChar w:fldCharType="begin"/>
      </w:r>
      <w:r>
        <w:instrText xml:space="preserve"> PAGEREF _Toc1227 \h </w:instrText>
      </w:r>
      <w:r>
        <w:fldChar w:fldCharType="separate"/>
      </w:r>
      <w:r>
        <w:t>1</w:t>
      </w:r>
      <w:r>
        <w:fldChar w:fldCharType="end"/>
      </w:r>
    </w:p>
    <w:p>
      <w:pPr>
        <w:pStyle w:val="TOC1"/>
      </w:pPr>
      <w:hyperlink w:anchor="_Toc1228">
        <w:r>
          <w:t xml:space="preserve">Chapter 8: The Clinical Pillar — Redesigning Care Delivery for a Transformed System</w:t>
        </w:r>
      </w:hyperlink>
      <w:r>
        <w:tab/>
      </w:r>
      <w:r>
        <w:fldChar w:fldCharType="begin"/>
      </w:r>
      <w:r>
        <w:instrText xml:space="preserve"> PAGEREF _Toc1228 \h </w:instrText>
      </w:r>
      <w:r>
        <w:fldChar w:fldCharType="separate"/>
      </w:r>
      <w:r>
        <w:t>1</w:t>
      </w:r>
      <w:r>
        <w:fldChar w:fldCharType="end"/>
      </w:r>
    </w:p>
    <w:p>
      <w:pPr>
        <w:pStyle w:val="TOC2"/>
      </w:pPr>
      <w:hyperlink w:anchor="_Toc1229">
        <w:r>
          <w:t xml:space="preserve">The Clinical Pillar: What It Is and Why It Is Not the Same as Clinical Quality</w:t>
        </w:r>
      </w:hyperlink>
      <w:r>
        <w:tab/>
      </w:r>
      <w:r>
        <w:fldChar w:fldCharType="begin"/>
      </w:r>
      <w:r>
        <w:instrText xml:space="preserve"> PAGEREF _Toc1229 \h </w:instrText>
      </w:r>
      <w:r>
        <w:fldChar w:fldCharType="separate"/>
      </w:r>
      <w:r>
        <w:t>1</w:t>
      </w:r>
      <w:r>
        <w:fldChar w:fldCharType="end"/>
      </w:r>
    </w:p>
    <w:p>
      <w:pPr>
        <w:pStyle w:val="TOC2"/>
      </w:pPr>
      <w:hyperlink w:anchor="_Toc1230">
        <w:r>
          <w:t xml:space="preserve">The Vermont Blueprint for Health — Two Decades of Primary Care Transformation</w:t>
        </w:r>
      </w:hyperlink>
      <w:r>
        <w:tab/>
      </w:r>
      <w:r>
        <w:fldChar w:fldCharType="begin"/>
      </w:r>
      <w:r>
        <w:instrText xml:space="preserve"> PAGEREF _Toc1230 \h </w:instrText>
      </w:r>
      <w:r>
        <w:fldChar w:fldCharType="separate"/>
      </w:r>
      <w:r>
        <w:t>1</w:t>
      </w:r>
      <w:r>
        <w:fldChar w:fldCharType="end"/>
      </w:r>
    </w:p>
    <w:p>
      <w:pPr>
        <w:pStyle w:val="TOC2"/>
      </w:pPr>
      <w:hyperlink w:anchor="_Toc1234">
        <w:r>
          <w:t xml:space="preserve">The Behavioral Health Crisis — Vermont’s Most Urgent Clinical Challenge</w:t>
        </w:r>
      </w:hyperlink>
      <w:r>
        <w:tab/>
      </w:r>
      <w:r>
        <w:fldChar w:fldCharType="begin"/>
      </w:r>
      <w:r>
        <w:instrText xml:space="preserve"> PAGEREF _Toc1234 \h </w:instrText>
      </w:r>
      <w:r>
        <w:fldChar w:fldCharType="separate"/>
      </w:r>
      <w:r>
        <w:t>1</w:t>
      </w:r>
      <w:r>
        <w:fldChar w:fldCharType="end"/>
      </w:r>
    </w:p>
    <w:p>
      <w:pPr>
        <w:pStyle w:val="TOC2"/>
      </w:pPr>
      <w:hyperlink w:anchor="_Toc1238">
        <w:r>
          <w:t xml:space="preserve">Primary Care Redesign — Vermont’s Strategy for the Front Door</w:t>
        </w:r>
      </w:hyperlink>
      <w:r>
        <w:tab/>
      </w:r>
      <w:r>
        <w:fldChar w:fldCharType="begin"/>
      </w:r>
      <w:r>
        <w:instrText xml:space="preserve"> PAGEREF _Toc1238 \h </w:instrText>
      </w:r>
      <w:r>
        <w:fldChar w:fldCharType="separate"/>
      </w:r>
      <w:r>
        <w:t>1</w:t>
      </w:r>
      <w:r>
        <w:fldChar w:fldCharType="end"/>
      </w:r>
    </w:p>
    <w:p>
      <w:pPr>
        <w:pStyle w:val="TOC2"/>
      </w:pPr>
      <w:hyperlink w:anchor="_Toc1241">
        <w:r>
          <w:t xml:space="preserve">Vermont’s Clinical Quality Architecture — Measuring What Matters</w:t>
        </w:r>
      </w:hyperlink>
      <w:r>
        <w:tab/>
      </w:r>
      <w:r>
        <w:fldChar w:fldCharType="begin"/>
      </w:r>
      <w:r>
        <w:instrText xml:space="preserve"> PAGEREF _Toc1241 \h </w:instrText>
      </w:r>
      <w:r>
        <w:fldChar w:fldCharType="separate"/>
      </w:r>
      <w:r>
        <w:t>1</w:t>
      </w:r>
      <w:r>
        <w:fldChar w:fldCharType="end"/>
      </w:r>
    </w:p>
    <w:p>
      <w:pPr>
        <w:pStyle w:val="TOC2"/>
      </w:pPr>
      <w:hyperlink w:anchor="_Toc1243">
        <w:r>
          <w:t xml:space="preserve">Care for Vermont’s Aging Population — The Clinical Imperative</w:t>
        </w:r>
      </w:hyperlink>
      <w:r>
        <w:tab/>
      </w:r>
      <w:r>
        <w:fldChar w:fldCharType="begin"/>
      </w:r>
      <w:r>
        <w:instrText xml:space="preserve"> PAGEREF _Toc1243 \h </w:instrText>
      </w:r>
      <w:r>
        <w:fldChar w:fldCharType="separate"/>
      </w:r>
      <w:r>
        <w:t>1</w:t>
      </w:r>
      <w:r>
        <w:fldChar w:fldCharType="end"/>
      </w:r>
    </w:p>
    <w:p>
      <w:pPr>
        <w:pStyle w:val="TOC2"/>
      </w:pPr>
      <w:hyperlink w:anchor="_Toc1246">
        <w:r>
          <w:t xml:space="preserve">Clinical Pillar Implications for AHS’s Statewide Strategic Plan</w:t>
        </w:r>
      </w:hyperlink>
      <w:r>
        <w:tab/>
      </w:r>
      <w:r>
        <w:fldChar w:fldCharType="begin"/>
      </w:r>
      <w:r>
        <w:instrText xml:space="preserve"> PAGEREF _Toc1246 \h </w:instrText>
      </w:r>
      <w:r>
        <w:fldChar w:fldCharType="separate"/>
      </w:r>
      <w:r>
        <w:t>1</w:t>
      </w:r>
      <w:r>
        <w:fldChar w:fldCharType="end"/>
      </w:r>
    </w:p>
    <w:p>
      <w:pPr>
        <w:pStyle w:val="TOC2"/>
      </w:pPr>
      <w:hyperlink w:anchor="_Toc1247">
        <w:r>
          <w:t xml:space="preserve">Work This Chapter on the Platform</w:t>
        </w:r>
      </w:hyperlink>
      <w:r>
        <w:tab/>
      </w:r>
      <w:r>
        <w:fldChar w:fldCharType="begin"/>
      </w:r>
      <w:r>
        <w:instrText xml:space="preserve"> PAGEREF _Toc1247 \h </w:instrText>
      </w:r>
      <w:r>
        <w:fldChar w:fldCharType="separate"/>
      </w:r>
      <w:r>
        <w:t>1</w:t>
      </w:r>
      <w:r>
        <w:fldChar w:fldCharType="end"/>
      </w:r>
    </w:p>
    <w:p>
      <w:pPr>
        <w:pStyle w:val="TOC2"/>
      </w:pPr>
      <w:hyperlink w:anchor="_Toc1248">
        <w:r>
          <w:t xml:space="preserve">Implications for You</w:t>
        </w:r>
      </w:hyperlink>
      <w:r>
        <w:tab/>
      </w:r>
      <w:r>
        <w:fldChar w:fldCharType="begin"/>
      </w:r>
      <w:r>
        <w:instrText xml:space="preserve"> PAGEREF _Toc1248 \h </w:instrText>
      </w:r>
      <w:r>
        <w:fldChar w:fldCharType="separate"/>
      </w:r>
      <w:r>
        <w:t>1</w:t>
      </w:r>
      <w:r>
        <w:fldChar w:fldCharType="end"/>
      </w:r>
    </w:p>
    <w:p>
      <w:pPr>
        <w:pStyle w:val="TOC2"/>
      </w:pPr>
      <w:hyperlink w:anchor="_Toc1249">
        <w:r>
          <w:t xml:space="preserve">Key Concepts in This Chapter</w:t>
        </w:r>
      </w:hyperlink>
      <w:r>
        <w:tab/>
      </w:r>
      <w:r>
        <w:fldChar w:fldCharType="begin"/>
      </w:r>
      <w:r>
        <w:instrText xml:space="preserve"> PAGEREF _Toc1249 \h </w:instrText>
      </w:r>
      <w:r>
        <w:fldChar w:fldCharType="separate"/>
      </w:r>
      <w:r>
        <w:t>1</w:t>
      </w:r>
      <w:r>
        <w:fldChar w:fldCharType="end"/>
      </w:r>
    </w:p>
    <w:p>
      <w:pPr>
        <w:pStyle w:val="TOC1"/>
      </w:pPr>
      <w:hyperlink w:anchor="_Toc1250">
        <w:r>
          <w:t xml:space="preserve">Chapter 9: The Clinical Pillar in Practice — Care Model Implementation, Quality Mechanics, and the Vermont Clinical Transformation Toolkit</w:t>
        </w:r>
      </w:hyperlink>
      <w:r>
        <w:tab/>
      </w:r>
      <w:r>
        <w:fldChar w:fldCharType="begin"/>
      </w:r>
      <w:r>
        <w:instrText xml:space="preserve"> PAGEREF _Toc1250 \h </w:instrText>
      </w:r>
      <w:r>
        <w:fldChar w:fldCharType="separate"/>
      </w:r>
      <w:r>
        <w:t>1</w:t>
      </w:r>
      <w:r>
        <w:fldChar w:fldCharType="end"/>
      </w:r>
    </w:p>
    <w:p>
      <w:pPr>
        <w:pStyle w:val="TOC2"/>
      </w:pPr>
      <w:hyperlink w:anchor="_Toc1251">
        <w:r>
          <w:t xml:space="preserve">From Clinical Architecture to Clinical Practice</w:t>
        </w:r>
      </w:hyperlink>
      <w:r>
        <w:tab/>
      </w:r>
      <w:r>
        <w:fldChar w:fldCharType="begin"/>
      </w:r>
      <w:r>
        <w:instrText xml:space="preserve"> PAGEREF _Toc1251 \h </w:instrText>
      </w:r>
      <w:r>
        <w:fldChar w:fldCharType="separate"/>
      </w:r>
      <w:r>
        <w:t>1</w:t>
      </w:r>
      <w:r>
        <w:fldChar w:fldCharType="end"/>
      </w:r>
    </w:p>
    <w:p>
      <w:pPr>
        <w:pStyle w:val="TOC2"/>
      </w:pPr>
      <w:hyperlink w:anchor="_Toc1252">
        <w:r>
          <w:t xml:space="preserve">PCMH Transformation — The Blueprint Practice Implementation Playbook</w:t>
        </w:r>
      </w:hyperlink>
      <w:r>
        <w:tab/>
      </w:r>
      <w:r>
        <w:fldChar w:fldCharType="begin"/>
      </w:r>
      <w:r>
        <w:instrText xml:space="preserve"> PAGEREF _Toc1252 \h </w:instrText>
      </w:r>
      <w:r>
        <w:fldChar w:fldCharType="separate"/>
      </w:r>
      <w:r>
        <w:t>1</w:t>
      </w:r>
      <w:r>
        <w:fldChar w:fldCharType="end"/>
      </w:r>
    </w:p>
    <w:p>
      <w:pPr>
        <w:pStyle w:val="TOC2"/>
      </w:pPr>
      <w:hyperlink w:anchor="_Toc1256">
        <w:r>
          <w:t xml:space="preserve">Deploying the Collaborative Care Model — Operational Requirements</w:t>
        </w:r>
      </w:hyperlink>
      <w:r>
        <w:tab/>
      </w:r>
      <w:r>
        <w:fldChar w:fldCharType="begin"/>
      </w:r>
      <w:r>
        <w:instrText xml:space="preserve"> PAGEREF _Toc1256 \h </w:instrText>
      </w:r>
      <w:r>
        <w:fldChar w:fldCharType="separate"/>
      </w:r>
      <w:r>
        <w:t>1</w:t>
      </w:r>
      <w:r>
        <w:fldChar w:fldCharType="end"/>
      </w:r>
    </w:p>
    <w:p>
      <w:pPr>
        <w:pStyle w:val="TOC2"/>
      </w:pPr>
      <w:hyperlink w:anchor="_Toc1260">
        <w:r>
          <w:t xml:space="preserve">HEDIS Improvement Methodology — Vermont Context</w:t>
        </w:r>
      </w:hyperlink>
      <w:r>
        <w:tab/>
      </w:r>
      <w:r>
        <w:fldChar w:fldCharType="begin"/>
      </w:r>
      <w:r>
        <w:instrText xml:space="preserve"> PAGEREF _Toc1260 \h </w:instrText>
      </w:r>
      <w:r>
        <w:fldChar w:fldCharType="separate"/>
      </w:r>
      <w:r>
        <w:t>1</w:t>
      </w:r>
      <w:r>
        <w:fldChar w:fldCharType="end"/>
      </w:r>
    </w:p>
    <w:p>
      <w:pPr>
        <w:pStyle w:val="TOC2"/>
      </w:pPr>
      <w:hyperlink w:anchor="_Toc1263">
        <w:r>
          <w:t xml:space="preserve">The Clinical Data Infrastructure — Connecting Care to Population Health Management</w:t>
        </w:r>
      </w:hyperlink>
      <w:r>
        <w:tab/>
      </w:r>
      <w:r>
        <w:fldChar w:fldCharType="begin"/>
      </w:r>
      <w:r>
        <w:instrText xml:space="preserve"> PAGEREF _Toc1263 \h </w:instrText>
      </w:r>
      <w:r>
        <w:fldChar w:fldCharType="separate"/>
      </w:r>
      <w:r>
        <w:t>1</w:t>
      </w:r>
      <w:r>
        <w:fldChar w:fldCharType="end"/>
      </w:r>
    </w:p>
    <w:p>
      <w:pPr>
        <w:pStyle w:val="TOC2"/>
      </w:pPr>
      <w:hyperlink w:anchor="_Toc1266">
        <w:r>
          <w:t xml:space="preserve">The Care Transition Protocol — Closing the Loop Between Hospital and Community</w:t>
        </w:r>
      </w:hyperlink>
      <w:r>
        <w:tab/>
      </w:r>
      <w:r>
        <w:fldChar w:fldCharType="begin"/>
      </w:r>
      <w:r>
        <w:instrText xml:space="preserve"> PAGEREF _Toc1266 \h </w:instrText>
      </w:r>
      <w:r>
        <w:fldChar w:fldCharType="separate"/>
      </w:r>
      <w:r>
        <w:t>1</w:t>
      </w:r>
      <w:r>
        <w:fldChar w:fldCharType="end"/>
      </w:r>
    </w:p>
    <w:p>
      <w:pPr>
        <w:pStyle w:val="TOC2"/>
      </w:pPr>
      <w:hyperlink w:anchor="_Toc1267">
        <w:r>
          <w:t xml:space="preserve">Clinical Leadership in Transformation — The Under-Resourced Pillar</w:t>
        </w:r>
      </w:hyperlink>
      <w:r>
        <w:tab/>
      </w:r>
      <w:r>
        <w:fldChar w:fldCharType="begin"/>
      </w:r>
      <w:r>
        <w:instrText xml:space="preserve"> PAGEREF _Toc1267 \h </w:instrText>
      </w:r>
      <w:r>
        <w:fldChar w:fldCharType="separate"/>
      </w:r>
      <w:r>
        <w:t>1</w:t>
      </w:r>
      <w:r>
        <w:fldChar w:fldCharType="end"/>
      </w:r>
    </w:p>
    <w:p>
      <w:pPr>
        <w:pStyle w:val="TOC2"/>
      </w:pPr>
      <w:hyperlink w:anchor="_Toc1268">
        <w:r>
          <w:t xml:space="preserve">Clinical Pillar Implementation Commitments for AHS’s Statewide Strategic Plan</w:t>
        </w:r>
      </w:hyperlink>
      <w:r>
        <w:tab/>
      </w:r>
      <w:r>
        <w:fldChar w:fldCharType="begin"/>
      </w:r>
      <w:r>
        <w:instrText xml:space="preserve"> PAGEREF _Toc1268 \h </w:instrText>
      </w:r>
      <w:r>
        <w:fldChar w:fldCharType="separate"/>
      </w:r>
      <w:r>
        <w:t>1</w:t>
      </w:r>
      <w:r>
        <w:fldChar w:fldCharType="end"/>
      </w:r>
    </w:p>
    <w:p>
      <w:pPr>
        <w:pStyle w:val="TOC2"/>
      </w:pPr>
      <w:hyperlink w:anchor="_Toc1269">
        <w:r>
          <w:t xml:space="preserve">Clinical Pillar Implementation Matrix</w:t>
        </w:r>
      </w:hyperlink>
      <w:r>
        <w:tab/>
      </w:r>
      <w:r>
        <w:fldChar w:fldCharType="begin"/>
      </w:r>
      <w:r>
        <w:instrText xml:space="preserve"> PAGEREF _Toc1269 \h </w:instrText>
      </w:r>
      <w:r>
        <w:fldChar w:fldCharType="separate"/>
      </w:r>
      <w:r>
        <w:t>1</w:t>
      </w:r>
      <w:r>
        <w:fldChar w:fldCharType="end"/>
      </w:r>
    </w:p>
    <w:p>
      <w:pPr>
        <w:pStyle w:val="TOC2"/>
      </w:pPr>
      <w:hyperlink w:anchor="_Toc1270">
        <w:r>
          <w:t xml:space="preserve">Work This Chapter on the Platform</w:t>
        </w:r>
      </w:hyperlink>
      <w:r>
        <w:tab/>
      </w:r>
      <w:r>
        <w:fldChar w:fldCharType="begin"/>
      </w:r>
      <w:r>
        <w:instrText xml:space="preserve"> PAGEREF _Toc1270 \h </w:instrText>
      </w:r>
      <w:r>
        <w:fldChar w:fldCharType="separate"/>
      </w:r>
      <w:r>
        <w:t>1</w:t>
      </w:r>
      <w:r>
        <w:fldChar w:fldCharType="end"/>
      </w:r>
    </w:p>
    <w:p>
      <w:pPr>
        <w:pStyle w:val="TOC2"/>
      </w:pPr>
      <w:hyperlink w:anchor="_Toc1271">
        <w:r>
          <w:t xml:space="preserve">Implications for You</w:t>
        </w:r>
      </w:hyperlink>
      <w:r>
        <w:tab/>
      </w:r>
      <w:r>
        <w:fldChar w:fldCharType="begin"/>
      </w:r>
      <w:r>
        <w:instrText xml:space="preserve"> PAGEREF _Toc1271 \h </w:instrText>
      </w:r>
      <w:r>
        <w:fldChar w:fldCharType="separate"/>
      </w:r>
      <w:r>
        <w:t>1</w:t>
      </w:r>
      <w:r>
        <w:fldChar w:fldCharType="end"/>
      </w:r>
    </w:p>
    <w:p>
      <w:pPr>
        <w:pStyle w:val="TOC2"/>
      </w:pPr>
      <w:hyperlink w:anchor="_Toc1272">
        <w:r>
          <w:t xml:space="preserve">Key Concepts in This Chapter</w:t>
        </w:r>
      </w:hyperlink>
      <w:r>
        <w:tab/>
      </w:r>
      <w:r>
        <w:fldChar w:fldCharType="begin"/>
      </w:r>
      <w:r>
        <w:instrText xml:space="preserve"> PAGEREF _Toc1272 \h </w:instrText>
      </w:r>
      <w:r>
        <w:fldChar w:fldCharType="separate"/>
      </w:r>
      <w:r>
        <w:t>1</w:t>
      </w:r>
      <w:r>
        <w:fldChar w:fldCharType="end"/>
      </w:r>
    </w:p>
    <w:p>
      <w:pPr>
        <w:pStyle w:val="TOC1"/>
      </w:pPr>
      <w:hyperlink w:anchor="_Toc1273">
        <w:r>
          <w:t xml:space="preserve">Chapter 10: The Equity Pillar — Closing Gaps, Not Just Averaging Them</w:t>
        </w:r>
      </w:hyperlink>
      <w:r>
        <w:tab/>
      </w:r>
      <w:r>
        <w:fldChar w:fldCharType="begin"/>
      </w:r>
      <w:r>
        <w:instrText xml:space="preserve"> PAGEREF _Toc1273 \h </w:instrText>
      </w:r>
      <w:r>
        <w:fldChar w:fldCharType="separate"/>
      </w:r>
      <w:r>
        <w:t>1</w:t>
      </w:r>
      <w:r>
        <w:fldChar w:fldCharType="end"/>
      </w:r>
    </w:p>
    <w:p>
      <w:pPr>
        <w:pStyle w:val="TOC2"/>
      </w:pPr>
      <w:hyperlink w:anchor="_Toc1274">
        <w:r>
          <w:t xml:space="preserve">The Equity Pillar: Why Average Outcomes Are the Wrong Target</w:t>
        </w:r>
      </w:hyperlink>
      <w:r>
        <w:tab/>
      </w:r>
      <w:r>
        <w:fldChar w:fldCharType="begin"/>
      </w:r>
      <w:r>
        <w:instrText xml:space="preserve"> PAGEREF _Toc1274 \h </w:instrText>
      </w:r>
      <w:r>
        <w:fldChar w:fldCharType="separate"/>
      </w:r>
      <w:r>
        <w:t>1</w:t>
      </w:r>
      <w:r>
        <w:fldChar w:fldCharType="end"/>
      </w:r>
    </w:p>
    <w:p>
      <w:pPr>
        <w:pStyle w:val="TOC2"/>
      </w:pPr>
      <w:hyperlink w:anchor="_Toc1275">
        <w:r>
          <w:t xml:space="preserve">Vermont’s Equity Landscape — What the Data Shows</w:t>
        </w:r>
      </w:hyperlink>
      <w:r>
        <w:tab/>
      </w:r>
      <w:r>
        <w:fldChar w:fldCharType="begin"/>
      </w:r>
      <w:r>
        <w:instrText xml:space="preserve"> PAGEREF _Toc1275 \h </w:instrText>
      </w:r>
      <w:r>
        <w:fldChar w:fldCharType="separate"/>
      </w:r>
      <w:r>
        <w:t>1</w:t>
      </w:r>
      <w:r>
        <w:fldChar w:fldCharType="end"/>
      </w:r>
    </w:p>
    <w:p>
      <w:pPr>
        <w:pStyle w:val="TOC2"/>
      </w:pPr>
      <w:hyperlink w:anchor="_Toc1279">
        <w:r>
          <w:t xml:space="preserve">The Disparity Root Cause Taxonomy — Why Vermont’s Equity Gaps Exist</w:t>
        </w:r>
      </w:hyperlink>
      <w:r>
        <w:tab/>
      </w:r>
      <w:r>
        <w:fldChar w:fldCharType="begin"/>
      </w:r>
      <w:r>
        <w:instrText xml:space="preserve"> PAGEREF _Toc1279 \h </w:instrText>
      </w:r>
      <w:r>
        <w:fldChar w:fldCharType="separate"/>
      </w:r>
      <w:r>
        <w:t>1</w:t>
      </w:r>
      <w:r>
        <w:fldChar w:fldCharType="end"/>
      </w:r>
    </w:p>
    <w:p>
      <w:pPr>
        <w:pStyle w:val="TOC2"/>
      </w:pPr>
      <w:hyperlink w:anchor="_Toc1280">
        <w:r>
          <w:t xml:space="preserve">Rural Equity — Vermont’s Defining Challenge</w:t>
        </w:r>
      </w:hyperlink>
      <w:r>
        <w:tab/>
      </w:r>
      <w:r>
        <w:fldChar w:fldCharType="begin"/>
      </w:r>
      <w:r>
        <w:instrText xml:space="preserve"> PAGEREF _Toc1280 \h </w:instrText>
      </w:r>
      <w:r>
        <w:fldChar w:fldCharType="separate"/>
      </w:r>
      <w:r>
        <w:t>1</w:t>
      </w:r>
      <w:r>
        <w:fldChar w:fldCharType="end"/>
      </w:r>
    </w:p>
    <w:p>
      <w:pPr>
        <w:pStyle w:val="TOC2"/>
      </w:pPr>
      <w:hyperlink w:anchor="_Toc1282">
        <w:r>
          <w:t xml:space="preserve">The GLP-1 Access Crisis — The Most Important New Equity Issue</w:t>
        </w:r>
      </w:hyperlink>
      <w:r>
        <w:tab/>
      </w:r>
      <w:r>
        <w:fldChar w:fldCharType="begin"/>
      </w:r>
      <w:r>
        <w:instrText xml:space="preserve"> PAGEREF _Toc1282 \h </w:instrText>
      </w:r>
      <w:r>
        <w:fldChar w:fldCharType="separate"/>
      </w:r>
      <w:r>
        <w:t>1</w:t>
      </w:r>
      <w:r>
        <w:fldChar w:fldCharType="end"/>
      </w:r>
    </w:p>
    <w:p>
      <w:pPr>
        <w:pStyle w:val="TOC2"/>
      </w:pPr>
      <w:hyperlink w:anchor="_Toc1286">
        <w:r>
          <w:t xml:space="preserve">Vermont’s Equity Architecture — What Is Already Built and What Remains</w:t>
        </w:r>
      </w:hyperlink>
      <w:r>
        <w:tab/>
      </w:r>
      <w:r>
        <w:fldChar w:fldCharType="begin"/>
      </w:r>
      <w:r>
        <w:instrText xml:space="preserve"> PAGEREF _Toc1286 \h </w:instrText>
      </w:r>
      <w:r>
        <w:fldChar w:fldCharType="separate"/>
      </w:r>
      <w:r>
        <w:t>1</w:t>
      </w:r>
      <w:r>
        <w:fldChar w:fldCharType="end"/>
      </w:r>
    </w:p>
    <w:p>
      <w:pPr>
        <w:pStyle w:val="TOC2"/>
      </w:pPr>
      <w:hyperlink w:anchor="_Toc1289">
        <w:r>
          <w:t xml:space="preserve">Equity and the Six-Pillar Framework — How Every Pillar Has an Equity Dimension</w:t>
        </w:r>
      </w:hyperlink>
      <w:r>
        <w:tab/>
      </w:r>
      <w:r>
        <w:fldChar w:fldCharType="begin"/>
      </w:r>
      <w:r>
        <w:instrText xml:space="preserve"> PAGEREF _Toc1289 \h </w:instrText>
      </w:r>
      <w:r>
        <w:fldChar w:fldCharType="separate"/>
      </w:r>
      <w:r>
        <w:t>1</w:t>
      </w:r>
      <w:r>
        <w:fldChar w:fldCharType="end"/>
      </w:r>
    </w:p>
    <w:p>
      <w:pPr>
        <w:pStyle w:val="TOC2"/>
      </w:pPr>
      <w:hyperlink w:anchor="_Toc1290">
        <w:r>
          <w:t xml:space="preserve">Vermont’s Equity Accountability Framework</w:t>
        </w:r>
      </w:hyperlink>
      <w:r>
        <w:tab/>
      </w:r>
      <w:r>
        <w:fldChar w:fldCharType="begin"/>
      </w:r>
      <w:r>
        <w:instrText xml:space="preserve"> PAGEREF _Toc1290 \h </w:instrText>
      </w:r>
      <w:r>
        <w:fldChar w:fldCharType="separate"/>
      </w:r>
      <w:r>
        <w:t>1</w:t>
      </w:r>
      <w:r>
        <w:fldChar w:fldCharType="end"/>
      </w:r>
    </w:p>
    <w:p>
      <w:pPr>
        <w:pStyle w:val="TOC2"/>
      </w:pPr>
      <w:hyperlink w:anchor="_Toc1291">
        <w:r>
          <w:t xml:space="preserve">Work This Chapter on the Platform</w:t>
        </w:r>
      </w:hyperlink>
      <w:r>
        <w:tab/>
      </w:r>
      <w:r>
        <w:fldChar w:fldCharType="begin"/>
      </w:r>
      <w:r>
        <w:instrText xml:space="preserve"> PAGEREF _Toc1291 \h </w:instrText>
      </w:r>
      <w:r>
        <w:fldChar w:fldCharType="separate"/>
      </w:r>
      <w:r>
        <w:t>1</w:t>
      </w:r>
      <w:r>
        <w:fldChar w:fldCharType="end"/>
      </w:r>
    </w:p>
    <w:p>
      <w:pPr>
        <w:pStyle w:val="TOC2"/>
      </w:pPr>
      <w:hyperlink w:anchor="_Toc1292">
        <w:r>
          <w:t xml:space="preserve">Implications for You</w:t>
        </w:r>
      </w:hyperlink>
      <w:r>
        <w:tab/>
      </w:r>
      <w:r>
        <w:fldChar w:fldCharType="begin"/>
      </w:r>
      <w:r>
        <w:instrText xml:space="preserve"> PAGEREF _Toc1292 \h </w:instrText>
      </w:r>
      <w:r>
        <w:fldChar w:fldCharType="separate"/>
      </w:r>
      <w:r>
        <w:t>1</w:t>
      </w:r>
      <w:r>
        <w:fldChar w:fldCharType="end"/>
      </w:r>
    </w:p>
    <w:p>
      <w:pPr>
        <w:pStyle w:val="TOC2"/>
      </w:pPr>
      <w:hyperlink w:anchor="_Toc1293">
        <w:r>
          <w:t xml:space="preserve">Measuring Equity: HEROI, HEDIS Stratification, and VBC Safeguards</w:t>
        </w:r>
      </w:hyperlink>
      <w:r>
        <w:tab/>
      </w:r>
      <w:r>
        <w:fldChar w:fldCharType="begin"/>
      </w:r>
      <w:r>
        <w:instrText xml:space="preserve"> PAGEREF _Toc1293 \h </w:instrText>
      </w:r>
      <w:r>
        <w:fldChar w:fldCharType="separate"/>
      </w:r>
      <w:r>
        <w:t>1</w:t>
      </w:r>
      <w:r>
        <w:fldChar w:fldCharType="end"/>
      </w:r>
    </w:p>
    <w:p>
      <w:pPr>
        <w:pStyle w:val="TOC2"/>
      </w:pPr>
      <w:hyperlink w:anchor="_Toc1294">
        <w:r>
          <w:t xml:space="preserve">From Identifying Disparities to Eliminating Them</w:t>
        </w:r>
      </w:hyperlink>
      <w:r>
        <w:tab/>
      </w:r>
      <w:r>
        <w:fldChar w:fldCharType="begin"/>
      </w:r>
      <w:r>
        <w:instrText xml:space="preserve"> PAGEREF _Toc1294 \h </w:instrText>
      </w:r>
      <w:r>
        <w:fldChar w:fldCharType="separate"/>
      </w:r>
      <w:r>
        <w:t>1</w:t>
      </w:r>
      <w:r>
        <w:fldChar w:fldCharType="end"/>
      </w:r>
    </w:p>
    <w:p>
      <w:pPr>
        <w:pStyle w:val="TOC2"/>
      </w:pPr>
      <w:hyperlink w:anchor="_Toc1295">
        <w:r>
          <w:t xml:space="preserve">Stratified HEDIS Measurement — The Foundation of Equity Analytics</w:t>
        </w:r>
      </w:hyperlink>
      <w:r>
        <w:tab/>
      </w:r>
      <w:r>
        <w:fldChar w:fldCharType="begin"/>
      </w:r>
      <w:r>
        <w:instrText xml:space="preserve"> PAGEREF _Toc1295 \h </w:instrText>
      </w:r>
      <w:r>
        <w:fldChar w:fldCharType="separate"/>
      </w:r>
      <w:r>
        <w:t>1</w:t>
      </w:r>
      <w:r>
        <w:fldChar w:fldCharType="end"/>
      </w:r>
    </w:p>
    <w:p>
      <w:pPr>
        <w:pStyle w:val="TOC2"/>
      </w:pPr>
      <w:hyperlink w:anchor="_Toc1297">
        <w:r>
          <w:t xml:space="preserve">Equity Pillar Implementation Matrix</w:t>
        </w:r>
      </w:hyperlink>
      <w:r>
        <w:tab/>
      </w:r>
      <w:r>
        <w:fldChar w:fldCharType="begin"/>
      </w:r>
      <w:r>
        <w:instrText xml:space="preserve"> PAGEREF _Toc1297 \h </w:instrText>
      </w:r>
      <w:r>
        <w:fldChar w:fldCharType="separate"/>
      </w:r>
      <w:r>
        <w:t>1</w:t>
      </w:r>
      <w:r>
        <w:fldChar w:fldCharType="end"/>
      </w:r>
    </w:p>
    <w:p>
      <w:pPr>
        <w:pStyle w:val="TOC2"/>
      </w:pPr>
      <w:hyperlink w:anchor="_Toc1299">
        <w:r>
          <w:t xml:space="preserve">The HEROI Framework — A Composite Equity Score</w:t>
        </w:r>
      </w:hyperlink>
      <w:r>
        <w:tab/>
      </w:r>
      <w:r>
        <w:fldChar w:fldCharType="begin"/>
      </w:r>
      <w:r>
        <w:instrText xml:space="preserve"> PAGEREF _Toc1299 \h </w:instrText>
      </w:r>
      <w:r>
        <w:fldChar w:fldCharType="separate"/>
      </w:r>
      <w:r>
        <w:t>1</w:t>
      </w:r>
      <w:r>
        <w:fldChar w:fldCharType="end"/>
      </w:r>
    </w:p>
    <w:p>
      <w:pPr>
        <w:pStyle w:val="TOC2"/>
      </w:pPr>
      <w:hyperlink w:anchor="_Toc1302">
        <w:r>
          <w:t xml:space="preserve">Root Cause Analytics — Matching Interventions to Causes</w:t>
        </w:r>
      </w:hyperlink>
      <w:r>
        <w:tab/>
      </w:r>
      <w:r>
        <w:fldChar w:fldCharType="begin"/>
      </w:r>
      <w:r>
        <w:instrText xml:space="preserve"> PAGEREF _Toc1302 \h </w:instrText>
      </w:r>
      <w:r>
        <w:fldChar w:fldCharType="separate"/>
      </w:r>
      <w:r>
        <w:t>1</w:t>
      </w:r>
      <w:r>
        <w:fldChar w:fldCharType="end"/>
      </w:r>
    </w:p>
    <w:p>
      <w:pPr>
        <w:pStyle w:val="TOC2"/>
      </w:pPr>
      <w:hyperlink w:anchor="_Toc1305">
        <w:r>
          <w:t xml:space="preserve">Equity in VBC Contracting — Protecting Against Unintended Consequences</w:t>
        </w:r>
      </w:hyperlink>
      <w:r>
        <w:tab/>
      </w:r>
      <w:r>
        <w:fldChar w:fldCharType="begin"/>
      </w:r>
      <w:r>
        <w:instrText xml:space="preserve"> PAGEREF _Toc1305 \h </w:instrText>
      </w:r>
      <w:r>
        <w:fldChar w:fldCharType="separate"/>
      </w:r>
      <w:r>
        <w:t>1</w:t>
      </w:r>
      <w:r>
        <w:fldChar w:fldCharType="end"/>
      </w:r>
    </w:p>
    <w:p>
      <w:pPr>
        <w:pStyle w:val="TOC2"/>
      </w:pPr>
      <w:hyperlink w:anchor="_Toc1308">
        <w:r>
          <w:t xml:space="preserve">Vermont’s Population Health Equity Analytics Architecture</w:t>
        </w:r>
      </w:hyperlink>
      <w:r>
        <w:tab/>
      </w:r>
      <w:r>
        <w:fldChar w:fldCharType="begin"/>
      </w:r>
      <w:r>
        <w:instrText xml:space="preserve"> PAGEREF _Toc1308 \h </w:instrText>
      </w:r>
      <w:r>
        <w:fldChar w:fldCharType="separate"/>
      </w:r>
      <w:r>
        <w:t>1</w:t>
      </w:r>
      <w:r>
        <w:fldChar w:fldCharType="end"/>
      </w:r>
    </w:p>
    <w:p>
      <w:pPr>
        <w:pStyle w:val="TOC2"/>
      </w:pPr>
      <w:hyperlink w:anchor="_Toc1309">
        <w:r>
          <w:t xml:space="preserve">Implications for You — Equity Measurement</w:t>
        </w:r>
      </w:hyperlink>
      <w:r>
        <w:tab/>
      </w:r>
      <w:r>
        <w:fldChar w:fldCharType="begin"/>
      </w:r>
      <w:r>
        <w:instrText xml:space="preserve"> PAGEREF _Toc1309 \h </w:instrText>
      </w:r>
      <w:r>
        <w:fldChar w:fldCharType="separate"/>
      </w:r>
      <w:r>
        <w:t>1</w:t>
      </w:r>
      <w:r>
        <w:fldChar w:fldCharType="end"/>
      </w:r>
    </w:p>
    <w:p>
      <w:pPr>
        <w:pStyle w:val="TOC2"/>
      </w:pPr>
      <w:hyperlink w:anchor="_Toc1310">
        <w:r>
          <w:t xml:space="preserve">Key Concepts in This Chapter</w:t>
        </w:r>
      </w:hyperlink>
      <w:r>
        <w:tab/>
      </w:r>
      <w:r>
        <w:fldChar w:fldCharType="begin"/>
      </w:r>
      <w:r>
        <w:instrText xml:space="preserve"> PAGEREF _Toc1310 \h </w:instrText>
      </w:r>
      <w:r>
        <w:fldChar w:fldCharType="separate"/>
      </w:r>
      <w:r>
        <w:t>1</w:t>
      </w:r>
      <w:r>
        <w:fldChar w:fldCharType="end"/>
      </w:r>
    </w:p>
    <w:p>
      <w:pPr>
        <w:pStyle w:val="TOC1"/>
      </w:pPr>
      <w:hyperlink w:anchor="_Toc1311">
        <w:r>
          <w:t xml:space="preserve">Chapter 11: The Operations Pillar — Executing Hospital System Transformation</w:t>
        </w:r>
      </w:hyperlink>
      <w:r>
        <w:tab/>
      </w:r>
      <w:r>
        <w:fldChar w:fldCharType="begin"/>
      </w:r>
      <w:r>
        <w:instrText xml:space="preserve"> PAGEREF _Toc1311 \h </w:instrText>
      </w:r>
      <w:r>
        <w:fldChar w:fldCharType="separate"/>
      </w:r>
      <w:r>
        <w:t>1</w:t>
      </w:r>
      <w:r>
        <w:fldChar w:fldCharType="end"/>
      </w:r>
    </w:p>
    <w:p>
      <w:pPr>
        <w:pStyle w:val="TOC2"/>
      </w:pPr>
      <w:hyperlink w:anchor="_Toc1312">
        <w:r>
          <w:t xml:space="preserve">The Operations Pillar: Where Strategy Meets Reality</w:t>
        </w:r>
      </w:hyperlink>
      <w:r>
        <w:tab/>
      </w:r>
      <w:r>
        <w:fldChar w:fldCharType="begin"/>
      </w:r>
      <w:r>
        <w:instrText xml:space="preserve"> PAGEREF _Toc1312 \h </w:instrText>
      </w:r>
      <w:r>
        <w:fldChar w:fldCharType="separate"/>
      </w:r>
      <w:r>
        <w:t>1</w:t>
      </w:r>
      <w:r>
        <w:fldChar w:fldCharType="end"/>
      </w:r>
    </w:p>
    <w:p>
      <w:pPr>
        <w:pStyle w:val="TOC2"/>
      </w:pPr>
      <w:hyperlink w:anchor="_Toc1313">
        <w:r>
          <w:t xml:space="preserve">The Vermont Transformation Operating Model</w:t>
        </w:r>
      </w:hyperlink>
      <w:r>
        <w:tab/>
      </w:r>
      <w:r>
        <w:fldChar w:fldCharType="begin"/>
      </w:r>
      <w:r>
        <w:instrText xml:space="preserve"> PAGEREF _Toc1313 \h </w:instrText>
      </w:r>
      <w:r>
        <w:fldChar w:fldCharType="separate"/>
      </w:r>
      <w:r>
        <w:t>1</w:t>
      </w:r>
      <w:r>
        <w:fldChar w:fldCharType="end"/>
      </w:r>
    </w:p>
    <w:p>
      <w:pPr>
        <w:pStyle w:val="TOC2"/>
      </w:pPr>
      <w:hyperlink w:anchor="_Toc1316">
        <w:r>
          <w:t xml:space="preserve">The RHRC Methodology — Technical Assistance for Rural Hospital Transformation</w:t>
        </w:r>
      </w:hyperlink>
      <w:r>
        <w:tab/>
      </w:r>
      <w:r>
        <w:fldChar w:fldCharType="begin"/>
      </w:r>
      <w:r>
        <w:instrText xml:space="preserve"> PAGEREF _Toc1316 \h </w:instrText>
      </w:r>
      <w:r>
        <w:fldChar w:fldCharType="separate"/>
      </w:r>
      <w:r>
        <w:t>1</w:t>
      </w:r>
      <w:r>
        <w:fldChar w:fldCharType="end"/>
      </w:r>
    </w:p>
    <w:p>
      <w:pPr>
        <w:pStyle w:val="TOC2"/>
      </w:pPr>
      <w:hyperlink w:anchor="_Toc1320">
        <w:r>
          <w:t xml:space="preserve">The Vermont Hospital Performance Dashboard — Where Each Hospital Stands</w:t>
        </w:r>
      </w:hyperlink>
      <w:r>
        <w:tab/>
      </w:r>
      <w:r>
        <w:fldChar w:fldCharType="begin"/>
      </w:r>
      <w:r>
        <w:instrText xml:space="preserve"> PAGEREF _Toc1320 \h </w:instrText>
      </w:r>
      <w:r>
        <w:fldChar w:fldCharType="separate"/>
      </w:r>
      <w:r>
        <w:t>1</w:t>
      </w:r>
      <w:r>
        <w:fldChar w:fldCharType="end"/>
      </w:r>
    </w:p>
    <w:p>
      <w:pPr>
        <w:pStyle w:val="TOC2"/>
      </w:pPr>
      <w:hyperlink w:anchor="_Toc1321">
        <w:r>
          <w:t xml:space="preserve">Regionalization — The Operational Logic of Right-Sizing a 14-Hospital System</w:t>
        </w:r>
      </w:hyperlink>
      <w:r>
        <w:tab/>
      </w:r>
      <w:r>
        <w:fldChar w:fldCharType="begin"/>
      </w:r>
      <w:r>
        <w:instrText xml:space="preserve"> PAGEREF _Toc1321 \h </w:instrText>
      </w:r>
      <w:r>
        <w:fldChar w:fldCharType="separate"/>
      </w:r>
      <w:r>
        <w:t>1</w:t>
      </w:r>
      <w:r>
        <w:fldChar w:fldCharType="end"/>
      </w:r>
    </w:p>
    <w:p>
      <w:pPr>
        <w:pStyle w:val="TOC2"/>
      </w:pPr>
      <w:hyperlink w:anchor="_Toc1324">
        <w:r>
          <w:t xml:space="preserve">The Workforce Crisis — Vermont’s Most Binding Operational Constraint</w:t>
        </w:r>
      </w:hyperlink>
      <w:r>
        <w:tab/>
      </w:r>
      <w:r>
        <w:fldChar w:fldCharType="begin"/>
      </w:r>
      <w:r>
        <w:instrText xml:space="preserve"> PAGEREF _Toc1324 \h </w:instrText>
      </w:r>
      <w:r>
        <w:fldChar w:fldCharType="separate"/>
      </w:r>
      <w:r>
        <w:t>1</w:t>
      </w:r>
      <w:r>
        <w:fldChar w:fldCharType="end"/>
      </w:r>
    </w:p>
    <w:p>
      <w:pPr>
        <w:pStyle w:val="TOC2"/>
      </w:pPr>
      <w:hyperlink w:anchor="_Toc1328">
        <w:r>
          <w:t xml:space="preserve">The Operations Metrics Framework — What AHS Must Track</w:t>
        </w:r>
      </w:hyperlink>
      <w:r>
        <w:tab/>
      </w:r>
      <w:r>
        <w:fldChar w:fldCharType="begin"/>
      </w:r>
      <w:r>
        <w:instrText xml:space="preserve"> PAGEREF _Toc1328 \h </w:instrText>
      </w:r>
      <w:r>
        <w:fldChar w:fldCharType="separate"/>
      </w:r>
      <w:r>
        <w:t>1</w:t>
      </w:r>
      <w:r>
        <w:fldChar w:fldCharType="end"/>
      </w:r>
    </w:p>
    <w:p>
      <w:pPr>
        <w:pStyle w:val="TOC2"/>
      </w:pPr>
      <w:hyperlink w:anchor="_Toc1329">
        <w:r>
          <w:t xml:space="preserve">AHS as System Operator — Organizational Design for the 2028 Mandate</w:t>
        </w:r>
      </w:hyperlink>
      <w:r>
        <w:tab/>
      </w:r>
      <w:r>
        <w:fldChar w:fldCharType="begin"/>
      </w:r>
      <w:r>
        <w:instrText xml:space="preserve"> PAGEREF _Toc1329 \h </w:instrText>
      </w:r>
      <w:r>
        <w:fldChar w:fldCharType="separate"/>
      </w:r>
      <w:r>
        <w:t>1</w:t>
      </w:r>
      <w:r>
        <w:fldChar w:fldCharType="end"/>
      </w:r>
    </w:p>
    <w:p>
      <w:pPr>
        <w:pStyle w:val="TOC2"/>
      </w:pPr>
      <w:hyperlink w:anchor="_Toc1332">
        <w:r>
          <w:t xml:space="preserve">Work This Chapter on the Platform</w:t>
        </w:r>
      </w:hyperlink>
      <w:r>
        <w:tab/>
      </w:r>
      <w:r>
        <w:fldChar w:fldCharType="begin"/>
      </w:r>
      <w:r>
        <w:instrText xml:space="preserve"> PAGEREF _Toc1332 \h </w:instrText>
      </w:r>
      <w:r>
        <w:fldChar w:fldCharType="separate"/>
      </w:r>
      <w:r>
        <w:t>1</w:t>
      </w:r>
      <w:r>
        <w:fldChar w:fldCharType="end"/>
      </w:r>
    </w:p>
    <w:p>
      <w:pPr>
        <w:pStyle w:val="TOC2"/>
      </w:pPr>
      <w:hyperlink w:anchor="_Toc1333">
        <w:r>
          <w:t xml:space="preserve">Implications for You</w:t>
        </w:r>
      </w:hyperlink>
      <w:r>
        <w:tab/>
      </w:r>
      <w:r>
        <w:fldChar w:fldCharType="begin"/>
      </w:r>
      <w:r>
        <w:instrText xml:space="preserve"> PAGEREF _Toc1333 \h </w:instrText>
      </w:r>
      <w:r>
        <w:fldChar w:fldCharType="separate"/>
      </w:r>
      <w:r>
        <w:t>1</w:t>
      </w:r>
      <w:r>
        <w:fldChar w:fldCharType="end"/>
      </w:r>
    </w:p>
    <w:p>
      <w:pPr>
        <w:pStyle w:val="TOC2"/>
      </w:pPr>
      <w:hyperlink w:anchor="_Toc1334">
        <w:r>
          <w:t xml:space="preserve">Revenue Cycle, HCC Coding, Credentialing, and Administrative Simplification</w:t>
        </w:r>
      </w:hyperlink>
      <w:r>
        <w:tab/>
      </w:r>
      <w:r>
        <w:fldChar w:fldCharType="begin"/>
      </w:r>
      <w:r>
        <w:instrText xml:space="preserve"> PAGEREF _Toc1334 \h </w:instrText>
      </w:r>
      <w:r>
        <w:fldChar w:fldCharType="separate"/>
      </w:r>
      <w:r>
        <w:t>1</w:t>
      </w:r>
      <w:r>
        <w:fldChar w:fldCharType="end"/>
      </w:r>
    </w:p>
    <w:p>
      <w:pPr>
        <w:pStyle w:val="TOC2"/>
      </w:pPr>
      <w:hyperlink w:anchor="_Toc1335">
        <w:r>
          <w:t xml:space="preserve">Operations Where Money Actually Lives</w:t>
        </w:r>
      </w:hyperlink>
      <w:r>
        <w:tab/>
      </w:r>
      <w:r>
        <w:fldChar w:fldCharType="begin"/>
      </w:r>
      <w:r>
        <w:instrText xml:space="preserve"> PAGEREF _Toc1335 \h </w:instrText>
      </w:r>
      <w:r>
        <w:fldChar w:fldCharType="separate"/>
      </w:r>
      <w:r>
        <w:t>1</w:t>
      </w:r>
      <w:r>
        <w:fldChar w:fldCharType="end"/>
      </w:r>
    </w:p>
    <w:p>
      <w:pPr>
        <w:pStyle w:val="TOC2"/>
      </w:pPr>
      <w:hyperlink w:anchor="_Toc1336">
        <w:r>
          <w:t xml:space="preserve">Revenue Cycle Transformation — From FFS Optimization to VBC Management</w:t>
        </w:r>
      </w:hyperlink>
      <w:r>
        <w:tab/>
      </w:r>
      <w:r>
        <w:fldChar w:fldCharType="begin"/>
      </w:r>
      <w:r>
        <w:instrText xml:space="preserve"> PAGEREF _Toc1336 \h </w:instrText>
      </w:r>
      <w:r>
        <w:fldChar w:fldCharType="separate"/>
      </w:r>
      <w:r>
        <w:t>1</w:t>
      </w:r>
      <w:r>
        <w:fldChar w:fldCharType="end"/>
      </w:r>
    </w:p>
    <w:p>
      <w:pPr>
        <w:pStyle w:val="TOC2"/>
      </w:pPr>
      <w:hyperlink w:anchor="_Toc1339">
        <w:r>
          <w:t xml:space="preserve">HCC Coding Excellence — The Risk Adjustment Foundation</w:t>
        </w:r>
      </w:hyperlink>
      <w:r>
        <w:tab/>
      </w:r>
      <w:r>
        <w:fldChar w:fldCharType="begin"/>
      </w:r>
      <w:r>
        <w:instrText xml:space="preserve"> PAGEREF _Toc1339 \h </w:instrText>
      </w:r>
      <w:r>
        <w:fldChar w:fldCharType="separate"/>
      </w:r>
      <w:r>
        <w:t>1</w:t>
      </w:r>
      <w:r>
        <w:fldChar w:fldCharType="end"/>
      </w:r>
    </w:p>
    <w:p>
      <w:pPr>
        <w:pStyle w:val="TOC2"/>
      </w:pPr>
      <w:hyperlink w:anchor="_Toc1343">
        <w:r>
          <w:t xml:space="preserve">Credentialing Efficiency — The Hidden Operations Bottleneck</w:t>
        </w:r>
      </w:hyperlink>
      <w:r>
        <w:tab/>
      </w:r>
      <w:r>
        <w:fldChar w:fldCharType="begin"/>
      </w:r>
      <w:r>
        <w:instrText xml:space="preserve"> PAGEREF _Toc1343 \h </w:instrText>
      </w:r>
      <w:r>
        <w:fldChar w:fldCharType="separate"/>
      </w:r>
      <w:r>
        <w:t>1</w:t>
      </w:r>
      <w:r>
        <w:fldChar w:fldCharType="end"/>
      </w:r>
    </w:p>
    <w:p>
      <w:pPr>
        <w:pStyle w:val="TOC2"/>
      </w:pPr>
      <w:hyperlink w:anchor="_Toc1346">
        <w:r>
          <w:t xml:space="preserve">Workforce Operations — Managing the Care Team in a Transformed System</w:t>
        </w:r>
      </w:hyperlink>
      <w:r>
        <w:tab/>
      </w:r>
      <w:r>
        <w:fldChar w:fldCharType="begin"/>
      </w:r>
      <w:r>
        <w:instrText xml:space="preserve"> PAGEREF _Toc1346 \h </w:instrText>
      </w:r>
      <w:r>
        <w:fldChar w:fldCharType="separate"/>
      </w:r>
      <w:r>
        <w:t>1</w:t>
      </w:r>
      <w:r>
        <w:fldChar w:fldCharType="end"/>
      </w:r>
    </w:p>
    <w:p>
      <w:pPr>
        <w:pStyle w:val="TOC2"/>
      </w:pPr>
      <w:hyperlink w:anchor="_Toc1350">
        <w:r>
          <w:t xml:space="preserve">Administrative Simplification — The Vermont Agenda</w:t>
        </w:r>
      </w:hyperlink>
      <w:r>
        <w:tab/>
      </w:r>
      <w:r>
        <w:fldChar w:fldCharType="begin"/>
      </w:r>
      <w:r>
        <w:instrText xml:space="preserve"> PAGEREF _Toc1350 \h </w:instrText>
      </w:r>
      <w:r>
        <w:fldChar w:fldCharType="separate"/>
      </w:r>
      <w:r>
        <w:t>1</w:t>
      </w:r>
      <w:r>
        <w:fldChar w:fldCharType="end"/>
      </w:r>
    </w:p>
    <w:p>
      <w:pPr>
        <w:pStyle w:val="TOC2"/>
      </w:pPr>
      <w:hyperlink w:anchor="_Toc1352">
        <w:r>
          <w:t xml:space="preserve">Operations Pillar Implementation Matrix</w:t>
        </w:r>
      </w:hyperlink>
      <w:r>
        <w:tab/>
      </w:r>
      <w:r>
        <w:fldChar w:fldCharType="begin"/>
      </w:r>
      <w:r>
        <w:instrText xml:space="preserve"> PAGEREF _Toc1352 \h </w:instrText>
      </w:r>
      <w:r>
        <w:fldChar w:fldCharType="separate"/>
      </w:r>
      <w:r>
        <w:t>1</w:t>
      </w:r>
      <w:r>
        <w:fldChar w:fldCharType="end"/>
      </w:r>
    </w:p>
    <w:p>
      <w:pPr>
        <w:pStyle w:val="TOC2"/>
      </w:pPr>
      <w:hyperlink w:anchor="_Toc1353">
        <w:r>
          <w:t xml:space="preserve">Implications for You — Revenue Cycle and Coding</w:t>
        </w:r>
      </w:hyperlink>
      <w:r>
        <w:tab/>
      </w:r>
      <w:r>
        <w:fldChar w:fldCharType="begin"/>
      </w:r>
      <w:r>
        <w:instrText xml:space="preserve"> PAGEREF _Toc1353 \h </w:instrText>
      </w:r>
      <w:r>
        <w:fldChar w:fldCharType="separate"/>
      </w:r>
      <w:r>
        <w:t>1</w:t>
      </w:r>
      <w:r>
        <w:fldChar w:fldCharType="end"/>
      </w:r>
    </w:p>
    <w:p>
      <w:pPr>
        <w:pStyle w:val="TOC2"/>
      </w:pPr>
      <w:hyperlink w:anchor="_Toc1354">
        <w:r>
          <w:t xml:space="preserve">Key Concepts in This Chapter</w:t>
        </w:r>
      </w:hyperlink>
      <w:r>
        <w:tab/>
      </w:r>
      <w:r>
        <w:fldChar w:fldCharType="begin"/>
      </w:r>
      <w:r>
        <w:instrText xml:space="preserve"> PAGEREF _Toc1354 \h </w:instrText>
      </w:r>
      <w:r>
        <w:fldChar w:fldCharType="separate"/>
      </w:r>
      <w:r>
        <w:t>1</w:t>
      </w:r>
      <w:r>
        <w:fldChar w:fldCharType="end"/>
      </w:r>
    </w:p>
    <w:p>
      <w:pPr>
        <w:pStyle w:val="TOC1"/>
      </w:pPr>
      <w:hyperlink w:anchor="_Toc1355">
        <w:r>
          <w:t xml:space="preserve">Chapter 12: Infrastructure for Knowledge Transfer and Implementation</w:t>
        </w:r>
      </w:hyperlink>
      <w:r>
        <w:tab/>
      </w:r>
      <w:r>
        <w:fldChar w:fldCharType="begin"/>
      </w:r>
      <w:r>
        <w:instrText xml:space="preserve"> PAGEREF _Toc1355 \h </w:instrText>
      </w:r>
      <w:r>
        <w:fldChar w:fldCharType="separate"/>
      </w:r>
      <w:r>
        <w:t>1</w:t>
      </w:r>
      <w:r>
        <w:fldChar w:fldCharType="end"/>
      </w:r>
    </w:p>
    <w:p>
      <w:pPr>
        <w:pStyle w:val="TOC2"/>
      </w:pPr>
      <w:hyperlink w:anchor="_Toc1356">
        <w:r>
          <w:t xml:space="preserve">The Gap Between Understanding and Doing</w:t>
        </w:r>
      </w:hyperlink>
      <w:r>
        <w:tab/>
      </w:r>
      <w:r>
        <w:fldChar w:fldCharType="begin"/>
      </w:r>
      <w:r>
        <w:instrText xml:space="preserve"> PAGEREF _Toc1356 \h </w:instrText>
      </w:r>
      <w:r>
        <w:fldChar w:fldCharType="separate"/>
      </w:r>
      <w:r>
        <w:t>1</w:t>
      </w:r>
      <w:r>
        <w:fldChar w:fldCharType="end"/>
      </w:r>
    </w:p>
    <w:p>
      <w:pPr>
        <w:pStyle w:val="TOC2"/>
      </w:pPr>
      <w:hyperlink w:anchor="_Toc1357">
        <w:r>
          <w:t xml:space="preserve">The Knowledge and Implementation Infrastructure</w:t>
        </w:r>
      </w:hyperlink>
      <w:r>
        <w:tab/>
      </w:r>
      <w:r>
        <w:fldChar w:fldCharType="begin"/>
      </w:r>
      <w:r>
        <w:instrText xml:space="preserve"> PAGEREF _Toc1357 \h </w:instrText>
      </w:r>
      <w:r>
        <w:fldChar w:fldCharType="separate"/>
      </w:r>
      <w:r>
        <w:t>1</w:t>
      </w:r>
      <w:r>
        <w:fldChar w:fldCharType="end"/>
      </w:r>
    </w:p>
    <w:p>
      <w:pPr>
        <w:pStyle w:val="TOC2"/>
      </w:pPr>
      <w:hyperlink w:anchor="_Toc1360">
        <w:r>
          <w:t xml:space="preserve">The Transformation Advisory Domains — Structured for the Six Pillars</w:t>
        </w:r>
      </w:hyperlink>
      <w:r>
        <w:tab/>
      </w:r>
      <w:r>
        <w:fldChar w:fldCharType="begin"/>
      </w:r>
      <w:r>
        <w:instrText xml:space="preserve"> PAGEREF _Toc1360 \h </w:instrText>
      </w:r>
      <w:r>
        <w:fldChar w:fldCharType="separate"/>
      </w:r>
      <w:r>
        <w:t>1</w:t>
      </w:r>
      <w:r>
        <w:fldChar w:fldCharType="end"/>
      </w:r>
    </w:p>
    <w:p>
      <w:pPr>
        <w:pStyle w:val="TOC2"/>
      </w:pPr>
      <w:hyperlink w:anchor="_Toc1366">
        <w:r>
          <w:t xml:space="preserve">The Change Management Science Behind Healthcare Transformation</w:t>
        </w:r>
      </w:hyperlink>
      <w:r>
        <w:tab/>
      </w:r>
      <w:r>
        <w:fldChar w:fldCharType="begin"/>
      </w:r>
      <w:r>
        <w:instrText xml:space="preserve"> PAGEREF _Toc1366 \h </w:instrText>
      </w:r>
      <w:r>
        <w:fldChar w:fldCharType="separate"/>
      </w:r>
      <w:r>
        <w:t>1</w:t>
      </w:r>
      <w:r>
        <w:fldChar w:fldCharType="end"/>
      </w:r>
    </w:p>
    <w:p>
      <w:pPr>
        <w:pStyle w:val="TOC2"/>
      </w:pPr>
      <w:hyperlink w:anchor="_Toc1369">
        <w:r>
          <w:t xml:space="preserve">The HTR Implementation Toolkit</w:t>
        </w:r>
      </w:hyperlink>
      <w:r>
        <w:tab/>
      </w:r>
      <w:r>
        <w:fldChar w:fldCharType="begin"/>
      </w:r>
      <w:r>
        <w:instrText xml:space="preserve"> PAGEREF _Toc1369 \h </w:instrText>
      </w:r>
      <w:r>
        <w:fldChar w:fldCharType="separate"/>
      </w:r>
      <w:r>
        <w:t>1</w:t>
      </w:r>
      <w:r>
        <w:fldChar w:fldCharType="end"/>
      </w:r>
    </w:p>
    <w:p>
      <w:pPr>
        <w:pStyle w:val="TOC2"/>
      </w:pPr>
      <w:hyperlink w:anchor="_Toc1370">
        <w:r>
          <w:t xml:space="preserve">A Framework for Selecting Advisory Support</w:t>
        </w:r>
      </w:hyperlink>
      <w:r>
        <w:tab/>
      </w:r>
      <w:r>
        <w:fldChar w:fldCharType="begin"/>
      </w:r>
      <w:r>
        <w:instrText xml:space="preserve"> PAGEREF _Toc1370 \h </w:instrText>
      </w:r>
      <w:r>
        <w:fldChar w:fldCharType="separate"/>
      </w:r>
      <w:r>
        <w:t>1</w:t>
      </w:r>
      <w:r>
        <w:fldChar w:fldCharType="end"/>
      </w:r>
    </w:p>
    <w:p>
      <w:pPr>
        <w:pStyle w:val="TOC2"/>
      </w:pPr>
      <w:hyperlink w:anchor="_Toc1371">
        <w:r>
          <w:t xml:space="preserve">The Role of External Technical Assistance in State-Level Transformation</w:t>
        </w:r>
      </w:hyperlink>
      <w:r>
        <w:tab/>
      </w:r>
      <w:r>
        <w:fldChar w:fldCharType="begin"/>
      </w:r>
      <w:r>
        <w:instrText xml:space="preserve"> PAGEREF _Toc1371 \h </w:instrText>
      </w:r>
      <w:r>
        <w:fldChar w:fldCharType="separate"/>
      </w:r>
      <w:r>
        <w:t>1</w:t>
      </w:r>
      <w:r>
        <w:fldChar w:fldCharType="end"/>
      </w:r>
    </w:p>
    <w:p>
      <w:pPr>
        <w:pStyle w:val="TOC2"/>
      </w:pPr>
      <w:hyperlink w:anchor="_Toc1372">
        <w:r>
          <w:t xml:space="preserve">Work This Chapter on the Platform</w:t>
        </w:r>
      </w:hyperlink>
      <w:r>
        <w:tab/>
      </w:r>
      <w:r>
        <w:fldChar w:fldCharType="begin"/>
      </w:r>
      <w:r>
        <w:instrText xml:space="preserve"> PAGEREF _Toc1372 \h </w:instrText>
      </w:r>
      <w:r>
        <w:fldChar w:fldCharType="separate"/>
      </w:r>
      <w:r>
        <w:t>1</w:t>
      </w:r>
      <w:r>
        <w:fldChar w:fldCharType="end"/>
      </w:r>
    </w:p>
    <w:p>
      <w:pPr>
        <w:pStyle w:val="TOC2"/>
      </w:pPr>
      <w:hyperlink w:anchor="_Toc1373">
        <w:r>
          <w:t xml:space="preserve">Implications for You</w:t>
        </w:r>
      </w:hyperlink>
      <w:r>
        <w:tab/>
      </w:r>
      <w:r>
        <w:fldChar w:fldCharType="begin"/>
      </w:r>
      <w:r>
        <w:instrText xml:space="preserve"> PAGEREF _Toc1373 \h </w:instrText>
      </w:r>
      <w:r>
        <w:fldChar w:fldCharType="separate"/>
      </w:r>
      <w:r>
        <w:t>1</w:t>
      </w:r>
      <w:r>
        <w:fldChar w:fldCharType="end"/>
      </w:r>
    </w:p>
    <w:p>
      <w:pPr>
        <w:pStyle w:val="TOC2"/>
      </w:pPr>
      <w:hyperlink w:anchor="_Toc1374">
        <w:r>
          <w:t xml:space="preserve">Key Concepts in This Chapter</w:t>
        </w:r>
      </w:hyperlink>
      <w:r>
        <w:tab/>
      </w:r>
      <w:r>
        <w:fldChar w:fldCharType="begin"/>
      </w:r>
      <w:r>
        <w:instrText xml:space="preserve"> PAGEREF _Toc1374 \h </w:instrText>
      </w:r>
      <w:r>
        <w:fldChar w:fldCharType="separate"/>
      </w:r>
      <w:r>
        <w:t>1</w:t>
      </w:r>
      <w:r>
        <w:fldChar w:fldCharType="end"/>
      </w:r>
    </w:p>
    <w:p>
      <w:pPr>
        <w:pStyle w:val="TOC1"/>
      </w:pPr>
      <w:hyperlink w:anchor="_Toc1375">
        <w:r>
          <w:t xml:space="preserve">Chapter 13 — The Future of Healthcare Transformation: 2026, What Vermont Proves, and What Remains</w:t>
        </w:r>
      </w:hyperlink>
      <w:r>
        <w:tab/>
      </w:r>
      <w:r>
        <w:fldChar w:fldCharType="begin"/>
      </w:r>
      <w:r>
        <w:instrText xml:space="preserve"> PAGEREF _Toc1375 \h </w:instrText>
      </w:r>
      <w:r>
        <w:fldChar w:fldCharType="separate"/>
      </w:r>
      <w:r>
        <w:t>1</w:t>
      </w:r>
      <w:r>
        <w:fldChar w:fldCharType="end"/>
      </w:r>
    </w:p>
    <w:p>
      <w:pPr>
        <w:pStyle w:val="TOC2"/>
      </w:pPr>
      <w:hyperlink w:anchor="_Toc1376">
        <w:r>
          <w:t xml:space="preserve">Vermont Transformation Scorecard: Six-Pillar Status, April 2026</w:t>
        </w:r>
      </w:hyperlink>
      <w:r>
        <w:tab/>
      </w:r>
      <w:r>
        <w:fldChar w:fldCharType="begin"/>
      </w:r>
      <w:r>
        <w:instrText xml:space="preserve"> PAGEREF _Toc1376 \h </w:instrText>
      </w:r>
      <w:r>
        <w:fldChar w:fldCharType="separate"/>
      </w:r>
      <w:r>
        <w:t>1</w:t>
      </w:r>
      <w:r>
        <w:fldChar w:fldCharType="end"/>
      </w:r>
    </w:p>
    <w:p>
      <w:pPr>
        <w:pStyle w:val="TOC2"/>
      </w:pPr>
      <w:hyperlink w:anchor="_Toc1377">
        <w:r>
          <w:t xml:space="preserve">Where the System Stands in April 2026 — A Necessary Update</w:t>
        </w:r>
      </w:hyperlink>
      <w:r>
        <w:tab/>
      </w:r>
      <w:r>
        <w:fldChar w:fldCharType="begin"/>
      </w:r>
      <w:r>
        <w:instrText xml:space="preserve"> PAGEREF _Toc1377 \h </w:instrText>
      </w:r>
      <w:r>
        <w:fldChar w:fldCharType="separate"/>
      </w:r>
      <w:r>
        <w:t>1</w:t>
      </w:r>
      <w:r>
        <w:fldChar w:fldCharType="end"/>
      </w:r>
    </w:p>
    <w:p>
      <w:pPr>
        <w:pStyle w:val="TOC2"/>
      </w:pPr>
      <w:hyperlink w:anchor="_Toc1378">
        <w:r>
          <w:t xml:space="preserve">Five Forces Shaping the Next Decade</w:t>
        </w:r>
      </w:hyperlink>
      <w:r>
        <w:tab/>
      </w:r>
      <w:r>
        <w:fldChar w:fldCharType="begin"/>
      </w:r>
      <w:r>
        <w:instrText xml:space="preserve"> PAGEREF _Toc1378 \h </w:instrText>
      </w:r>
      <w:r>
        <w:fldChar w:fldCharType="separate"/>
      </w:r>
      <w:r>
        <w:t>1</w:t>
      </w:r>
      <w:r>
        <w:fldChar w:fldCharType="end"/>
      </w:r>
    </w:p>
    <w:p>
      <w:pPr>
        <w:pStyle w:val="TOC2"/>
      </w:pPr>
      <w:hyperlink w:anchor="_Toc1384">
        <w:r>
          <w:t xml:space="preserve">The Six-Pillar Forecast: 2026–2035</w:t>
        </w:r>
      </w:hyperlink>
      <w:r>
        <w:tab/>
      </w:r>
      <w:r>
        <w:fldChar w:fldCharType="begin"/>
      </w:r>
      <w:r>
        <w:instrText xml:space="preserve"> PAGEREF _Toc1384 \h </w:instrText>
      </w:r>
      <w:r>
        <w:fldChar w:fldCharType="separate"/>
      </w:r>
      <w:r>
        <w:t>1</w:t>
      </w:r>
      <w:r>
        <w:fldChar w:fldCharType="end"/>
      </w:r>
    </w:p>
    <w:p>
      <w:pPr>
        <w:pStyle w:val="TOC2"/>
      </w:pPr>
      <w:hyperlink w:anchor="_Toc1385">
        <w:r>
          <w:t xml:space="preserve">Vermont’s Ten-Year Trajectory: Two Scenarios</w:t>
        </w:r>
      </w:hyperlink>
      <w:r>
        <w:tab/>
      </w:r>
      <w:r>
        <w:fldChar w:fldCharType="begin"/>
      </w:r>
      <w:r>
        <w:instrText xml:space="preserve"> PAGEREF _Toc1385 \h </w:instrText>
      </w:r>
      <w:r>
        <w:fldChar w:fldCharType="separate"/>
      </w:r>
      <w:r>
        <w:t>1</w:t>
      </w:r>
      <w:r>
        <w:fldChar w:fldCharType="end"/>
      </w:r>
    </w:p>
    <w:p>
      <w:pPr>
        <w:pStyle w:val="TOC2"/>
      </w:pPr>
      <w:hyperlink w:anchor="_Toc1388">
        <w:r>
          <w:t xml:space="preserve">Vermont as National Template — The Decisions That Will Determine Outcomes</w:t>
        </w:r>
      </w:hyperlink>
      <w:r>
        <w:tab/>
      </w:r>
      <w:r>
        <w:fldChar w:fldCharType="begin"/>
      </w:r>
      <w:r>
        <w:instrText xml:space="preserve"> PAGEREF _Toc1388 \h </w:instrText>
      </w:r>
      <w:r>
        <w:fldChar w:fldCharType="separate"/>
      </w:r>
      <w:r>
        <w:t>1</w:t>
      </w:r>
      <w:r>
        <w:fldChar w:fldCharType="end"/>
      </w:r>
    </w:p>
    <w:p>
      <w:pPr>
        <w:pStyle w:val="TOC2"/>
      </w:pPr>
      <w:hyperlink w:anchor="_Toc1389">
        <w:r>
          <w:t xml:space="preserve">Work This Chapter on the Platform</w:t>
        </w:r>
      </w:hyperlink>
      <w:r>
        <w:tab/>
      </w:r>
      <w:r>
        <w:fldChar w:fldCharType="begin"/>
      </w:r>
      <w:r>
        <w:instrText xml:space="preserve"> PAGEREF _Toc1389 \h </w:instrText>
      </w:r>
      <w:r>
        <w:fldChar w:fldCharType="separate"/>
      </w:r>
      <w:r>
        <w:t>1</w:t>
      </w:r>
      <w:r>
        <w:fldChar w:fldCharType="end"/>
      </w:r>
    </w:p>
    <w:p>
      <w:pPr>
        <w:pStyle w:val="TOC2"/>
      </w:pPr>
      <w:hyperlink w:anchor="_Toc1390">
        <w:r>
          <w:t xml:space="preserve">Implications for You</w:t>
        </w:r>
      </w:hyperlink>
      <w:r>
        <w:tab/>
      </w:r>
      <w:r>
        <w:fldChar w:fldCharType="begin"/>
      </w:r>
      <w:r>
        <w:instrText xml:space="preserve"> PAGEREF _Toc1390 \h </w:instrText>
      </w:r>
      <w:r>
        <w:fldChar w:fldCharType="separate"/>
      </w:r>
      <w:r>
        <w:t>1</w:t>
      </w:r>
      <w:r>
        <w:fldChar w:fldCharType="end"/>
      </w:r>
    </w:p>
    <w:p>
      <w:pPr>
        <w:pStyle w:val="TOC2"/>
      </w:pPr>
      <w:hyperlink w:anchor="_Toc1391">
        <w:r>
          <w:t xml:space="preserve">Key Concepts in This Chapter</w:t>
        </w:r>
      </w:hyperlink>
      <w:r>
        <w:tab/>
      </w:r>
      <w:r>
        <w:fldChar w:fldCharType="begin"/>
      </w:r>
      <w:r>
        <w:instrText xml:space="preserve"> PAGEREF _Toc1391 \h </w:instrText>
      </w:r>
      <w:r>
        <w:fldChar w:fldCharType="separate"/>
      </w:r>
      <w:r>
        <w:t>1</w:t>
      </w:r>
      <w:r>
        <w:fldChar w:fldCharType="end"/>
      </w:r>
    </w:p>
    <w:p>
      <w:pPr>
        <w:pStyle w:val="TOC2"/>
      </w:pPr>
      <w:hyperlink w:anchor="_Toc1392">
        <w:r>
          <w:t xml:space="preserve">A Closing Note: What This Book Is Betting On</w:t>
        </w:r>
      </w:hyperlink>
      <w:r>
        <w:tab/>
      </w:r>
      <w:r>
        <w:fldChar w:fldCharType="begin"/>
      </w:r>
      <w:r>
        <w:instrText xml:space="preserve"> PAGEREF _Toc1392 \h </w:instrText>
      </w:r>
      <w:r>
        <w:fldChar w:fldCharType="separate"/>
      </w:r>
      <w:r>
        <w:t>1</w:t>
      </w:r>
      <w:r>
        <w:fldChar w:fldCharType="end"/>
      </w:r>
    </w:p>
    <w:p>
      <w:pPr>
        <w:pStyle w:val="TOC1"/>
      </w:pPr>
      <w:hyperlink w:anchor="_Toc1393">
        <w:r>
          <w:t xml:space="preserve">Chapter 14 — Political Sustainability: Protecting Transformation Across Election Cycles</w:t>
        </w:r>
      </w:hyperlink>
      <w:r>
        <w:tab/>
      </w:r>
      <w:r>
        <w:fldChar w:fldCharType="begin"/>
      </w:r>
      <w:r>
        <w:instrText xml:space="preserve"> PAGEREF _Toc1393 \h </w:instrText>
      </w:r>
      <w:r>
        <w:fldChar w:fldCharType="separate"/>
      </w:r>
      <w:r>
        <w:t>1</w:t>
      </w:r>
      <w:r>
        <w:fldChar w:fldCharType="end"/>
      </w:r>
    </w:p>
    <w:p>
      <w:pPr>
        <w:pStyle w:val="TOC2"/>
      </w:pPr>
      <w:hyperlink w:anchor="_Toc1394">
        <w:r>
          <w:t xml:space="preserve">Why Political Sustainability Is an Analytical Problem, Not Only a Political One</w:t>
        </w:r>
      </w:hyperlink>
      <w:r>
        <w:tab/>
      </w:r>
      <w:r>
        <w:fldChar w:fldCharType="begin"/>
      </w:r>
      <w:r>
        <w:instrText xml:space="preserve"> PAGEREF _Toc1394 \h </w:instrText>
      </w:r>
      <w:r>
        <w:fldChar w:fldCharType="separate"/>
      </w:r>
      <w:r>
        <w:t>1</w:t>
      </w:r>
      <w:r>
        <w:fldChar w:fldCharType="end"/>
      </w:r>
    </w:p>
    <w:p>
      <w:pPr>
        <w:pStyle w:val="TOC2"/>
      </w:pPr>
      <w:hyperlink w:anchor="_Toc1395">
        <w:r>
          <w:t xml:space="preserve">The Structural Durability of Vermont’s Reform Architecture</w:t>
        </w:r>
      </w:hyperlink>
      <w:r>
        <w:tab/>
      </w:r>
      <w:r>
        <w:fldChar w:fldCharType="begin"/>
      </w:r>
      <w:r>
        <w:instrText xml:space="preserve"> PAGEREF _Toc1395 \h </w:instrText>
      </w:r>
      <w:r>
        <w:fldChar w:fldCharType="separate"/>
      </w:r>
      <w:r>
        <w:t>1</w:t>
      </w:r>
      <w:r>
        <w:fldChar w:fldCharType="end"/>
      </w:r>
    </w:p>
    <w:p>
      <w:pPr>
        <w:pStyle w:val="TOC2"/>
      </w:pPr>
      <w:hyperlink w:anchor="_Toc1398">
        <w:r>
          <w:t xml:space="preserve">Early-Warning Signals of Political Risk</w:t>
        </w:r>
      </w:hyperlink>
      <w:r>
        <w:tab/>
      </w:r>
      <w:r>
        <w:fldChar w:fldCharType="begin"/>
      </w:r>
      <w:r>
        <w:instrText xml:space="preserve"> PAGEREF _Toc1398 \h </w:instrText>
      </w:r>
      <w:r>
        <w:fldChar w:fldCharType="separate"/>
      </w:r>
      <w:r>
        <w:t>1</w:t>
      </w:r>
      <w:r>
        <w:fldChar w:fldCharType="end"/>
      </w:r>
    </w:p>
    <w:p>
      <w:pPr>
        <w:pStyle w:val="TOC2"/>
      </w:pPr>
      <w:hyperlink w:anchor="_Toc1399">
        <w:r>
          <w:t xml:space="preserve">Organizational Strategies for Political Risk Management</w:t>
        </w:r>
      </w:hyperlink>
      <w:r>
        <w:tab/>
      </w:r>
      <w:r>
        <w:fldChar w:fldCharType="begin"/>
      </w:r>
      <w:r>
        <w:instrText xml:space="preserve"> PAGEREF _Toc1399 \h </w:instrText>
      </w:r>
      <w:r>
        <w:fldChar w:fldCharType="separate"/>
      </w:r>
      <w:r>
        <w:t>1</w:t>
      </w:r>
      <w:r>
        <w:fldChar w:fldCharType="end"/>
      </w:r>
    </w:p>
    <w:p>
      <w:pPr>
        <w:pStyle w:val="TOC2"/>
      </w:pPr>
      <w:hyperlink w:anchor="_Toc1404">
        <w:r>
          <w:t xml:space="preserve">Vermont’s Reform Cascade as Political-Sustainability Architecture</w:t>
        </w:r>
      </w:hyperlink>
      <w:r>
        <w:tab/>
      </w:r>
      <w:r>
        <w:fldChar w:fldCharType="begin"/>
      </w:r>
      <w:r>
        <w:instrText xml:space="preserve"> PAGEREF _Toc1404 \h </w:instrText>
      </w:r>
      <w:r>
        <w:fldChar w:fldCharType="separate"/>
      </w:r>
      <w:r>
        <w:t>1</w:t>
      </w:r>
      <w:r>
        <w:fldChar w:fldCharType="end"/>
      </w:r>
    </w:p>
    <w:p>
      <w:pPr>
        <w:pStyle w:val="TOC2"/>
      </w:pPr>
      <w:hyperlink w:anchor="_Toc1405">
        <w:r>
          <w:t xml:space="preserve">Work This Chapter on the Platform</w:t>
        </w:r>
      </w:hyperlink>
      <w:r>
        <w:tab/>
      </w:r>
      <w:r>
        <w:fldChar w:fldCharType="begin"/>
      </w:r>
      <w:r>
        <w:instrText xml:space="preserve"> PAGEREF _Toc1405 \h </w:instrText>
      </w:r>
      <w:r>
        <w:fldChar w:fldCharType="separate"/>
      </w:r>
      <w:r>
        <w:t>1</w:t>
      </w:r>
      <w:r>
        <w:fldChar w:fldCharType="end"/>
      </w:r>
    </w:p>
    <w:p>
      <w:pPr>
        <w:pStyle w:val="TOC2"/>
      </w:pPr>
      <w:hyperlink w:anchor="_Toc1406">
        <w:r>
          <w:t xml:space="preserve">Implications for You</w:t>
        </w:r>
      </w:hyperlink>
      <w:r>
        <w:tab/>
      </w:r>
      <w:r>
        <w:fldChar w:fldCharType="begin"/>
      </w:r>
      <w:r>
        <w:instrText xml:space="preserve"> PAGEREF _Toc1406 \h </w:instrText>
      </w:r>
      <w:r>
        <w:fldChar w:fldCharType="separate"/>
      </w:r>
      <w:r>
        <w:t>1</w:t>
      </w:r>
      <w:r>
        <w:fldChar w:fldCharType="end"/>
      </w:r>
    </w:p>
    <w:p>
      <w:pPr>
        <w:pStyle w:val="TOC2"/>
      </w:pPr>
      <w:hyperlink w:anchor="_Toc1407">
        <w:r>
          <w:t xml:space="preserve">Key Concepts in This Chapter</w:t>
        </w:r>
      </w:hyperlink>
      <w:r>
        <w:tab/>
      </w:r>
      <w:r>
        <w:fldChar w:fldCharType="begin"/>
      </w:r>
      <w:r>
        <w:instrText xml:space="preserve"> PAGEREF _Toc1407 \h </w:instrText>
      </w:r>
      <w:r>
        <w:fldChar w:fldCharType="separate"/>
      </w:r>
      <w:r>
        <w:t>1</w:t>
      </w:r>
      <w:r>
        <w:fldChar w:fldCharType="end"/>
      </w:r>
    </w:p>
    <w:p>
      <w:pPr>
        <w:pStyle w:val="TOC1"/>
      </w:pPr>
      <w:hyperlink w:anchor="_Toc1408">
        <w:r>
          <w:t xml:space="preserve">Chapter 15 — Healthcare Transformation as Portfolio Management: Applying PMI Standards to Six-Pillar Reform</w:t>
        </w:r>
      </w:hyperlink>
      <w:r>
        <w:tab/>
      </w:r>
      <w:r>
        <w:fldChar w:fldCharType="begin"/>
      </w:r>
      <w:r>
        <w:instrText xml:space="preserve"> PAGEREF _Toc1408 \h </w:instrText>
      </w:r>
      <w:r>
        <w:fldChar w:fldCharType="separate"/>
      </w:r>
      <w:r>
        <w:t>1</w:t>
      </w:r>
      <w:r>
        <w:fldChar w:fldCharType="end"/>
      </w:r>
    </w:p>
    <w:p>
      <w:pPr>
        <w:pStyle w:val="TOC2"/>
      </w:pPr>
      <w:hyperlink w:anchor="_Toc1409">
        <w:r>
          <w:t xml:space="preserve">The Project-Management Gap in Healthcare Transformation</w:t>
        </w:r>
      </w:hyperlink>
      <w:r>
        <w:tab/>
      </w:r>
      <w:r>
        <w:fldChar w:fldCharType="begin"/>
      </w:r>
      <w:r>
        <w:instrText xml:space="preserve"> PAGEREF _Toc1409 \h </w:instrText>
      </w:r>
      <w:r>
        <w:fldChar w:fldCharType="separate"/>
      </w:r>
      <w:r>
        <w:t>1</w:t>
      </w:r>
      <w:r>
        <w:fldChar w:fldCharType="end"/>
      </w:r>
    </w:p>
    <w:p>
      <w:pPr>
        <w:pStyle w:val="TOC2"/>
      </w:pPr>
      <w:hyperlink w:anchor="_Toc1410">
        <w:r>
          <w:t xml:space="preserve">Project, Program, and Portfolio: Getting the Levels Right</w:t>
        </w:r>
      </w:hyperlink>
      <w:r>
        <w:tab/>
      </w:r>
      <w:r>
        <w:fldChar w:fldCharType="begin"/>
      </w:r>
      <w:r>
        <w:instrText xml:space="preserve"> PAGEREF _Toc1410 \h </w:instrText>
      </w:r>
      <w:r>
        <w:fldChar w:fldCharType="separate"/>
      </w:r>
      <w:r>
        <w:t>1</w:t>
      </w:r>
      <w:r>
        <w:fldChar w:fldCharType="end"/>
      </w:r>
    </w:p>
    <w:p>
      <w:pPr>
        <w:pStyle w:val="TOC2"/>
      </w:pPr>
      <w:hyperlink w:anchor="_Toc1411">
        <w:r>
          <w:t xml:space="preserve">Vermont’s Transformation Portfolio: 19 Components</w:t>
        </w:r>
      </w:hyperlink>
      <w:r>
        <w:tab/>
      </w:r>
      <w:r>
        <w:fldChar w:fldCharType="begin"/>
      </w:r>
      <w:r>
        <w:instrText xml:space="preserve"> PAGEREF _Toc1411 \h </w:instrText>
      </w:r>
      <w:r>
        <w:fldChar w:fldCharType="separate"/>
      </w:r>
      <w:r>
        <w:t>1</w:t>
      </w:r>
      <w:r>
        <w:fldChar w:fldCharType="end"/>
      </w:r>
    </w:p>
    <w:p>
      <w:pPr>
        <w:pStyle w:val="TOC2"/>
      </w:pPr>
      <w:hyperlink w:anchor="_Toc1412">
        <w:r>
          <w:t xml:space="preserve">The Case for a Portfolio Manager</w:t>
        </w:r>
      </w:hyperlink>
      <w:r>
        <w:tab/>
      </w:r>
      <w:r>
        <w:fldChar w:fldCharType="begin"/>
      </w:r>
      <w:r>
        <w:instrText xml:space="preserve"> PAGEREF _Toc1412 \h </w:instrText>
      </w:r>
      <w:r>
        <w:fldChar w:fldCharType="separate"/>
      </w:r>
      <w:r>
        <w:t>1</w:t>
      </w:r>
      <w:r>
        <w:fldChar w:fldCharType="end"/>
      </w:r>
    </w:p>
    <w:p>
      <w:pPr>
        <w:pStyle w:val="TOC2"/>
      </w:pPr>
      <w:hyperlink w:anchor="_Toc1413">
        <w:r>
          <w:t xml:space="preserve">Pillar-Level Project Managers: Six Roles, One Framework</w:t>
        </w:r>
      </w:hyperlink>
      <w:r>
        <w:tab/>
      </w:r>
      <w:r>
        <w:fldChar w:fldCharType="begin"/>
      </w:r>
      <w:r>
        <w:instrText xml:space="preserve"> PAGEREF _Toc1413 \h </w:instrText>
      </w:r>
      <w:r>
        <w:fldChar w:fldCharType="separate"/>
      </w:r>
      <w:r>
        <w:t>1</w:t>
      </w:r>
      <w:r>
        <w:fldChar w:fldCharType="end"/>
      </w:r>
    </w:p>
    <w:p>
      <w:pPr>
        <w:pStyle w:val="TOC2"/>
      </w:pPr>
      <w:hyperlink w:anchor="_Toc1414">
        <w:r>
          <w:t xml:space="preserve">Governance Architecture and the Ten Knowledge Areas</w:t>
        </w:r>
      </w:hyperlink>
      <w:r>
        <w:tab/>
      </w:r>
      <w:r>
        <w:fldChar w:fldCharType="begin"/>
      </w:r>
      <w:r>
        <w:instrText xml:space="preserve"> PAGEREF _Toc1414 \h </w:instrText>
      </w:r>
      <w:r>
        <w:fldChar w:fldCharType="separate"/>
      </w:r>
      <w:r>
        <w:t>1</w:t>
      </w:r>
      <w:r>
        <w:fldChar w:fldCharType="end"/>
      </w:r>
    </w:p>
    <w:p>
      <w:pPr>
        <w:pStyle w:val="TOC2"/>
      </w:pPr>
      <w:hyperlink w:anchor="_Toc1415">
        <w:r>
          <w:t xml:space="preserve">Portfolio Sequence Is Dependency Sequence</w:t>
        </w:r>
      </w:hyperlink>
      <w:r>
        <w:tab/>
      </w:r>
      <w:r>
        <w:fldChar w:fldCharType="begin"/>
      </w:r>
      <w:r>
        <w:instrText xml:space="preserve"> PAGEREF _Toc1415 \h </w:instrText>
      </w:r>
      <w:r>
        <w:fldChar w:fldCharType="separate"/>
      </w:r>
      <w:r>
        <w:t>1</w:t>
      </w:r>
      <w:r>
        <w:fldChar w:fldCharType="end"/>
      </w:r>
    </w:p>
    <w:p>
      <w:pPr>
        <w:pStyle w:val="TOC2"/>
      </w:pPr>
      <w:hyperlink w:anchor="_Toc1416">
        <w:r>
          <w:t xml:space="preserve">Predictive vs. Adaptive Approaches</w:t>
        </w:r>
      </w:hyperlink>
      <w:r>
        <w:tab/>
      </w:r>
      <w:r>
        <w:fldChar w:fldCharType="begin"/>
      </w:r>
      <w:r>
        <w:instrText xml:space="preserve"> PAGEREF _Toc1416 \h </w:instrText>
      </w:r>
      <w:r>
        <w:fldChar w:fldCharType="separate"/>
      </w:r>
      <w:r>
        <w:t>1</w:t>
      </w:r>
      <w:r>
        <w:fldChar w:fldCharType="end"/>
      </w:r>
    </w:p>
    <w:p>
      <w:pPr>
        <w:pStyle w:val="TOC2"/>
      </w:pPr>
      <w:hyperlink w:anchor="_Toc1417">
        <w:r>
          <w:t xml:space="preserve">The Portfolio Risk Register</w:t>
        </w:r>
      </w:hyperlink>
      <w:r>
        <w:tab/>
      </w:r>
      <w:r>
        <w:fldChar w:fldCharType="begin"/>
      </w:r>
      <w:r>
        <w:instrText xml:space="preserve"> PAGEREF _Toc1417 \h </w:instrText>
      </w:r>
      <w:r>
        <w:fldChar w:fldCharType="separate"/>
      </w:r>
      <w:r>
        <w:t>1</w:t>
      </w:r>
      <w:r>
        <w:fldChar w:fldCharType="end"/>
      </w:r>
    </w:p>
    <w:p>
      <w:pPr>
        <w:pStyle w:val="TOC2"/>
      </w:pPr>
      <w:hyperlink w:anchor="_Toc1418">
        <w:r>
          <w:t xml:space="preserve">Benefits Realization: Connecting the PMO to Act 167’s Five Goals</w:t>
        </w:r>
      </w:hyperlink>
      <w:r>
        <w:tab/>
      </w:r>
      <w:r>
        <w:fldChar w:fldCharType="begin"/>
      </w:r>
      <w:r>
        <w:instrText xml:space="preserve"> PAGEREF _Toc1418 \h </w:instrText>
      </w:r>
      <w:r>
        <w:fldChar w:fldCharType="separate"/>
      </w:r>
      <w:r>
        <w:t>1</w:t>
      </w:r>
      <w:r>
        <w:fldChar w:fldCharType="end"/>
      </w:r>
    </w:p>
    <w:p>
      <w:pPr>
        <w:pStyle w:val="TOC2"/>
      </w:pPr>
      <w:hyperlink w:anchor="_Toc1419">
        <w:r>
          <w:t xml:space="preserve">The Business Case</w:t>
        </w:r>
      </w:hyperlink>
      <w:r>
        <w:tab/>
      </w:r>
      <w:r>
        <w:fldChar w:fldCharType="begin"/>
      </w:r>
      <w:r>
        <w:instrText xml:space="preserve"> PAGEREF _Toc1419 \h </w:instrText>
      </w:r>
      <w:r>
        <w:fldChar w:fldCharType="separate"/>
      </w:r>
      <w:r>
        <w:t>1</w:t>
      </w:r>
      <w:r>
        <w:fldChar w:fldCharType="end"/>
      </w:r>
    </w:p>
    <w:p>
      <w:pPr>
        <w:pStyle w:val="TOC2"/>
      </w:pPr>
      <w:hyperlink w:anchor="_Toc1420">
        <w:r>
          <w:t xml:space="preserve">Implementation Roadmap</w:t>
        </w:r>
      </w:hyperlink>
      <w:r>
        <w:tab/>
      </w:r>
      <w:r>
        <w:fldChar w:fldCharType="begin"/>
      </w:r>
      <w:r>
        <w:instrText xml:space="preserve"> PAGEREF _Toc1420 \h </w:instrText>
      </w:r>
      <w:r>
        <w:fldChar w:fldCharType="separate"/>
      </w:r>
      <w:r>
        <w:t>1</w:t>
      </w:r>
      <w:r>
        <w:fldChar w:fldCharType="end"/>
      </w:r>
    </w:p>
    <w:p>
      <w:pPr>
        <w:pStyle w:val="TOC2"/>
      </w:pPr>
      <w:hyperlink w:anchor="_Toc1421">
        <w:r>
          <w:t xml:space="preserve">Answering the Four Objections</w:t>
        </w:r>
      </w:hyperlink>
      <w:r>
        <w:tab/>
      </w:r>
      <w:r>
        <w:fldChar w:fldCharType="begin"/>
      </w:r>
      <w:r>
        <w:instrText xml:space="preserve"> PAGEREF _Toc1421 \h </w:instrText>
      </w:r>
      <w:r>
        <w:fldChar w:fldCharType="separate"/>
      </w:r>
      <w:r>
        <w:t>1</w:t>
      </w:r>
      <w:r>
        <w:fldChar w:fldCharType="end"/>
      </w:r>
    </w:p>
    <w:p>
      <w:pPr>
        <w:pStyle w:val="TOC2"/>
      </w:pPr>
      <w:hyperlink w:anchor="_Toc1422">
        <w:r>
          <w:t xml:space="preserve">Work This Chapter on the Platform</w:t>
        </w:r>
      </w:hyperlink>
      <w:r>
        <w:tab/>
      </w:r>
      <w:r>
        <w:fldChar w:fldCharType="begin"/>
      </w:r>
      <w:r>
        <w:instrText xml:space="preserve"> PAGEREF _Toc1422 \h </w:instrText>
      </w:r>
      <w:r>
        <w:fldChar w:fldCharType="separate"/>
      </w:r>
      <w:r>
        <w:t>1</w:t>
      </w:r>
      <w:r>
        <w:fldChar w:fldCharType="end"/>
      </w:r>
    </w:p>
    <w:p>
      <w:pPr>
        <w:pStyle w:val="TOC2"/>
      </w:pPr>
      <w:hyperlink w:anchor="_Toc1423">
        <w:r>
          <w:t xml:space="preserve">Implications for You</w:t>
        </w:r>
      </w:hyperlink>
      <w:r>
        <w:tab/>
      </w:r>
      <w:r>
        <w:fldChar w:fldCharType="begin"/>
      </w:r>
      <w:r>
        <w:instrText xml:space="preserve"> PAGEREF _Toc1423 \h </w:instrText>
      </w:r>
      <w:r>
        <w:fldChar w:fldCharType="separate"/>
      </w:r>
      <w:r>
        <w:t>1</w:t>
      </w:r>
      <w:r>
        <w:fldChar w:fldCharType="end"/>
      </w:r>
    </w:p>
    <w:p>
      <w:pPr>
        <w:pStyle w:val="TOC2"/>
      </w:pPr>
      <w:hyperlink w:anchor="_Toc1424">
        <w:r>
          <w:t xml:space="preserve">Key Concepts in This Chapter</w:t>
        </w:r>
      </w:hyperlink>
      <w:r>
        <w:tab/>
      </w:r>
      <w:r>
        <w:fldChar w:fldCharType="begin"/>
      </w:r>
      <w:r>
        <w:instrText xml:space="preserve"> PAGEREF _Toc1424 \h </w:instrText>
      </w:r>
      <w:r>
        <w:fldChar w:fldCharType="separate"/>
      </w:r>
      <w:r>
        <w:t>1</w:t>
      </w:r>
      <w:r>
        <w:fldChar w:fldCharType="end"/>
      </w:r>
    </w:p>
    <w:p>
      <w:pPr>
        <w:pStyle w:val="TOC1"/>
      </w:pPr>
      <w:hyperlink w:anchor="_Toc1425">
        <w:r>
          <w:t xml:space="preserve">Chapter 16 — The AHS Restructuring Roadmap: A Six-Pillar Framework for System Architects</w:t>
        </w:r>
      </w:hyperlink>
      <w:r>
        <w:tab/>
      </w:r>
      <w:r>
        <w:fldChar w:fldCharType="begin"/>
      </w:r>
      <w:r>
        <w:instrText xml:space="preserve"> PAGEREF _Toc1425 \h </w:instrText>
      </w:r>
      <w:r>
        <w:fldChar w:fldCharType="separate"/>
      </w:r>
      <w:r>
        <w:t>1</w:t>
      </w:r>
      <w:r>
        <w:fldChar w:fldCharType="end"/>
      </w:r>
    </w:p>
    <w:p>
      <w:pPr>
        <w:pStyle w:val="TOC2"/>
      </w:pPr>
      <w:hyperlink w:anchor="_Toc1426">
        <w:r>
          <w:t xml:space="preserve">The Statutory Mandate — What Act 68 Actually Requires AHS to Do</w:t>
        </w:r>
      </w:hyperlink>
      <w:r>
        <w:tab/>
      </w:r>
      <w:r>
        <w:fldChar w:fldCharType="begin"/>
      </w:r>
      <w:r>
        <w:instrText xml:space="preserve"> PAGEREF _Toc1426 \h </w:instrText>
      </w:r>
      <w:r>
        <w:fldChar w:fldCharType="separate"/>
      </w:r>
      <w:r>
        <w:t>1</w:t>
      </w:r>
      <w:r>
        <w:fldChar w:fldCharType="end"/>
      </w:r>
    </w:p>
    <w:p>
      <w:pPr>
        <w:pStyle w:val="TOC2"/>
      </w:pPr>
      <w:hyperlink w:anchor="_Toc1427">
        <w:r>
          <w:t xml:space="preserve">The Organizational Diagnosis — Why AHS Must Restructure, Not Just Plan</w:t>
        </w:r>
      </w:hyperlink>
      <w:r>
        <w:tab/>
      </w:r>
      <w:r>
        <w:fldChar w:fldCharType="begin"/>
      </w:r>
      <w:r>
        <w:instrText xml:space="preserve"> PAGEREF _Toc1427 \h </w:instrText>
      </w:r>
      <w:r>
        <w:fldChar w:fldCharType="separate"/>
      </w:r>
      <w:r>
        <w:t>1</w:t>
      </w:r>
      <w:r>
        <w:fldChar w:fldCharType="end"/>
      </w:r>
    </w:p>
    <w:p>
      <w:pPr>
        <w:pStyle w:val="TOC2"/>
      </w:pPr>
      <w:hyperlink w:anchor="_Toc1429">
        <w:r>
          <w:t xml:space="preserve">The Redesigned AHS Operating Model — A Population Health System Operator</w:t>
        </w:r>
      </w:hyperlink>
      <w:r>
        <w:tab/>
      </w:r>
      <w:r>
        <w:fldChar w:fldCharType="begin"/>
      </w:r>
      <w:r>
        <w:instrText xml:space="preserve"> PAGEREF _Toc1429 \h </w:instrText>
      </w:r>
      <w:r>
        <w:fldChar w:fldCharType="separate"/>
      </w:r>
      <w:r>
        <w:t>1</w:t>
      </w:r>
      <w:r>
        <w:fldChar w:fldCharType="end"/>
      </w:r>
    </w:p>
    <w:p>
      <w:pPr>
        <w:pStyle w:val="TOC2"/>
      </w:pPr>
      <w:hyperlink w:anchor="_Toc1433">
        <w:r>
          <w:t xml:space="preserve">The Six-Pillar Framework Applied to AHS’s Mandate</w:t>
        </w:r>
      </w:hyperlink>
      <w:r>
        <w:tab/>
      </w:r>
      <w:r>
        <w:fldChar w:fldCharType="begin"/>
      </w:r>
      <w:r>
        <w:instrText xml:space="preserve"> PAGEREF _Toc1433 \h </w:instrText>
      </w:r>
      <w:r>
        <w:fldChar w:fldCharType="separate"/>
      </w:r>
      <w:r>
        <w:t>1</w:t>
      </w:r>
      <w:r>
        <w:fldChar w:fldCharType="end"/>
      </w:r>
    </w:p>
    <w:p>
      <w:pPr>
        <w:pStyle w:val="TOC2"/>
      </w:pPr>
      <w:hyperlink w:anchor="_Toc1434">
        <w:r>
          <w:t xml:space="preserve">The AHS Restructuring Implementation Timeline</w:t>
        </w:r>
      </w:hyperlink>
      <w:r>
        <w:tab/>
      </w:r>
      <w:r>
        <w:fldChar w:fldCharType="begin"/>
      </w:r>
      <w:r>
        <w:instrText xml:space="preserve"> PAGEREF _Toc1434 \h </w:instrText>
      </w:r>
      <w:r>
        <w:fldChar w:fldCharType="separate"/>
      </w:r>
      <w:r>
        <w:t>1</w:t>
      </w:r>
      <w:r>
        <w:fldChar w:fldCharType="end"/>
      </w:r>
    </w:p>
    <w:p>
      <w:pPr>
        <w:pStyle w:val="TOC2"/>
      </w:pPr>
      <w:hyperlink w:anchor="_Toc1435">
        <w:r>
          <w:t xml:space="preserve">A Framework for the 2028 Statewide Strategic Plan</w:t>
        </w:r>
      </w:hyperlink>
      <w:r>
        <w:tab/>
      </w:r>
      <w:r>
        <w:fldChar w:fldCharType="begin"/>
      </w:r>
      <w:r>
        <w:instrText xml:space="preserve"> PAGEREF _Toc1435 \h </w:instrText>
      </w:r>
      <w:r>
        <w:fldChar w:fldCharType="separate"/>
      </w:r>
      <w:r>
        <w:t>1</w:t>
      </w:r>
      <w:r>
        <w:fldChar w:fldCharType="end"/>
      </w:r>
    </w:p>
    <w:p>
      <w:pPr>
        <w:pStyle w:val="TOC2"/>
      </w:pPr>
      <w:hyperlink w:anchor="_Toc1437">
        <w:r>
          <w:t xml:space="preserve">Vermont as National Template — Why This Restructuring Matters Beyond Vermont</w:t>
        </w:r>
      </w:hyperlink>
      <w:r>
        <w:tab/>
      </w:r>
      <w:r>
        <w:fldChar w:fldCharType="begin"/>
      </w:r>
      <w:r>
        <w:instrText xml:space="preserve"> PAGEREF _Toc1437 \h </w:instrText>
      </w:r>
      <w:r>
        <w:fldChar w:fldCharType="separate"/>
      </w:r>
      <w:r>
        <w:t>1</w:t>
      </w:r>
      <w:r>
        <w:fldChar w:fldCharType="end"/>
      </w:r>
    </w:p>
    <w:p>
      <w:pPr>
        <w:pStyle w:val="TOC2"/>
      </w:pPr>
      <w:hyperlink w:anchor="_Toc1438">
        <w:r>
          <w:t xml:space="preserve">Work This Chapter on the Platform</w:t>
        </w:r>
      </w:hyperlink>
      <w:r>
        <w:tab/>
      </w:r>
      <w:r>
        <w:fldChar w:fldCharType="begin"/>
      </w:r>
      <w:r>
        <w:instrText xml:space="preserve"> PAGEREF _Toc1438 \h </w:instrText>
      </w:r>
      <w:r>
        <w:fldChar w:fldCharType="separate"/>
      </w:r>
      <w:r>
        <w:t>1</w:t>
      </w:r>
      <w:r>
        <w:fldChar w:fldCharType="end"/>
      </w:r>
    </w:p>
    <w:p>
      <w:pPr>
        <w:pStyle w:val="TOC2"/>
      </w:pPr>
      <w:hyperlink w:anchor="_Toc1439">
        <w:r>
          <w:t xml:space="preserve">Implications for You</w:t>
        </w:r>
      </w:hyperlink>
      <w:r>
        <w:tab/>
      </w:r>
      <w:r>
        <w:fldChar w:fldCharType="begin"/>
      </w:r>
      <w:r>
        <w:instrText xml:space="preserve"> PAGEREF _Toc1439 \h </w:instrText>
      </w:r>
      <w:r>
        <w:fldChar w:fldCharType="separate"/>
      </w:r>
      <w:r>
        <w:t>1</w:t>
      </w:r>
      <w:r>
        <w:fldChar w:fldCharType="end"/>
      </w:r>
    </w:p>
    <w:p>
      <w:pPr>
        <w:pStyle w:val="TOC2"/>
      </w:pPr>
      <w:hyperlink w:anchor="_Toc1440">
        <w:r>
          <w:t xml:space="preserve">Key Concepts in This Chapter</w:t>
        </w:r>
      </w:hyperlink>
      <w:r>
        <w:tab/>
      </w:r>
      <w:r>
        <w:fldChar w:fldCharType="begin"/>
      </w:r>
      <w:r>
        <w:instrText xml:space="preserve"> PAGEREF _Toc1440 \h </w:instrText>
      </w:r>
      <w:r>
        <w:fldChar w:fldCharType="separate"/>
      </w:r>
      <w:r>
        <w:t>1</w:t>
      </w:r>
      <w:r>
        <w:fldChar w:fldCharType="end"/>
      </w:r>
    </w:p>
    <w:p>
      <w:pPr>
        <w:pStyle w:val="TOC1"/>
      </w:pPr>
      <w:hyperlink w:anchor="_Toc1441">
        <w:r>
          <w:t xml:space="preserve">Conclusion — What Vermont Proves, and What Remains to Be Proven</w:t>
        </w:r>
      </w:hyperlink>
      <w:r>
        <w:tab/>
      </w:r>
      <w:r>
        <w:fldChar w:fldCharType="begin"/>
      </w:r>
      <w:r>
        <w:instrText xml:space="preserve"> PAGEREF _Toc1441 \h </w:instrText>
      </w:r>
      <w:r>
        <w:fldChar w:fldCharType="separate"/>
      </w:r>
      <w:r>
        <w:t>1</w:t>
      </w:r>
      <w:r>
        <w:fldChar w:fldCharType="end"/>
      </w:r>
    </w:p>
    <w:p>
      <w:pPr>
        <w:pStyle w:val="TOC2"/>
      </w:pPr>
      <w:hyperlink w:anchor="_Toc1442">
        <w:r>
          <w:t xml:space="preserve">What Failure Actually Looks Like</w:t>
        </w:r>
      </w:hyperlink>
      <w:r>
        <w:tab/>
      </w:r>
      <w:r>
        <w:fldChar w:fldCharType="begin"/>
      </w:r>
      <w:r>
        <w:instrText xml:space="preserve"> PAGEREF _Toc1442 \h </w:instrText>
      </w:r>
      <w:r>
        <w:fldChar w:fldCharType="separate"/>
      </w:r>
      <w:r>
        <w:t>1</w:t>
      </w:r>
      <w:r>
        <w:fldChar w:fldCharType="end"/>
      </w:r>
    </w:p>
    <w:p>
      <w:pPr>
        <w:pStyle w:val="TOC2"/>
      </w:pPr>
      <w:hyperlink w:anchor="_Toc1443">
        <w:r>
          <w:t xml:space="preserve">The Three Decisions That Are Not Yet Made</w:t>
        </w:r>
      </w:hyperlink>
      <w:r>
        <w:tab/>
      </w:r>
      <w:r>
        <w:fldChar w:fldCharType="begin"/>
      </w:r>
      <w:r>
        <w:instrText xml:space="preserve"> PAGEREF _Toc1443 \h </w:instrText>
      </w:r>
      <w:r>
        <w:fldChar w:fldCharType="separate"/>
      </w:r>
      <w:r>
        <w:t>1</w:t>
      </w:r>
      <w:r>
        <w:fldChar w:fldCharType="end"/>
      </w:r>
    </w:p>
    <w:p>
      <w:pPr>
        <w:pStyle w:val="TOC2"/>
      </w:pPr>
      <w:hyperlink w:anchor="_Toc1447">
        <w:r>
          <w:t xml:space="preserve">What Vermont Has Proved — As of April 2026</w:t>
        </w:r>
      </w:hyperlink>
      <w:r>
        <w:tab/>
      </w:r>
      <w:r>
        <w:fldChar w:fldCharType="begin"/>
      </w:r>
      <w:r>
        <w:instrText xml:space="preserve"> PAGEREF _Toc1447 \h </w:instrText>
      </w:r>
      <w:r>
        <w:fldChar w:fldCharType="separate"/>
      </w:r>
      <w:r>
        <w:t>1</w:t>
      </w:r>
      <w:r>
        <w:fldChar w:fldCharType="end"/>
      </w:r>
    </w:p>
    <w:p>
      <w:pPr>
        <w:pStyle w:val="TOC2"/>
      </w:pPr>
      <w:hyperlink w:anchor="_Toc1448">
        <w:r>
          <w:t xml:space="preserve">The People This Book Cannot Reach</w:t>
        </w:r>
      </w:hyperlink>
      <w:r>
        <w:tab/>
      </w:r>
      <w:r>
        <w:fldChar w:fldCharType="begin"/>
      </w:r>
      <w:r>
        <w:instrText xml:space="preserve"> PAGEREF _Toc1448 \h </w:instrText>
      </w:r>
      <w:r>
        <w:fldChar w:fldCharType="separate"/>
      </w:r>
      <w:r>
        <w:t>1</w:t>
      </w:r>
      <w:r>
        <w:fldChar w:fldCharType="end"/>
      </w:r>
    </w:p>
    <w:p>
      <w:pPr>
        <w:pStyle w:val="TOC2"/>
      </w:pPr>
      <w:hyperlink w:anchor="_Toc1449">
        <w:r>
          <w:t xml:space="preserve">The Call</w:t>
        </w:r>
      </w:hyperlink>
      <w:r>
        <w:tab/>
      </w:r>
      <w:r>
        <w:fldChar w:fldCharType="begin"/>
      </w:r>
      <w:r>
        <w:instrText xml:space="preserve"> PAGEREF _Toc1449 \h </w:instrText>
      </w:r>
      <w:r>
        <w:fldChar w:fldCharType="separate"/>
      </w:r>
      <w:r>
        <w:t>1</w:t>
      </w:r>
      <w:r>
        <w:fldChar w:fldCharType="end"/>
      </w:r>
    </w:p>
    <w:p>
      <w:pPr>
        <w:pStyle w:val="TOC2"/>
      </w:pPr>
      <w:hyperlink w:anchor="_Toc1450">
        <w:r>
          <w:t xml:space="preserve">Key Concepts in This Chapter</w:t>
        </w:r>
      </w:hyperlink>
      <w:r>
        <w:tab/>
      </w:r>
      <w:r>
        <w:fldChar w:fldCharType="begin"/>
      </w:r>
      <w:r>
        <w:instrText xml:space="preserve"> PAGEREF _Toc1450 \h </w:instrText>
      </w:r>
      <w:r>
        <w:fldChar w:fldCharType="separate"/>
      </w:r>
      <w:r>
        <w:t>1</w:t>
      </w:r>
      <w:r>
        <w:fldChar w:fldCharType="end"/>
      </w:r>
    </w:p>
    <w:p>
      <w:pPr>
        <w:pStyle w:val="TOC1"/>
      </w:pPr>
      <w:hyperlink w:anchor="_Toc1451">
        <w:r>
          <w:t xml:space="preserve">Appendix A — Vermont System Portrait</w:t>
        </w:r>
      </w:hyperlink>
      <w:r>
        <w:tab/>
      </w:r>
      <w:r>
        <w:fldChar w:fldCharType="begin"/>
      </w:r>
      <w:r>
        <w:instrText xml:space="preserve"> PAGEREF _Toc1451 \h </w:instrText>
      </w:r>
      <w:r>
        <w:fldChar w:fldCharType="separate"/>
      </w:r>
      <w:r>
        <w:t>1</w:t>
      </w:r>
      <w:r>
        <w:fldChar w:fldCharType="end"/>
      </w:r>
    </w:p>
    <w:p>
      <w:pPr>
        <w:pStyle w:val="TOC2"/>
      </w:pPr>
      <w:hyperlink w:anchor="_Toc1452">
        <w:r>
          <w:t xml:space="preserve">A.1 Vermont: The State</w:t>
        </w:r>
      </w:hyperlink>
      <w:r>
        <w:tab/>
      </w:r>
      <w:r>
        <w:fldChar w:fldCharType="begin"/>
      </w:r>
      <w:r>
        <w:instrText xml:space="preserve"> PAGEREF _Toc1452 \h </w:instrText>
      </w:r>
      <w:r>
        <w:fldChar w:fldCharType="separate"/>
      </w:r>
      <w:r>
        <w:t>1</w:t>
      </w:r>
      <w:r>
        <w:fldChar w:fldCharType="end"/>
      </w:r>
    </w:p>
    <w:p>
      <w:pPr>
        <w:pStyle w:val="TOC2"/>
      </w:pPr>
      <w:hyperlink w:anchor="_Toc1453">
        <w:r>
          <w:t xml:space="preserve">A.2 Demographics and Population Projections</w:t>
        </w:r>
      </w:hyperlink>
      <w:r>
        <w:tab/>
      </w:r>
      <w:r>
        <w:fldChar w:fldCharType="begin"/>
      </w:r>
      <w:r>
        <w:instrText xml:space="preserve"> PAGEREF _Toc1453 \h </w:instrText>
      </w:r>
      <w:r>
        <w:fldChar w:fldCharType="separate"/>
      </w:r>
      <w:r>
        <w:t>1</w:t>
      </w:r>
      <w:r>
        <w:fldChar w:fldCharType="end"/>
      </w:r>
    </w:p>
    <w:p>
      <w:pPr>
        <w:pStyle w:val="TOC2"/>
      </w:pPr>
      <w:hyperlink w:anchor="_Toc1454">
        <w:r>
          <w:t xml:space="preserve">A.3 Regulatory Architecture: The Green Mountain Care Board</w:t>
        </w:r>
      </w:hyperlink>
      <w:r>
        <w:tab/>
      </w:r>
      <w:r>
        <w:fldChar w:fldCharType="begin"/>
      </w:r>
      <w:r>
        <w:instrText xml:space="preserve"> PAGEREF _Toc1454 \h </w:instrText>
      </w:r>
      <w:r>
        <w:fldChar w:fldCharType="separate"/>
      </w:r>
      <w:r>
        <w:t>1</w:t>
      </w:r>
      <w:r>
        <w:fldChar w:fldCharType="end"/>
      </w:r>
    </w:p>
    <w:p>
      <w:pPr>
        <w:pStyle w:val="TOC2"/>
      </w:pPr>
      <w:hyperlink w:anchor="_Toc1455">
        <w:r>
          <w:t xml:space="preserve">A.4 The Hospital System</w:t>
        </w:r>
      </w:hyperlink>
      <w:r>
        <w:tab/>
      </w:r>
      <w:r>
        <w:fldChar w:fldCharType="begin"/>
      </w:r>
      <w:r>
        <w:instrText xml:space="preserve"> PAGEREF _Toc1455 \h </w:instrText>
      </w:r>
      <w:r>
        <w:fldChar w:fldCharType="separate"/>
      </w:r>
      <w:r>
        <w:t>1</w:t>
      </w:r>
      <w:r>
        <w:fldChar w:fldCharType="end"/>
      </w:r>
    </w:p>
    <w:p>
      <w:pPr>
        <w:pStyle w:val="TOC2"/>
      </w:pPr>
      <w:hyperlink w:anchor="_Toc1458">
        <w:r>
          <w:t xml:space="preserve">A.5 The Transformation Plans: A System in Motion</w:t>
        </w:r>
      </w:hyperlink>
      <w:r>
        <w:tab/>
      </w:r>
      <w:r>
        <w:fldChar w:fldCharType="begin"/>
      </w:r>
      <w:r>
        <w:instrText xml:space="preserve"> PAGEREF _Toc1458 \h </w:instrText>
      </w:r>
      <w:r>
        <w:fldChar w:fldCharType="separate"/>
      </w:r>
      <w:r>
        <w:t>1</w:t>
      </w:r>
      <w:r>
        <w:fldChar w:fldCharType="end"/>
      </w:r>
    </w:p>
    <w:p>
      <w:pPr>
        <w:pStyle w:val="TOC2"/>
      </w:pPr>
      <w:hyperlink w:anchor="_Toc1459">
        <w:r>
          <w:t xml:space="preserve">A.6 The Insurance and Premium Crisis</w:t>
        </w:r>
      </w:hyperlink>
      <w:r>
        <w:tab/>
      </w:r>
      <w:r>
        <w:fldChar w:fldCharType="begin"/>
      </w:r>
      <w:r>
        <w:instrText xml:space="preserve"> PAGEREF _Toc1459 \h </w:instrText>
      </w:r>
      <w:r>
        <w:fldChar w:fldCharType="separate"/>
      </w:r>
      <w:r>
        <w:t>1</w:t>
      </w:r>
      <w:r>
        <w:fldChar w:fldCharType="end"/>
      </w:r>
    </w:p>
    <w:p>
      <w:pPr>
        <w:pStyle w:val="TOC2"/>
      </w:pPr>
      <w:hyperlink w:anchor="_Toc1460">
        <w:r>
          <w:t xml:space="preserve">A.7 Healthcare Workforce</w:t>
        </w:r>
      </w:hyperlink>
      <w:r>
        <w:tab/>
      </w:r>
      <w:r>
        <w:fldChar w:fldCharType="begin"/>
      </w:r>
      <w:r>
        <w:instrText xml:space="preserve"> PAGEREF _Toc1460 \h </w:instrText>
      </w:r>
      <w:r>
        <w:fldChar w:fldCharType="separate"/>
      </w:r>
      <w:r>
        <w:t>1</w:t>
      </w:r>
      <w:r>
        <w:fldChar w:fldCharType="end"/>
      </w:r>
    </w:p>
    <w:p>
      <w:pPr>
        <w:pStyle w:val="TOC2"/>
      </w:pPr>
      <w:hyperlink w:anchor="_Toc1461">
        <w:r>
          <w:t xml:space="preserve">A.8 Clinical Quality Indicators</w:t>
        </w:r>
      </w:hyperlink>
      <w:r>
        <w:tab/>
      </w:r>
      <w:r>
        <w:fldChar w:fldCharType="begin"/>
      </w:r>
      <w:r>
        <w:instrText xml:space="preserve"> PAGEREF _Toc1461 \h </w:instrText>
      </w:r>
      <w:r>
        <w:fldChar w:fldCharType="separate"/>
      </w:r>
      <w:r>
        <w:t>1</w:t>
      </w:r>
      <w:r>
        <w:fldChar w:fldCharType="end"/>
      </w:r>
    </w:p>
    <w:p>
      <w:pPr>
        <w:pStyle w:val="TOC1"/>
      </w:pPr>
      <w:hyperlink w:anchor="_Toc1462">
        <w:r>
          <w:t xml:space="preserve">Appendix B — Act 68 Statutory Timeline and Milestones</w:t>
        </w:r>
      </w:hyperlink>
      <w:r>
        <w:tab/>
      </w:r>
      <w:r>
        <w:fldChar w:fldCharType="begin"/>
      </w:r>
      <w:r>
        <w:instrText xml:space="preserve"> PAGEREF _Toc1462 \h </w:instrText>
      </w:r>
      <w:r>
        <w:fldChar w:fldCharType="separate"/>
      </w:r>
      <w:r>
        <w:t>1</w:t>
      </w:r>
      <w:r>
        <w:fldChar w:fldCharType="end"/>
      </w:r>
    </w:p>
    <w:p>
      <w:pPr>
        <w:pStyle w:val="TOC1"/>
      </w:pPr>
      <w:hyperlink w:anchor="_Toc1464">
        <w:r>
          <w:t xml:space="preserve">Appendix C — The 14-Hospital Centers of Excellence Assignment Framework</w:t>
        </w:r>
      </w:hyperlink>
      <w:r>
        <w:tab/>
      </w:r>
      <w:r>
        <w:fldChar w:fldCharType="begin"/>
      </w:r>
      <w:r>
        <w:instrText xml:space="preserve"> PAGEREF _Toc1464 \h </w:instrText>
      </w:r>
      <w:r>
        <w:fldChar w:fldCharType="separate"/>
      </w:r>
      <w:r>
        <w:t>1</w:t>
      </w:r>
      <w:r>
        <w:fldChar w:fldCharType="end"/>
      </w:r>
    </w:p>
    <w:p>
      <w:pPr>
        <w:pStyle w:val="TOC1"/>
      </w:pPr>
      <w:hyperlink w:anchor="_Toc1465">
        <w:r>
          <w:t xml:space="preserve">Appendix D — AHEAD State Agreement: Key Terms and Provisions</w:t>
        </w:r>
      </w:hyperlink>
      <w:r>
        <w:tab/>
      </w:r>
      <w:r>
        <w:fldChar w:fldCharType="begin"/>
      </w:r>
      <w:r>
        <w:instrText xml:space="preserve"> PAGEREF _Toc1465 \h </w:instrText>
      </w:r>
      <w:r>
        <w:fldChar w:fldCharType="separate"/>
      </w:r>
      <w:r>
        <w:t>1</w:t>
      </w:r>
      <w:r>
        <w:fldChar w:fldCharType="end"/>
      </w:r>
    </w:p>
    <w:p>
      <w:pPr>
        <w:pStyle w:val="TOC1"/>
      </w:pPr>
      <w:hyperlink w:anchor="_Toc1466">
        <w:r>
          <w:t xml:space="preserve">Appendix E — HTR Platform Tools and Methodology Overview</w:t>
        </w:r>
      </w:hyperlink>
      <w:r>
        <w:tab/>
      </w:r>
      <w:r>
        <w:fldChar w:fldCharType="begin"/>
      </w:r>
      <w:r>
        <w:instrText xml:space="preserve"> PAGEREF _Toc1466 \h </w:instrText>
      </w:r>
      <w:r>
        <w:fldChar w:fldCharType="separate"/>
      </w:r>
      <w:r>
        <w:t>1</w:t>
      </w:r>
      <w:r>
        <w:fldChar w:fldCharType="end"/>
      </w:r>
    </w:p>
    <w:p>
      <w:pPr>
        <w:pStyle w:val="TOC1"/>
      </w:pPr>
      <w:hyperlink w:anchor="_Toc1467">
        <w:r>
          <w:t xml:space="preserve">Appendix F — Vermont Transformation Scorecard: 2022 Baseline, 2026 Status, 2028 Target</w:t>
        </w:r>
      </w:hyperlink>
      <w:r>
        <w:tab/>
      </w:r>
      <w:r>
        <w:fldChar w:fldCharType="begin"/>
      </w:r>
      <w:r>
        <w:instrText xml:space="preserve"> PAGEREF _Toc1467 \h </w:instrText>
      </w:r>
      <w:r>
        <w:fldChar w:fldCharType="separate"/>
      </w:r>
      <w:r>
        <w:t>1</w:t>
      </w:r>
      <w:r>
        <w:fldChar w:fldCharType="end"/>
      </w:r>
    </w:p>
    <w:p>
      <w:pPr>
        <w:pStyle w:val="TOC1"/>
      </w:pPr>
      <w:hyperlink w:anchor="_Toc1474">
        <w:r>
          <w:t xml:space="preserve">Appendix G — A Reader’s Guide to the Health Transformation Review Platform</w:t>
        </w:r>
      </w:hyperlink>
      <w:r>
        <w:tab/>
      </w:r>
      <w:r>
        <w:fldChar w:fldCharType="begin"/>
      </w:r>
      <w:r>
        <w:instrText xml:space="preserve"> PAGEREF _Toc1474 \h </w:instrText>
      </w:r>
      <w:r>
        <w:fldChar w:fldCharType="separate"/>
      </w:r>
      <w:r>
        <w:t>1</w:t>
      </w:r>
      <w:r>
        <w:fldChar w:fldCharType="end"/>
      </w:r>
    </w:p>
    <w:p>
      <w:pPr>
        <w:pStyle w:val="TOC2"/>
      </w:pPr>
      <w:hyperlink w:anchor="_Toc1475">
        <w:r>
          <w:t xml:space="preserve">What This Platform Is</w:t>
        </w:r>
      </w:hyperlink>
      <w:r>
        <w:tab/>
      </w:r>
      <w:r>
        <w:fldChar w:fldCharType="begin"/>
      </w:r>
      <w:r>
        <w:instrText xml:space="preserve"> PAGEREF _Toc1475 \h </w:instrText>
      </w:r>
      <w:r>
        <w:fldChar w:fldCharType="separate"/>
      </w:r>
      <w:r>
        <w:t>1</w:t>
      </w:r>
      <w:r>
        <w:fldChar w:fldCharType="end"/>
      </w:r>
    </w:p>
    <w:p>
      <w:pPr>
        <w:pStyle w:val="TOC2"/>
      </w:pPr>
      <w:hyperlink w:anchor="_Toc1476">
        <w:r>
          <w:t xml:space="preserve">Navigating the Platform</w:t>
        </w:r>
      </w:hyperlink>
      <w:r>
        <w:tab/>
      </w:r>
      <w:r>
        <w:fldChar w:fldCharType="begin"/>
      </w:r>
      <w:r>
        <w:instrText xml:space="preserve"> PAGEREF _Toc1476 \h </w:instrText>
      </w:r>
      <w:r>
        <w:fldChar w:fldCharType="separate"/>
      </w:r>
      <w:r>
        <w:t>1</w:t>
      </w:r>
      <w:r>
        <w:fldChar w:fldCharType="end"/>
      </w:r>
    </w:p>
    <w:p>
      <w:pPr>
        <w:pStyle w:val="TOC2"/>
      </w:pPr>
      <w:hyperlink w:anchor="_Toc1477">
        <w:r>
          <w:t xml:space="preserve">The Six Pillars of Intelligence</w:t>
        </w:r>
      </w:hyperlink>
      <w:r>
        <w:tab/>
      </w:r>
      <w:r>
        <w:fldChar w:fldCharType="begin"/>
      </w:r>
      <w:r>
        <w:instrText xml:space="preserve"> PAGEREF _Toc1477 \h </w:instrText>
      </w:r>
      <w:r>
        <w:fldChar w:fldCharType="separate"/>
      </w:r>
      <w:r>
        <w:t>1</w:t>
      </w:r>
      <w:r>
        <w:fldChar w:fldCharType="end"/>
      </w:r>
    </w:p>
    <w:p>
      <w:pPr>
        <w:pStyle w:val="TOC2"/>
      </w:pPr>
      <w:hyperlink w:anchor="_Toc1478">
        <w:r>
          <w:t xml:space="preserve">The Academy</w:t>
        </w:r>
      </w:hyperlink>
      <w:r>
        <w:tab/>
      </w:r>
      <w:r>
        <w:fldChar w:fldCharType="begin"/>
      </w:r>
      <w:r>
        <w:instrText xml:space="preserve"> PAGEREF _Toc1478 \h </w:instrText>
      </w:r>
      <w:r>
        <w:fldChar w:fldCharType="separate"/>
      </w:r>
      <w:r>
        <w:t>1</w:t>
      </w:r>
      <w:r>
        <w:fldChar w:fldCharType="end"/>
      </w:r>
    </w:p>
    <w:p>
      <w:pPr>
        <w:pStyle w:val="TOC2"/>
      </w:pPr>
      <w:hyperlink w:anchor="_Toc1479">
        <w:r>
          <w:t xml:space="preserve">The Research Lab</w:t>
        </w:r>
      </w:hyperlink>
      <w:r>
        <w:tab/>
      </w:r>
      <w:r>
        <w:fldChar w:fldCharType="begin"/>
      </w:r>
      <w:r>
        <w:instrText xml:space="preserve"> PAGEREF _Toc1479 \h </w:instrText>
      </w:r>
      <w:r>
        <w:fldChar w:fldCharType="separate"/>
      </w:r>
      <w:r>
        <w:t>1</w:t>
      </w:r>
      <w:r>
        <w:fldChar w:fldCharType="end"/>
      </w:r>
    </w:p>
    <w:p>
      <w:pPr>
        <w:pStyle w:val="TOC2"/>
      </w:pPr>
      <w:hyperlink w:anchor="_Toc1480">
        <w:r>
          <w:t xml:space="preserve">States &amp; Programs</w:t>
        </w:r>
      </w:hyperlink>
      <w:r>
        <w:tab/>
      </w:r>
      <w:r>
        <w:fldChar w:fldCharType="begin"/>
      </w:r>
      <w:r>
        <w:instrText xml:space="preserve"> PAGEREF _Toc1480 \h </w:instrText>
      </w:r>
      <w:r>
        <w:fldChar w:fldCharType="separate"/>
      </w:r>
      <w:r>
        <w:t>1</w:t>
      </w:r>
      <w:r>
        <w:fldChar w:fldCharType="end"/>
      </w:r>
    </w:p>
    <w:p>
      <w:pPr>
        <w:pStyle w:val="TOC2"/>
      </w:pPr>
      <w:hyperlink w:anchor="_Toc1481">
        <w:r>
          <w:t xml:space="preserve">Advisory &amp; Services and the AI Analyst</w:t>
        </w:r>
      </w:hyperlink>
      <w:r>
        <w:tab/>
      </w:r>
      <w:r>
        <w:fldChar w:fldCharType="begin"/>
      </w:r>
      <w:r>
        <w:instrText xml:space="preserve"> PAGEREF _Toc1481 \h </w:instrText>
      </w:r>
      <w:r>
        <w:fldChar w:fldCharType="separate"/>
      </w:r>
      <w:r>
        <w:t>1</w:t>
      </w:r>
      <w:r>
        <w:fldChar w:fldCharType="end"/>
      </w:r>
    </w:p>
    <w:p>
      <w:pPr>
        <w:pStyle w:val="TOC2"/>
      </w:pPr>
      <w:hyperlink w:anchor="_Toc1482">
        <w:r>
          <w:t xml:space="preserve">Reader Profiles and Recommended Paths</w:t>
        </w:r>
      </w:hyperlink>
      <w:r>
        <w:tab/>
      </w:r>
      <w:r>
        <w:fldChar w:fldCharType="begin"/>
      </w:r>
      <w:r>
        <w:instrText xml:space="preserve"> PAGEREF _Toc1482 \h </w:instrText>
      </w:r>
      <w:r>
        <w:fldChar w:fldCharType="separate"/>
      </w:r>
      <w:r>
        <w:t>1</w:t>
      </w:r>
      <w:r>
        <w:fldChar w:fldCharType="end"/>
      </w:r>
    </w:p>
    <w:p>
      <w:pPr>
        <w:pStyle w:val="TOC1"/>
      </w:pPr>
      <w:hyperlink w:anchor="_Toc1483">
        <w:r>
          <w:t xml:space="preserve">Appendix H — Adapting and Stress-Testing the Framework</w:t>
        </w:r>
      </w:hyperlink>
      <w:r>
        <w:tab/>
      </w:r>
      <w:r>
        <w:fldChar w:fldCharType="begin"/>
      </w:r>
      <w:r>
        <w:instrText xml:space="preserve"> PAGEREF _Toc1483 \h </w:instrText>
      </w:r>
      <w:r>
        <w:fldChar w:fldCharType="separate"/>
      </w:r>
      <w:r>
        <w:t>1</w:t>
      </w:r>
      <w:r>
        <w:fldChar w:fldCharType="end"/>
      </w:r>
    </w:p>
    <w:p>
      <w:pPr>
        <w:pStyle w:val="TOC2"/>
      </w:pPr>
      <w:hyperlink w:anchor="_Toc1484">
        <w:r>
          <w:t xml:space="preserve">H.1 Glossary of Vermont-Specific Acronyms and Institutions</w:t>
        </w:r>
      </w:hyperlink>
      <w:r>
        <w:tab/>
      </w:r>
      <w:r>
        <w:fldChar w:fldCharType="begin"/>
      </w:r>
      <w:r>
        <w:instrText xml:space="preserve"> PAGEREF _Toc1484 \h </w:instrText>
      </w:r>
      <w:r>
        <w:fldChar w:fldCharType="separate"/>
      </w:r>
      <w:r>
        <w:t>1</w:t>
      </w:r>
      <w:r>
        <w:fldChar w:fldCharType="end"/>
      </w:r>
    </w:p>
    <w:p>
      <w:pPr>
        <w:pStyle w:val="TOC2"/>
      </w:pPr>
      <w:hyperlink w:anchor="_Toc1485">
        <w:r>
          <w:t xml:space="preserve">H.2 Worksheet — Adapt This Framework to Your State</w:t>
        </w:r>
      </w:hyperlink>
      <w:r>
        <w:tab/>
      </w:r>
      <w:r>
        <w:fldChar w:fldCharType="begin"/>
      </w:r>
      <w:r>
        <w:instrText xml:space="preserve"> PAGEREF _Toc1485 \h </w:instrText>
      </w:r>
      <w:r>
        <w:fldChar w:fldCharType="separate"/>
      </w:r>
      <w:r>
        <w:t>1</w:t>
      </w:r>
      <w:r>
        <w:fldChar w:fldCharType="end"/>
      </w:r>
    </w:p>
    <w:p>
      <w:pPr>
        <w:pStyle w:val="TOC2"/>
      </w:pPr>
      <w:hyperlink w:anchor="_Toc1486">
        <w:r>
          <w:t xml:space="preserve">H.3 The Transition Window — Financing FY2027–2030</w:t>
        </w:r>
      </w:hyperlink>
      <w:r>
        <w:tab/>
      </w:r>
      <w:r>
        <w:fldChar w:fldCharType="begin"/>
      </w:r>
      <w:r>
        <w:instrText xml:space="preserve"> PAGEREF _Toc1486 \h </w:instrText>
      </w:r>
      <w:r>
        <w:fldChar w:fldCharType="separate"/>
      </w:r>
      <w:r>
        <w:t>1</w:t>
      </w:r>
      <w:r>
        <w:fldChar w:fldCharType="end"/>
      </w:r>
    </w:p>
    <w:p>
      <w:pPr>
        <w:pStyle w:val="TOC2"/>
      </w:pPr>
      <w:hyperlink w:anchor="_Toc1489">
        <w:r>
          <w:t xml:space="preserve">H.4 Two Clocks — Reconciling Act 68 and AHEAD Cohort 2 Timelines</w:t>
        </w:r>
      </w:hyperlink>
      <w:r>
        <w:tab/>
      </w:r>
      <w:r>
        <w:fldChar w:fldCharType="begin"/>
      </w:r>
      <w:r>
        <w:instrText xml:space="preserve"> PAGEREF _Toc1489 \h </w:instrText>
      </w:r>
      <w:r>
        <w:fldChar w:fldCharType="separate"/>
      </w:r>
      <w:r>
        <w:t>1</w:t>
      </w:r>
      <w:r>
        <w:fldChar w:fldCharType="end"/>
      </w:r>
    </w:p>
    <w:p>
      <w:pPr>
        <w:pStyle w:val="TOC2"/>
      </w:pPr>
      <w:hyperlink w:anchor="_Toc1490">
        <w:r>
          <w:t xml:space="preserve">H.5 Enforcement Mechanics — What “Mandatory” Means in Practice</w:t>
        </w:r>
      </w:hyperlink>
      <w:r>
        <w:tab/>
      </w:r>
      <w:r>
        <w:fldChar w:fldCharType="begin"/>
      </w:r>
      <w:r>
        <w:instrText xml:space="preserve"> PAGEREF _Toc1490 \h </w:instrText>
      </w:r>
      <w:r>
        <w:fldChar w:fldCharType="separate"/>
      </w:r>
      <w:r>
        <w:t>1</w:t>
      </w:r>
      <w:r>
        <w:fldChar w:fldCharType="end"/>
      </w:r>
    </w:p>
    <w:p>
      <w:pPr>
        <w:pStyle w:val="TOC1"/>
      </w:pPr>
      <w:hyperlink w:anchor="_Toc1493">
        <w:r>
          <w:t xml:space="preserve">Appendix I — The HTR Lab Workbook: A Six-Pillar Practicum</w:t>
        </w:r>
      </w:hyperlink>
      <w:r>
        <w:tab/>
      </w:r>
      <w:r>
        <w:fldChar w:fldCharType="begin"/>
      </w:r>
      <w:r>
        <w:instrText xml:space="preserve"> PAGEREF _Toc1493 \h </w:instrText>
      </w:r>
      <w:r>
        <w:fldChar w:fldCharType="separate"/>
      </w:r>
      <w:r>
        <w:t>1</w:t>
      </w:r>
      <w:r>
        <w:fldChar w:fldCharType="end"/>
      </w:r>
    </w:p>
    <w:p>
      <w:pPr>
        <w:pStyle w:val="TOC2"/>
      </w:pPr>
      <w:hyperlink w:anchor="_Toc1494">
        <w:r>
          <w:t xml:space="preserve">How to Use This Workbook</w:t>
        </w:r>
      </w:hyperlink>
      <w:r>
        <w:tab/>
      </w:r>
      <w:r>
        <w:fldChar w:fldCharType="begin"/>
      </w:r>
      <w:r>
        <w:instrText xml:space="preserve"> PAGEREF _Toc1494 \h </w:instrText>
      </w:r>
      <w:r>
        <w:fldChar w:fldCharType="separate"/>
      </w:r>
      <w:r>
        <w:t>1</w:t>
      </w:r>
      <w:r>
        <w:fldChar w:fldCharType="end"/>
      </w:r>
    </w:p>
    <w:p>
      <w:pPr>
        <w:pStyle w:val="TOC2"/>
      </w:pPr>
      <w:hyperlink w:anchor="_Toc1495">
        <w:r>
          <w:t xml:space="preserve">Stage 1 — Policy: Establish the Mandate</w:t>
        </w:r>
      </w:hyperlink>
      <w:r>
        <w:tab/>
      </w:r>
      <w:r>
        <w:fldChar w:fldCharType="begin"/>
      </w:r>
      <w:r>
        <w:instrText xml:space="preserve"> PAGEREF _Toc1495 \h </w:instrText>
      </w:r>
      <w:r>
        <w:fldChar w:fldCharType="separate"/>
      </w:r>
      <w:r>
        <w:t>1</w:t>
      </w:r>
      <w:r>
        <w:fldChar w:fldCharType="end"/>
      </w:r>
    </w:p>
    <w:p>
      <w:pPr>
        <w:pStyle w:val="TOC2"/>
      </w:pPr>
      <w:hyperlink w:anchor="_Toc1496">
        <w:r>
          <w:t xml:space="preserve">Stage 2 — Technology: Build the Substrate</w:t>
        </w:r>
      </w:hyperlink>
      <w:r>
        <w:tab/>
      </w:r>
      <w:r>
        <w:fldChar w:fldCharType="begin"/>
      </w:r>
      <w:r>
        <w:instrText xml:space="preserve"> PAGEREF _Toc1496 \h </w:instrText>
      </w:r>
      <w:r>
        <w:fldChar w:fldCharType="separate"/>
      </w:r>
      <w:r>
        <w:t>1</w:t>
      </w:r>
      <w:r>
        <w:fldChar w:fldCharType="end"/>
      </w:r>
    </w:p>
    <w:p>
      <w:pPr>
        <w:pStyle w:val="TOC2"/>
      </w:pPr>
      <w:hyperlink w:anchor="_Toc1497">
        <w:r>
          <w:t xml:space="preserve">Stage 3 — Economics: Put Incentives on a Visible System</w:t>
        </w:r>
      </w:hyperlink>
      <w:r>
        <w:tab/>
      </w:r>
      <w:r>
        <w:fldChar w:fldCharType="begin"/>
      </w:r>
      <w:r>
        <w:instrText xml:space="preserve"> PAGEREF _Toc1497 \h </w:instrText>
      </w:r>
      <w:r>
        <w:fldChar w:fldCharType="separate"/>
      </w:r>
      <w:r>
        <w:t>1</w:t>
      </w:r>
      <w:r>
        <w:fldChar w:fldCharType="end"/>
      </w:r>
    </w:p>
    <w:p>
      <w:pPr>
        <w:pStyle w:val="TOC2"/>
      </w:pPr>
      <w:hyperlink w:anchor="_Toc1498">
        <w:r>
          <w:t xml:space="preserve">Stage 4 — Clinical: Redesign Care on Aligned Incentives</w:t>
        </w:r>
      </w:hyperlink>
      <w:r>
        <w:tab/>
      </w:r>
      <w:r>
        <w:fldChar w:fldCharType="begin"/>
      </w:r>
      <w:r>
        <w:instrText xml:space="preserve"> PAGEREF _Toc1498 \h </w:instrText>
      </w:r>
      <w:r>
        <w:fldChar w:fldCharType="separate"/>
      </w:r>
      <w:r>
        <w:t>1</w:t>
      </w:r>
      <w:r>
        <w:fldChar w:fldCharType="end"/>
      </w:r>
    </w:p>
    <w:p>
      <w:pPr>
        <w:pStyle w:val="TOC2"/>
      </w:pPr>
      <w:hyperlink w:anchor="_Toc1499">
        <w:r>
          <w:t xml:space="preserve">Stage 5 — Equity: Calibrate for the Gap, Not the Average</w:t>
        </w:r>
      </w:hyperlink>
      <w:r>
        <w:tab/>
      </w:r>
      <w:r>
        <w:fldChar w:fldCharType="begin"/>
      </w:r>
      <w:r>
        <w:instrText xml:space="preserve"> PAGEREF _Toc1499 \h </w:instrText>
      </w:r>
      <w:r>
        <w:fldChar w:fldCharType="separate"/>
      </w:r>
      <w:r>
        <w:t>1</w:t>
      </w:r>
      <w:r>
        <w:fldChar w:fldCharType="end"/>
      </w:r>
    </w:p>
    <w:p>
      <w:pPr>
        <w:pStyle w:val="TOC2"/>
      </w:pPr>
      <w:hyperlink w:anchor="_Toc1500">
        <w:r>
          <w:t xml:space="preserve">Stage 6 — Operations: Close the Execution Gap</w:t>
        </w:r>
      </w:hyperlink>
      <w:r>
        <w:tab/>
      </w:r>
      <w:r>
        <w:fldChar w:fldCharType="begin"/>
      </w:r>
      <w:r>
        <w:instrText xml:space="preserve"> PAGEREF _Toc1500 \h </w:instrText>
      </w:r>
      <w:r>
        <w:fldChar w:fldCharType="separate"/>
      </w:r>
      <w:r>
        <w:t>1</w:t>
      </w:r>
      <w:r>
        <w:fldChar w:fldCharType="end"/>
      </w:r>
    </w:p>
    <w:p>
      <w:pPr>
        <w:pStyle w:val="TOC1"/>
      </w:pPr>
      <w:hyperlink w:anchor="_Toc1501">
        <w:r>
          <w:t xml:space="preserve">Figure Index</w:t>
        </w:r>
      </w:hyperlink>
      <w:r>
        <w:tab/>
      </w:r>
      <w:r>
        <w:fldChar w:fldCharType="begin"/>
      </w:r>
      <w:r>
        <w:instrText xml:space="preserve"> PAGEREF _Toc1501 \h </w:instrText>
      </w:r>
      <w:r>
        <w:fldChar w:fldCharType="separate"/>
      </w:r>
      <w:r>
        <w:t>1</w:t>
      </w:r>
      <w:r>
        <w:fldChar w:fldCharType="end"/>
      </w:r>
    </w:p>
    <w:p>
      <w:pPr>
        <w:pStyle w:val="TOC1"/>
      </w:pPr>
      <w:hyperlink w:anchor="_Toc1502">
        <w:r>
          <w:t xml:space="preserve">Bibliography and Source Notes</w:t>
        </w:r>
      </w:hyperlink>
      <w:r>
        <w:tab/>
      </w:r>
      <w:r>
        <w:fldChar w:fldCharType="begin"/>
      </w:r>
      <w:r>
        <w:instrText xml:space="preserve"> PAGEREF _Toc1502 \h </w:instrText>
      </w:r>
      <w:r>
        <w:fldChar w:fldCharType="separate"/>
      </w:r>
      <w:r>
        <w:t>1</w:t>
      </w:r>
      <w:r>
        <w:fldChar w:fldCharType="end"/>
      </w:r>
    </w:p>
    <w:p>
      <w:pPr>
        <w:pStyle w:val="TOC1"/>
      </w:pPr>
      <w:hyperlink w:anchor="_Toc1503">
        <w:r>
          <w:t xml:space="preserve">Index (Selected)</w:t>
        </w:r>
      </w:hyperlink>
      <w:r>
        <w:tab/>
      </w:r>
      <w:r>
        <w:fldChar w:fldCharType="begin"/>
      </w:r>
      <w:r>
        <w:instrText xml:space="preserve"> PAGEREF _Toc1503 \h </w:instrText>
      </w:r>
      <w:r>
        <w:fldChar w:fldCharType="separate"/>
      </w:r>
      <w:r>
        <w:t>1</w:t>
      </w:r>
      <w:r>
        <w:fldChar w:fldCharType="end"/>
      </w:r>
      <w:r>
        <w:fldChar w:fldCharType="end"/>
      </w:r>
    </w:p>
    <w:p>
      <w:pPr>
        <w:sectPr w:rsidR="00FC693F" w:rsidRPr="0006063C" w:rsidSect="00034616">
          <w:pgSz w:h="15840" w:w="12240"/>
          <w:pgMar w:bottom="1296" w:footer="720" w:gutter="0" w:header="720" w:left="1584" w:right="1584" w:top="1296"/>
          <w:cols w:space="720"/>
          <w:docGrid w:linePitch="360"/>
          <w:titlePg/>
        </w:sectPr>
      </w:pPr>
      <w:r>
        <w:br w:type="page"/>
      </w:r>
    </w:p>
    <w:p>
      <w:pPr>
        <w:pStyle w:val="Heading1"/>
      </w:pPr>
      <w:bookmarkStart w:id="1001" w:name="_Toc1000"/>
      <w:r>
        <w:rPr>
          <w:b/>
          <w:bCs/>
          <w:color w:val="161B22"/>
        </w:rPr>
        <w:t xml:space="preserve">PREFACE</w:t>
      </w:r>
      <w:bookmarkEnd w:id="1001"/>
    </w:p>
    <w:p>
      <w:pPr>
        <w:pStyle w:val="FirstParagraph"/>
      </w:pPr>
      <w:r>
        <w:t xml:space="preserve">This book began with a room full of people who already knew something was wrong.</w:t>
      </w:r>
    </w:p>
    <w:p>
      <w:pPr>
        <w:pStyle w:val="BodyText"/>
      </w:pPr>
      <w:r>
        <w:t xml:space="preserve">In September 2024, the Green Mountain Care Board (GMCB) of Vermont convened the public meeting — recounted in detail in the Introduction that follows — at which the consulting firm Oliver Wyman presented the findings of a year-long, $1 million statewide hospital systems analysis. The people in that room had come because they suspected what was about to be confirmed, and because some part of them still hoped they were wrong.</w:t>
      </w:r>
    </w:p>
    <w:p>
      <w:pPr>
        <w:pStyle w:val="BodyText"/>
      </w:pPr>
      <w: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while household income grew 22%. The working-age population that funds the cross-subsidy keeping rural hospitals alive was declining. The over-65 population was growing toward 30% of the state.</w:t>
      </w:r>
    </w:p>
    <w:p>
      <w:pPr>
        <w:pStyle w:val="BodyText"/>
      </w:pPr>
      <w: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that no state has done with this level of statutory specificity and capital commitment: mandate structural change.</w:t>
      </w:r>
    </w:p>
    <w:p>
      <w:pPr>
        <w:pStyle w:val="BodyText"/>
      </w:pPr>
      <w: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pPr>
        <w:pStyle w:val="BodyText"/>
      </w:pPr>
      <w:r>
        <w:t xml:space="preserve">The framework is organized around six pillars: Policy, Technology, Economics, Clinical, Equity,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six pillars must move together — which means the people responsible for each pillar must understand all the others.</w:t>
      </w:r>
    </w:p>
    <w:p>
      <w:pPr>
        <w:spacing w:before="0" w:after="0" w:line="160" w:lineRule="auto"/>
      </w:pPr>
    </w:p>
    <w:p>
      <w:pPr>
        <w:pStyle w:val="BodyText"/>
      </w:pPr>
      <w:r>
        <w:t xml:space="preserve">Vermont runs through this book as its primary teaching case. Vermont is in this book not because it is large or powerful, but because it is transparent. The combination of a small state’s intimacy, a strong public-sector analytical tradition, and an active regulatory body in the Agency of Human Services (AHS) and the GMCB has produced a documentary record — the Oliver Wyman analysis, the GMCB’s monthly hospital data, the AHS transformation reports, the AHEAD State Agreement — that gives this book a foundation most states cannot match. Vermont’s transformation is happening in public, with detailed public data, and the lessons transfer.</w:t>
      </w:r>
    </w:p>
    <w:p>
      <w:pPr>
        <w:pStyle w:val="BodyText"/>
      </w:pPr>
      <w:r>
        <w:t xml:space="preserve">This book is also not a prediction. The transformations described here are underway but unfinished. Whether Vermont’s hospital system stabilizes or contracts, whether global budgets reduce costs or constrain access, whether the Agency of Human Services can execute the restructuring its mandate requires — these are genuinely uncertain. What this book provides is the analytical framework for understanding what is happening and why, and for contributing to better decisions as the story unfolds. The decisions, and their consequences, belong to the people who make them.</w:t>
      </w:r>
    </w:p>
    <w:p>
      <w:pPr>
        <w:pStyle w:val="BodyText"/>
      </w:pPr>
      <w:r>
        <w:t xml:space="preserve">Finally, this book is not, on its own, the whole of the argument. This book is the intellectual foundation of the</w:t>
      </w:r>
      <w:r>
        <w:t xml:space="preserve"> </w:t>
      </w:r>
      <w:r>
        <w:rPr>
          <w:b/>
          <w:bCs/>
        </w:rPr>
        <w:t xml:space="preserve">Health Transformation Review</w:t>
      </w:r>
      <w:r>
        <w:t xml:space="preserve">, an open-source integrated ecosystem with three parts designed to work as one:</w:t>
      </w:r>
    </w:p>
    <w:p>
      <w:pPr>
        <w:pStyle w:val="Compact"/>
        <w:numPr>
          <w:ilvl w:val="0"/>
          <w:numId w:val="1001"/>
        </w:numPr>
        <w:keepLines w:val="true"/>
        <w:keepNext w:val="true"/>
      </w:pPr>
      <w:r>
        <w:t xml:space="preserve">The book (</w:t>
      </w:r>
      <w:hyperlink r:id="rId20">
        <w:r>
          <w:rPr>
            <w:rStyle w:val="Hyperlink"/>
          </w:rPr>
          <w:t xml:space="preserve">healthtransformationreview.org/book</w:t>
        </w:r>
      </w:hyperlink>
      <w:r>
        <w:t xml:space="preserve">) you are reading — the framework, the dependency logic, the Vermont evidence, and the national comparisons.</w:t>
      </w:r>
    </w:p>
    <w:p>
      <w:pPr>
        <w:pStyle w:val="Compact"/>
        <w:numPr>
          <w:ilvl w:val="0"/>
          <w:numId w:val="1001"/>
        </w:numPr>
        <w:keepLines w:val="true"/>
        <w:keepNext w:val="true"/>
      </w:pPr>
      <w:r>
        <w:t xml:space="preserve">The platform (</w:t>
      </w:r>
      <w:hyperlink r:id="rId21">
        <w:r>
          <w:rPr>
            <w:rStyle w:val="Hyperlink"/>
          </w:rPr>
          <w:t xml:space="preserve">healthtransformationreview.org</w:t>
        </w:r>
      </w:hyperlink>
      <w:r>
        <w:t xml:space="preserve">) — six pillar hubs, a</w:t>
      </w:r>
      <w:r>
        <w:t xml:space="preserve"> </w:t>
      </w:r>
      <w:r>
        <w:rPr>
          <w:b/>
          <w:bCs/>
        </w:rPr>
        <w:t xml:space="preserve">Research Lab</w:t>
      </w:r>
      <w:r>
        <w:t xml:space="preserve"> </w:t>
      </w:r>
      <w:r>
        <w:t xml:space="preserve">of nearly forty interactive analytical tools, an</w:t>
      </w:r>
      <w:r>
        <w:t xml:space="preserve"> </w:t>
      </w:r>
      <w:r>
        <w:rPr>
          <w:b/>
          <w:bCs/>
        </w:rPr>
        <w:t xml:space="preserve">AI Analyst</w:t>
      </w:r>
      <w:r>
        <w:t xml:space="preserve"> </w:t>
      </w:r>
      <w:r>
        <w:t xml:space="preserve">grounded in this book and Vermont’s public-domain source documents, a fifty-state dashboard, and a daily intelligence feed. Every argument in these pages that can be modeled</w:t>
      </w:r>
      <w:r>
        <w:t xml:space="preserve"> </w:t>
      </w:r>
      <w:r>
        <w:rPr>
          <w:i/>
          <w:iCs/>
        </w:rPr>
        <w:t xml:space="preserve">is</w:t>
      </w:r>
      <w:r>
        <w:t xml:space="preserve"> </w:t>
      </w:r>
      <w:r>
        <w:t xml:space="preserve">modeled there.</w:t>
      </w:r>
    </w:p>
    <w:p>
      <w:pPr>
        <w:pStyle w:val="Compact"/>
        <w:numPr>
          <w:ilvl w:val="0"/>
          <w:numId w:val="1001"/>
        </w:numPr>
        <w:keepNext w:val="false"/>
        <w:keepLines w:val="true"/>
      </w:pPr>
      <w:r>
        <w:t xml:space="preserve">The Academy (</w:t>
      </w:r>
      <w:hyperlink r:id="rId22">
        <w:r>
          <w:rPr>
            <w:rStyle w:val="Hyperlink"/>
          </w:rPr>
          <w:t xml:space="preserve">healthtransformationreview.org/academy</w:t>
        </w:r>
      </w:hyperlink>
      <w:r>
        <w:t xml:space="preserve">) — a structured executive-education layer of courses, tracks, and lessons that teach the concepts hands-on and link directly to the tools that apply them.</w:t>
      </w:r>
    </w:p>
    <w:p>
      <w:pPr>
        <w:pStyle w:val="FirstParagraph"/>
        <w:keepNext w:val="false"/>
      </w:pPr>
      <w:r>
        <w:t xml:space="preserve">The three are deliberately cross-linked. Each pillar chapter ends with a</w:t>
      </w:r>
      <w:r>
        <w:t xml:space="preserve"> </w:t>
      </w:r>
      <w:r>
        <w:rPr>
          <w:i/>
          <w:iCs/>
        </w:rPr>
        <w:t xml:space="preserve">“Work This Chapter on the Platform”</w:t>
      </w:r>
      <w:r>
        <w:t xml:space="preserve"> </w:t>
      </w:r>
      <w:r>
        <w:t xml:space="preserve">guide that maps its argument to the specific tools that let you manipulate it; the platform’s tools carry</w:t>
      </w:r>
      <w:r>
        <w:t xml:space="preserve"> </w:t>
      </w:r>
      <w:r>
        <w:rPr>
          <w:i/>
          <w:iCs/>
        </w:rPr>
        <w:t xml:space="preserve">“From the Book”</w:t>
      </w:r>
      <w:r>
        <w:t xml:space="preserve"> </w:t>
      </w:r>
      <w:r>
        <w:t xml:space="preserve">callouts back to the chapters that explain them; and the AI Analyst can answer a question and route you to the right tool or lesson in the same breath.</w:t>
      </w:r>
      <w:r>
        <w:t xml:space="preserve"> </w:t>
      </w:r>
      <w:r>
        <w:rPr>
          <w:b/>
          <w:bCs/>
        </w:rPr>
        <w:t xml:space="preserve">Everything in the ecosystem is, in effect, an interactive expression of this book’s framework.</w:t>
      </w:r>
      <w:r>
        <w:t xml:space="preserve"> </w:t>
      </w:r>
      <w:r>
        <w:t xml:space="preserve">You can read the book alone and it stands on its own — but the framework is meant to be</w:t>
      </w:r>
      <w:r>
        <w:t xml:space="preserve"> </w:t>
      </w:r>
      <w:r>
        <w:rPr>
          <w:i/>
          <w:iCs/>
        </w:rPr>
        <w:t xml:space="preserve">run</w:t>
      </w:r>
      <w:r>
        <w:t xml:space="preserve">, not just read, and the platform is where you run it.</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EXPLORE THE ECOSYSTEM</w:t>
            </w:r>
          </w:p>
          <w:p>
            <w:pPr>
              <w:spacing w:after="60" w:line="264" w:lineRule="auto"/>
            </w:pPr>
            <w:r>
              <w:rPr>
                <w:sz w:val="20"/>
                <w:szCs w:val="20"/>
              </w:rPr>
              <w:t xml:space="preserve">The full ecosystem is at</w:t>
            </w:r>
            <w:r>
              <w:rPr>
                <w:sz w:val="20"/>
                <w:szCs w:val="20"/>
              </w:rPr>
              <w:t xml:space="preserve"> </w:t>
            </w:r>
            <w:hyperlink r:id="rId21">
              <w:r>
                <w:rPr>
                  <w:rStyle w:val="Hyperlink"/>
                  <w:b/>
                  <w:bCs/>
                </w:rPr>
                <w:t xml:space="preserve">healthtransformationreview.org</w:t>
              </w:r>
            </w:hyperlink>
            <w:r>
              <w:rPr>
                <w:sz w:val="20"/>
                <w:szCs w:val="20"/>
              </w:rPr>
              <w:t xml:space="preserve"> </w:t>
            </w:r>
            <w:r>
              <w:rPr>
                <w:sz w:val="20"/>
                <w:szCs w:val="20"/>
              </w:rPr>
              <w:t xml:space="preserve">— read the book online with audio narration at</w:t>
            </w:r>
            <w:r>
              <w:rPr>
                <w:sz w:val="20"/>
                <w:szCs w:val="20"/>
              </w:rPr>
              <w:t xml:space="preserve"> </w:t>
            </w:r>
            <w:hyperlink r:id="rId20">
              <w:r>
                <w:rPr>
                  <w:rStyle w:val="Hyperlink"/>
                </w:rPr>
                <w:t xml:space="preserve">/book</w:t>
              </w:r>
            </w:hyperlink>
            <w:r>
              <w:rPr>
                <w:sz w:val="20"/>
                <w:szCs w:val="20"/>
              </w:rPr>
              <w:t xml:space="preserve">, open the</w:t>
            </w:r>
            <w:r>
              <w:rPr>
                <w:sz w:val="20"/>
                <w:szCs w:val="20"/>
              </w:rPr>
              <w:t xml:space="preserve"> </w:t>
            </w:r>
            <w:hyperlink r:id="rId23">
              <w:r>
                <w:rPr>
                  <w:rStyle w:val="Hyperlink"/>
                </w:rPr>
                <w:t xml:space="preserve">Research Lab</w:t>
              </w:r>
            </w:hyperlink>
            <w:r>
              <w:rPr>
                <w:sz w:val="20"/>
                <w:szCs w:val="20"/>
              </w:rPr>
              <w:t xml:space="preserve">, ask the</w:t>
            </w:r>
            <w:r>
              <w:rPr>
                <w:sz w:val="20"/>
                <w:szCs w:val="20"/>
              </w:rPr>
              <w:t xml:space="preserve"> </w:t>
            </w:r>
            <w:hyperlink r:id="rId24">
              <w:r>
                <w:rPr>
                  <w:rStyle w:val="Hyperlink"/>
                </w:rPr>
                <w:t xml:space="preserve">AI Analyst</w:t>
              </w:r>
            </w:hyperlink>
            <w:r>
              <w:rPr>
                <w:sz w:val="20"/>
                <w:szCs w:val="20"/>
              </w:rPr>
              <w:t xml:space="preserve">, or start a course in the</w:t>
            </w:r>
            <w:r>
              <w:rPr>
                <w:sz w:val="20"/>
                <w:szCs w:val="20"/>
              </w:rPr>
              <w:t xml:space="preserve"> </w:t>
            </w:r>
            <w:hyperlink r:id="rId22">
              <w:r>
                <w:rPr>
                  <w:rStyle w:val="Hyperlink"/>
                </w:rPr>
                <w:t xml:space="preserve">Academy</w:t>
              </w:r>
            </w:hyperlink>
            <w:r>
              <w:rPr>
                <w:sz w:val="20"/>
                <w:szCs w:val="20"/>
              </w:rPr>
              <w:t xml:space="preserve">. The Introduction that follows explains how the three components fit together and which to start with for your role.</w:t>
            </w:r>
          </w:p>
        </w:tc>
      </w:tr>
    </w:tbl>
    <w:p>
      <w:pPr>
        <w:spacing w:after="120"/>
      </w:pPr>
    </w:p>
    <w:p>
      <w:pPr>
        <w:pStyle w:val="BodyText"/>
      </w:pPr>
      <w:r>
        <w:t xml:space="preserve">The reader profiles and recommended reading paths are in the Introduction that follows. Use them. This material rewards a reading strategy calibrated to your role and your decisions — and to the tools and courses that go with it — not a linear march through the whole book.</w:t>
      </w:r>
    </w:p>
    <w:p>
      <w:pPr>
        <w:pStyle w:val="BodyText"/>
      </w:pPr>
      <w:r>
        <w:t xml:space="preserve">January 2026</w:t>
      </w:r>
    </w:p>
    <w:p>
      <w:r>
        <w:br w:type="page"/>
      </w:r>
    </w:p>
    <w:p>
      <w:pPr>
        <w:pStyle w:val="Heading1"/>
      </w:pPr>
      <w:bookmarkStart w:id="1002" w:name="_Toc1001"/>
      <w:r>
        <w:rPr>
          <w:b/>
          <w:bCs/>
          <w:color w:val="161B22"/>
        </w:rPr>
        <w:t xml:space="preserve">INTRODUCTION</w:t>
      </w:r>
      <w:bookmarkEnd w:id="1002"/>
    </w:p>
    <w:p>
      <w:pPr>
        <w:pStyle w:val="Heading2"/>
        <w:pBdr>
          <w:top w:val="single" w:sz="6" w:space="10" w:color="C9D2DF"/>
        </w:pBdr>
      </w:pPr>
      <w:bookmarkStart w:id="1003" w:name="_Toc1002"/>
      <w:r>
        <w:rPr>
          <w:b/>
          <w:bCs/>
          <w:color w:val="161B22"/>
        </w:rPr>
        <w:t xml:space="preserve">September 18, 2024</w:t>
      </w:r>
      <w:bookmarkEnd w:id="1003"/>
    </w:p>
    <w:p>
      <w:pPr>
        <w:pStyle w:val="FirstParagraph"/>
      </w:pPr>
      <w:r>
        <w:t xml:space="preserve">The room was full before the presentation started.</w:t>
      </w:r>
    </w:p>
    <w:p>
      <w:pPr>
        <w:pStyle w:val="BodyText"/>
      </w:pPr>
      <w:r>
        <w:t xml:space="preserve">The Green Mountain Care Board of Vermont had convened a public meeting at which Oliver Wyman Healthcare and Life Sciences Group would present findings from a year-long, $1 million statewide hospital systems analysis commissioned under Act 167 of 2022. The analysis had not been produced in isolation: over the preceding year, Oliver Wyman had run more than 230 meetings across all 14 of Vermont’s Hospital Service Areas, engaging over 3,100 participants from more than 100 organizations — hospital leaders, state legislators and agency officials, the Vermont Hospital Association,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pPr>
        <w:pStyle w:val="BodyText"/>
      </w:pPr>
      <w:r>
        <w:t xml:space="preserve">They were not wrong.</w:t>
      </w:r>
    </w:p>
    <w:p>
      <w:pPr>
        <w:pStyle w:val="BodyText"/>
      </w:pPr>
      <w: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in the optimistic scenario to $2.4 billion in the realistic one.</w:t>
      </w:r>
    </w:p>
    <w:p>
      <w:pPr>
        <w:pStyle w:val="BodyText"/>
      </w:pPr>
      <w:r>
        <w:t xml:space="preserve">The next slide showed premiums. The average silver exchange plan premium had risen from $456 per month in 2018 to $948 in 2024 — a 108% increase. Median household income had grown 22% over the same period. Out-of-pocket maximums had more than doubled. The University of Vermont Medical Center, with approximately 50% of the state’s hospital market share, had charged commercial payers roughly 417% of Medicare rates for outpatient services in 2022, according to the RAND hospital price data cited in the Oliver Wyman analysis — among the highest such ratios in the country, and consistent with RAND’s separate finding that UVMMC is the most expensive hospital in Vermont. Those charges flowed directly into the premiums that Vermont families were paying, with no regulatory brake.</w:t>
      </w:r>
    </w:p>
    <w:p>
      <w:pPr>
        <w:pStyle w:val="BodyText"/>
      </w:pPr>
      <w:r>
        <w:t xml:space="preserve">The final slide showed the demographics. Vermont’s working-age population was projected to decline 13% by 2040 — from 367,000 to approximately 318,000 — while the over-65 population rose from 21.7% toward 30% of the state’s total. This shift would progressively move patients from commercial insurance, which pays above cost and funds the cross-subsidy that sustains hospitals, into Medicare and Medicaid, both of which reimburse below cost. The slide did not say the words</w:t>
      </w:r>
      <w:r>
        <w:t xml:space="preserve"> </w:t>
      </w:r>
      <w:r>
        <w:t xml:space="preserve">“system collapse.”</w:t>
      </w:r>
      <w:r>
        <w:t xml:space="preserve"> </w:t>
      </w:r>
      <w:r>
        <w:t xml:space="preserve">It did not need to.</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an outlier. It is a preview.</w:t>
      </w:r>
    </w:p>
    <w:p>
      <w:pPr>
        <w:spacing w:before="0" w:after="0" w:line="160" w:lineRule="auto"/>
      </w:pPr>
    </w:p>
    <w:p>
      <w:pPr>
        <w:pStyle w:val="BodyText"/>
      </w:pPr>
      <w: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pPr>
        <w:pStyle w:val="BodyText"/>
      </w:pPr>
      <w: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committed to structural change with more specificity, more statutory force, and more capital investment than any comparably sized system in recent American health policy history.</w:t>
      </w:r>
    </w:p>
    <w:p>
      <w:pPr>
        <w:pStyle w:val="BodyText"/>
      </w:pPr>
      <w: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pPr>
        <w:pStyle w:val="Heading2"/>
        <w:pBdr>
          <w:top w:val="single" w:sz="6" w:space="10" w:color="C9D2DF"/>
        </w:pBdr>
      </w:pPr>
      <w:bookmarkStart w:id="1004" w:name="_Toc1003"/>
      <w:r>
        <w:rPr>
          <w:b/>
          <w:bCs/>
          <w:color w:val="161B22"/>
        </w:rPr>
        <w:t xml:space="preserve">What Transformation Actually Means</w:t>
      </w:r>
      <w:bookmarkEnd w:id="1004"/>
    </w:p>
    <w:p>
      <w:pPr>
        <w:pStyle w:val="FirstParagraph"/>
      </w:pPr>
      <w:r>
        <w:t xml:space="preserve">Few words in healthcare are used more often than</w:t>
      </w:r>
      <w:r>
        <w:t xml:space="preserve"> </w:t>
      </w:r>
      <w:r>
        <w:t xml:space="preserve">“reform”</w:t>
      </w:r>
      <w:r>
        <w:t xml:space="preserve"> </w:t>
      </w:r>
      <w:r>
        <w:t xml:space="preserve">or</w:t>
      </w:r>
      <w:r>
        <w:t xml:space="preserve"> </w:t>
      </w:r>
      <w:r>
        <w:t xml:space="preserve">“transformation,”</w:t>
      </w:r>
      <w:r>
        <w:t xml:space="preserve"> </w:t>
      </w:r>
      <w:r>
        <w:t xml:space="preserve">and the frequency has cost them precision. Both get applied to routine process improvements and to genuine structural change alike, and to aspiration as readily as to commitment — which makes it worth stating, at the outset, exactly what this book means by transformation.</w:t>
      </w:r>
    </w:p>
    <w:p>
      <w:pPr>
        <w:pStyle w:val="BodyText"/>
      </w:pPr>
      <w:r>
        <w:t xml:space="preserve">It uses</w:t>
      </w:r>
      <w:r>
        <w:t xml:space="preserve"> </w:t>
      </w:r>
      <w:r>
        <w:t xml:space="preserve">“transformation”</w:t>
      </w:r>
      <w:r>
        <w:t xml:space="preserve"> </w:t>
      </w:r>
      <w:r>
        <w:t xml:space="preserve">in a precise sense: transformation is structural change that alters the fundamental incentives, relationships, and capabilities of a system, producing different behaviors and different outcomes rather than incremental improvements within the existing structure.</w:t>
      </w:r>
    </w:p>
    <w:p>
      <w:pPr>
        <w:pStyle w:val="BodyText"/>
      </w:pPr>
      <w:r>
        <w:t xml:space="preserve">By this definition, most of what has been called healthcare transformation over the past fifteen years has not been transformational. Voluntary accountable care organization programs that high-cost providers can decline to join are not transformational.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pPr>
        <w:pStyle w:val="BodyText"/>
      </w:pPr>
      <w: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pPr>
        <w:pStyle w:val="Heading2"/>
        <w:pBdr>
          <w:top w:val="single" w:sz="6" w:space="10" w:color="C9D2DF"/>
        </w:pBdr>
      </w:pPr>
      <w:bookmarkStart w:id="1005" w:name="_Toc1004"/>
      <w:r>
        <w:rPr>
          <w:b/>
          <w:bCs/>
          <w:color w:val="161B22"/>
        </w:rPr>
        <w:t xml:space="preserve">Vermont Is Not an Outlier. It Is a Preview.</w:t>
      </w:r>
      <w:bookmarkEnd w:id="1005"/>
    </w:p>
    <w:p>
      <w:pPr>
        <w:pStyle w:val="FirstParagraph"/>
      </w:pPr>
      <w:r>
        <w:t xml:space="preserve">Readers from outside Vermont sometimes ask whether Vermont’s experience translates to their state, their system, their community. Vermont is small. Its politics are unusual. Its hospital sector — fourteen nonprofit community hospitals, no investor-owned chains, a regulator with real rate-setting authority — is not typical.</w:t>
      </w:r>
    </w:p>
    <w:p>
      <w:pPr>
        <w:pStyle w:val="BodyText"/>
      </w:pPr>
      <w: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complexity exhausting physicians and consuming resources that should go to patients is a national emergency. The pricing opacity that allows dominant hospitals to charge two, three, and four times Medicare rates while rural neighbors close — that is national too.</w:t>
      </w:r>
    </w:p>
    <w:p>
      <w:pPr>
        <w:pStyle w:val="BodyText"/>
      </w:pPr>
      <w: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pPr>
        <w:pStyle w:val="Heading2"/>
        <w:pBdr>
          <w:top w:val="single" w:sz="6" w:space="10" w:color="C9D2DF"/>
        </w:pBdr>
      </w:pPr>
      <w:bookmarkStart w:id="1006" w:name="_Toc1005"/>
      <w:r>
        <w:rPr>
          <w:b/>
          <w:bCs/>
          <w:color w:val="161B22"/>
        </w:rPr>
        <w:t xml:space="preserve">How to Read This Book If Vermont Isn’t Your Context</w:t>
      </w:r>
      <w:bookmarkEnd w:id="1006"/>
    </w:p>
    <w:p>
      <w:pPr>
        <w:pStyle w:val="FirstParagraph"/>
      </w:pPr>
      <w:r>
        <w:t xml:space="preserve">This book uses Vermont as its primary teaching case for the reasons explained above: transparency, documentation, and an early position on a curve every state is on. But the subject of this book is the six-pillar framework — Policy, Technology, Economics, Clinical, Equity, and Operations — and the dependency logic that links them. Vermont is the evidence, not the scope. If you do not work in Vermont, here is how to get the most out of the chapters that follow.</w:t>
      </w:r>
    </w:p>
    <w:p>
      <w:pPr>
        <w:pStyle w:val="BodyText"/>
      </w:pPr>
      <w:r>
        <w:rPr>
          <w:b/>
          <w:bCs/>
        </w:rPr>
        <w:t xml:space="preserve">Translate the institutions, not just the policies.</w:t>
      </w:r>
      <w:r>
        <w:t xml:space="preserve"> </w:t>
      </w:r>
      <w:r>
        <w:t xml:space="preserve">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The AHEAD State Agreement is Vermont’s version of a federal model agreement with CMMI. As you read, ask: what is the equivalent institution, statute, or agreement in my state — even if it is smaller, newer, less formal, or does not yet exist?</w:t>
      </w:r>
    </w:p>
    <w:p>
      <w:pPr>
        <w:pStyle w:val="BodyText"/>
      </w:pPr>
      <w:r>
        <w:rPr>
          <w:b/>
          <w:bCs/>
        </w:rPr>
        <w:t xml:space="preserve">Look for the framework statements, not only the Vermont data.</w:t>
      </w:r>
      <w:r>
        <w:t xml:space="preserve"> </w:t>
      </w:r>
      <w:r>
        <w:t xml:space="preserve">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pPr>
        <w:pStyle w:val="BodyText"/>
      </w:pPr>
      <w:r>
        <w:rPr>
          <w:b/>
          <w:bCs/>
        </w:rPr>
        <w:t xml:space="preserve">Use the</w:t>
      </w:r>
      <w:r>
        <w:rPr>
          <w:b/>
          <w:bCs/>
        </w:rPr>
        <w:t xml:space="preserve"> </w:t>
      </w:r>
      <w:r>
        <w:rPr>
          <w:b/>
          <w:bCs/>
        </w:rPr>
        <w:t xml:space="preserve">“Implications for You”</w:t>
      </w:r>
      <w:r>
        <w:rPr>
          <w:b/>
          <w:bCs/>
        </w:rPr>
        <w:t xml:space="preserve"> </w:t>
      </w:r>
      <w:r>
        <w:rPr>
          <w:b/>
          <w:bCs/>
        </w:rPr>
        <w:t xml:space="preserve">sections as your entry point.</w:t>
      </w:r>
      <w:r>
        <w:t xml:space="preserve"> </w:t>
      </w:r>
      <w:r>
        <w:t xml:space="preserve">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pPr>
        <w:pStyle w:val="BodyText"/>
      </w:pPr>
      <w:r>
        <w:t xml:space="preserve">In short: treat Vermont the way a business or medical textbook treats a case study. The case is specific so that the lesson does not have to be.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the audience for this book. Vermont is the evidence.</w:t>
      </w:r>
    </w:p>
    <w:p>
      <w:pPr>
        <w:spacing w:before="0" w:after="0" w:line="160" w:lineRule="auto"/>
      </w:pPr>
    </w:p>
    <w:p>
      <w:pPr>
        <w:pStyle w:val="Heading2"/>
        <w:pBdr>
          <w:top w:val="single" w:sz="6" w:space="10" w:color="C9D2DF"/>
        </w:pBdr>
      </w:pPr>
      <w:bookmarkStart w:id="1007" w:name="_Toc1006"/>
      <w:r>
        <w:rPr>
          <w:b/>
          <w:bCs/>
          <w:color w:val="161B22"/>
        </w:rPr>
        <w:t xml:space="preserve">The Strongest Case Against This Book’s Argument</w:t>
      </w:r>
      <w:bookmarkEnd w:id="1007"/>
    </w:p>
    <w:p>
      <w:pPr>
        <w:pStyle w:val="FirstParagraph"/>
      </w:pPr>
      <w: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pPr>
        <w:pStyle w:val="Heading3"/>
      </w:pPr>
      <w:bookmarkStart w:id="1008" w:name="_Toc1007"/>
      <w:r>
        <w:rPr>
          <w:b/>
          <w:bCs/>
          <w:color w:val="161B22"/>
        </w:rPr>
        <w:t xml:space="preserve">1. The Price Regulation Argument</w:t>
      </w:r>
      <w:bookmarkEnd w:id="1008"/>
    </w:p>
    <w:p>
      <w:pPr>
        <w:pStyle w:val="FirstParagraph"/>
      </w:pPr>
      <w: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pPr>
        <w:pStyle w:val="BodyText"/>
      </w:pPr>
      <w:r>
        <w:t xml:space="preserve">This is a serious argument. Maryland’s experience with hospital global budgets is the primary counterevidence: Maryland has operated all-payer rate regulation since 1977 and maintains rural hospital access comparable to or better than non-regulated states, while holding per-capita cost growth below the national average.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pPr>
        <w:pStyle w:val="Heading3"/>
      </w:pPr>
      <w:bookmarkStart w:id="1009" w:name="_Toc1008"/>
      <w:r>
        <w:rPr>
          <w:b/>
          <w:bCs/>
          <w:color w:val="161B22"/>
        </w:rPr>
        <w:t xml:space="preserve">2. The Global Budget Argument</w:t>
      </w:r>
      <w:bookmarkEnd w:id="1009"/>
    </w:p>
    <w:p>
      <w:pPr>
        <w:pStyle w:val="FirstParagraph"/>
      </w:pPr>
      <w: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pPr>
        <w:pStyle w:val="BodyText"/>
      </w:pPr>
      <w: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p>
    <w:p>
      <w:pPr>
        <w:pStyle w:val="Heading3"/>
      </w:pPr>
      <w:bookmarkStart w:id="1010" w:name="_Toc1009"/>
      <w:r>
        <w:rPr>
          <w:b/>
          <w:bCs/>
          <w:color w:val="161B22"/>
        </w:rPr>
        <w:t xml:space="preserve">3. The AHEAD Skepticism Argument</w:t>
      </w:r>
      <w:bookmarkEnd w:id="1010"/>
    </w:p>
    <w:p>
      <w:pPr>
        <w:pStyle w:val="FirstParagraph"/>
      </w:pPr>
      <w:r>
        <w:t xml:space="preserve">CMMI has operated innovation models for fifteen years. Most have not produced the savings they projected. AHEAD’s predecessor — the Vermont All-Payer ACO Model — produced modest results over nine years despite significant federal and state investment. Why will AHEAD be different?</w:t>
      </w:r>
    </w:p>
    <w:p>
      <w:pPr>
        <w:pStyle w:val="BodyText"/>
      </w:pPr>
      <w:r>
        <w:t xml:space="preserve">This is perhaps the strongest challenge in the book. The answer requires acknowledging the critique honestly: CMMI models have generally underperformed their projections, and there is no guarantee AHEAD will be different. What is different about Vermont’s approach is the mandatory statutory architecture that AHEAD did not have in its predecessor: Acts 167 and 68 require hospitals to participate in global budgets and reference-based pricing regardless of whether AHEAD succeeds. Vermont’s transformation does not depend on AHEAD — AHEAD amplifies it. If AHEAD underperforms, Vermont’s mandatory state framework remains. Chapter 13 (The Future of Healthcare Transformation) returns to this directly.</w:t>
      </w:r>
    </w:p>
    <w:p>
      <w:pPr>
        <w:pStyle w:val="Heading3"/>
      </w:pPr>
      <w:bookmarkStart w:id="1011" w:name="_Toc1010"/>
      <w:r>
        <w:rPr>
          <w:b/>
          <w:bCs/>
          <w:color w:val="161B22"/>
        </w:rPr>
        <w:t xml:space="preserve">4. The AHEAD Durability Argument</w:t>
      </w:r>
      <w:bookmarkEnd w:id="1011"/>
    </w:p>
    <w:p>
      <w:pPr>
        <w:pStyle w:val="FirstParagraph"/>
      </w:pPr>
      <w:r>
        <w:t xml:space="preserve">AHEAD is an eleven-year CMMI model running from 2024 through December 2035, under a single innovation-center framework that has already been modified once (the January 2026 changes extending the end date and adding new accountability requirements) and will span at least one more presidential transition before Vermont’s Cohort 2 implementation even begins in January 2028. CMMI’s own track record — acknowledged elsewhere in this book — includes models redesigned or discontinued mid-course. The book’s response to AHEAD skepticism is that Vermont’s mandatory state framework under Acts 167 and 68 remains in force even if AHEAD underperforms or is altered. That is true for the commercial and Medicaid components of Vermont’s reform, which Act 68 governs directly. It is not fully true for the Medicare component specifically: Medicare global budgets exist in Vermont’s framework only because AHEAD provides them, and no state statute can substitute for a federal payment model on Medicare claims. A reader assessing AHEAD durability should therefore distinguish between</w:t>
      </w:r>
      <w:r>
        <w:t xml:space="preserve"> </w:t>
      </w:r>
      <w:r>
        <w:t xml:space="preserve">“Vermont’s reform survives if AHEAD changes”</w:t>
      </w:r>
      <w:r>
        <w:t xml:space="preserve"> </w:t>
      </w:r>
      <w:r>
        <w:t xml:space="preserve">(true, for the commercial and Medicaid pillars) and</w:t>
      </w:r>
      <w:r>
        <w:t xml:space="preserve"> </w:t>
      </w:r>
      <w:r>
        <w:t xml:space="preserve">“Vermont’s Medicare global budget survives if AHEAD changes”</w:t>
      </w:r>
      <w:r>
        <w:t xml:space="preserve"> </w:t>
      </w:r>
      <w:r>
        <w:t xml:space="preserve">(not guaranteed, and not within any state’s control).</w:t>
      </w:r>
    </w:p>
    <w:p>
      <w:pPr>
        <w:pStyle w:val="Heading3"/>
      </w:pPr>
      <w:bookmarkStart w:id="1012" w:name="_Toc1011"/>
      <w:r>
        <w:rPr>
          <w:b/>
          <w:bCs/>
          <w:color w:val="161B22"/>
        </w:rPr>
        <w:t xml:space="preserve">5. The Oliver Wyman Independence Question</w:t>
      </w:r>
      <w:bookmarkEnd w:id="1012"/>
    </w:p>
    <w:p>
      <w:pPr>
        <w:pStyle w:val="FirstParagraph"/>
      </w:pPr>
      <w: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pPr>
        <w:pStyle w:val="BodyText"/>
      </w:pPr>
      <w: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pPr>
        <w:pStyle w:val="Heading3"/>
      </w:pPr>
      <w:bookmarkStart w:id="1013" w:name="_Toc1012"/>
      <w:r>
        <w:rPr>
          <w:b/>
          <w:bCs/>
          <w:color w:val="161B22"/>
        </w:rPr>
        <w:t xml:space="preserve">6. The Vermont-Specificity Argument</w:t>
      </w:r>
      <w:bookmarkEnd w:id="1013"/>
    </w:p>
    <w:p>
      <w:pPr>
        <w:pStyle w:val="FirstParagraph"/>
      </w:pPr>
      <w: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pPr>
        <w:pStyle w:val="BodyText"/>
      </w:pPr>
      <w:r>
        <w:t xml:space="preserve">This objection deserves to be taken seriously rather than answered with a slogan, because the honest answer has two parts, and the second part is a real limitation of this book rather than a rebuttal.</w:t>
      </w:r>
    </w:p>
    <w:p>
      <w:pPr>
        <w:pStyle w:val="BodyText"/>
      </w:pPr>
      <w:r>
        <w:t xml:space="preserve">The first part is that the six-pillar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w:t>
      </w:r>
      <w:r>
        <w:t xml:space="preserve"> </w:t>
      </w:r>
      <w:r>
        <w:t xml:space="preserve">“mandatory,”</w:t>
      </w:r>
      <w:r>
        <w:t xml:space="preserve"> </w:t>
      </w:r>
      <w:r>
        <w:t xml:space="preserve">and a longer, messier sequence. The logic is the same. The execution is harder.</w:t>
      </w:r>
    </w:p>
    <w:p>
      <w:pPr>
        <w:pStyle w:val="BodyText"/>
      </w:pPr>
      <w: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pPr>
        <w:pStyle w:val="BodyText"/>
      </w:pPr>
      <w: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w:t>
      </w:r>
      <w:r>
        <w:t xml:space="preserve"> </w:t>
      </w:r>
      <w:r>
        <w:t xml:space="preserve">“How to Read This Book If Vermont Isn’t Your Context”</w:t>
      </w:r>
      <w:r>
        <w:t xml:space="preserve"> </w:t>
      </w:r>
      <w:r>
        <w:t xml:space="preserve">section earlier in this Introduction, and the</w:t>
      </w:r>
      <w:r>
        <w:t xml:space="preserve"> </w:t>
      </w:r>
      <w:r>
        <w:t xml:space="preserve">“Implications for You”</w:t>
      </w:r>
      <w:r>
        <w:t xml:space="preserve"> </w:t>
      </w:r>
      <w:r>
        <w:t xml:space="preserve">sections that close most chapters, exist specifically to close that gap.</w:t>
      </w:r>
    </w:p>
    <w:p>
      <w:pPr>
        <w:pStyle w:val="Heading3"/>
      </w:pPr>
      <w:bookmarkStart w:id="1014" w:name="_Toc1013"/>
      <w:r>
        <w:rPr>
          <w:b/>
          <w:bCs/>
          <w:color w:val="161B22"/>
        </w:rPr>
        <w:t xml:space="preserve">7. The Transition-Window Argument</w:t>
      </w:r>
      <w:bookmarkEnd w:id="1014"/>
    </w:p>
    <w:p>
      <w:pPr>
        <w:pStyle w:val="FirstParagraph"/>
      </w:pPr>
      <w: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the combination of Rural Health Transformation Program funds, AHEAD’s Equity, Access, and Statewide Transformation (EAST) Fund payments, and the sequencing of Medicaid versus commercial global budgets — which together determine whether a given hospital remains solvent in fiscal years 2027 and 2028 specifically. A hospital CFO’s most pressing question is rarely</w:t>
      </w:r>
      <w:r>
        <w:t xml:space="preserve"> </w:t>
      </w:r>
      <w:r>
        <w:t xml:space="preserve">“what does the system look like in 2030?”</w:t>
      </w:r>
      <w:r>
        <w:t xml:space="preserve"> </w:t>
      </w:r>
      <w:r>
        <w:t xml:space="preserve">It is</w:t>
      </w:r>
      <w:r>
        <w:t xml:space="preserve"> </w:t>
      </w:r>
      <w:r>
        <w:t xml:space="preserve">“what keeps us open in 2027?”</w:t>
      </w:r>
      <w:r>
        <w:t xml:space="preserve"> </w:t>
      </w:r>
      <w:r>
        <w:t xml:space="preserve">Chapter 6 (the Economics Pillar) addresses this transition window directly.</w:t>
      </w:r>
    </w:p>
    <w:p>
      <w:pPr>
        <w:pStyle w:val="Heading3"/>
      </w:pPr>
      <w:bookmarkStart w:id="1015" w:name="_Toc1014"/>
      <w:r>
        <w:rPr>
          <w:b/>
          <w:bCs/>
          <w:color w:val="161B22"/>
        </w:rPr>
        <w:t xml:space="preserve">8. The Enforcement Question</w:t>
      </w:r>
      <w:bookmarkEnd w:id="1015"/>
    </w:p>
    <w:p>
      <w:pPr>
        <w:pStyle w:val="FirstParagraph"/>
      </w:pPr>
      <w: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gives GMCB subpoena authority and data-sharing power with the Department of Financial Regulation, and the answer is no longer hypothetical. GMCB’s FY23 enforcement actions against UVMMC ($80.3M overage) and RRMC ($11.1M overage) were the first such enforcement actions in Vermont’s regulatory history, and UVMMC’s subsequent court challenge to that enforcement — Vermont’s largest, most powerful hospital system testing GMCB’s authority directly — was decided against UVMMC. That outcome is the strongest available evidence that</w:t>
      </w:r>
      <w:r>
        <w:t xml:space="preserve"> </w:t>
      </w:r>
      <w:r>
        <w:t xml:space="preserve">“mandatory”</w:t>
      </w:r>
      <w:r>
        <w:t xml:space="preserve"> </w:t>
      </w:r>
      <w:r>
        <w:t xml:space="preserve">in this book’s framework describes a regime that has been tested against its most resourced potential opponent and held. Chapter 13 develops the enforcement mechanics and this case in more detail.</w:t>
      </w:r>
    </w:p>
    <w:p>
      <w:pPr>
        <w:pStyle w:val="BodyText"/>
      </w:pPr>
      <w: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pPr>
        <w:pStyle w:val="Heading2"/>
        <w:pBdr>
          <w:top w:val="single" w:sz="6" w:space="10" w:color="C9D2DF"/>
        </w:pBdr>
      </w:pPr>
      <w:bookmarkStart w:id="1016" w:name="_Toc1015"/>
      <w:r>
        <w:rPr>
          <w:b/>
          <w:bCs/>
          <w:color w:val="161B22"/>
        </w:rPr>
        <w:t xml:space="preserve">The Six-Pillar Framework: Why All Six Must Move Together</w:t>
      </w:r>
      <w:bookmarkEnd w:id="1016"/>
    </w:p>
    <w:p>
      <w:pPr>
        <w:pStyle w:val="FirstParagraph"/>
      </w:pPr>
      <w:r>
        <w:t xml:space="preserve">The central analytical contribution of this book is the six-pillar framework for healthcare transformation: Policy, Technology, Economics, Clinical, Equity, and Operations. It is not a checklist of things that should be done, but an integrated architecture for understanding why transformation attempts fail when they address any pillar in isolation. Remove any one pillar and the transformation fails: payment reform without the data infrastructure to manage it, or the clinical models to respond to it, produces financial pressure without improvement.</w:t>
      </w:r>
    </w:p>
    <w:p>
      <w:pPr>
        <w:pStyle w:val="BodyText"/>
      </w:pPr>
      <w:r>
        <w:t xml:space="preserve">Chapter 1 develops this framework in full — defining each pillar, mapping the fifteen dependency relationships that connect them, and showing what cascades through the system when any one is missing. What matters here, at the outset, is the single premise the rest of the book rests on: Vermont’s reform agenda is instructive precisely because it addresses all six pillars simultaneously — imperfectly and incompletely, as any real-world policy effort does, but with a comprehensiveness that distinguishes it from the single-pillar interventions that have failed repeatedly at the national level.</w:t>
      </w:r>
    </w:p>
    <w:p>
      <w:pPr>
        <w:pStyle w:val="Heading2"/>
        <w:pBdr>
          <w:top w:val="single" w:sz="6" w:space="10" w:color="C9D2DF"/>
        </w:pBdr>
        <w:keepNext w:val="false"/>
      </w:pPr>
      <w:bookmarkStart w:id="1017" w:name="_Toc1016"/>
      <w:r>
        <w:rPr>
          <w:b/>
          <w:bCs/>
          <w:color w:val="161B22"/>
        </w:rPr>
        <w:t xml:space="preserve">The HTR Ecosystem: How the Book, the Platform, and the Academy Work Together</w:t>
      </w:r>
      <w:bookmarkEnd w:id="1017"/>
    </w:p>
    <w:p>
      <w:pPr>
        <w:pStyle w:val="FirstParagraph"/>
        <w:keepNext w:val="false"/>
      </w:pPr>
      <w:r>
        <w:t xml:space="preserve">This book is one of three integrated components of the</w:t>
      </w:r>
      <w:r>
        <w:t xml:space="preserve"> </w:t>
      </w:r>
      <w:r>
        <w:rPr>
          <w:b/>
          <w:bCs/>
        </w:rPr>
        <w:t xml:space="preserve">Health Transformation Review</w:t>
      </w:r>
      <w:r>
        <w:t xml:space="preserve"> </w:t>
      </w:r>
      <w:r>
        <w:t xml:space="preserve">ecosystem. The framework covered in this book is not only an argument to be followed — it is a system to be operated, and the platform (</w:t>
      </w:r>
      <w:hyperlink r:id="rId21">
        <w:r>
          <w:rPr>
            <w:rStyle w:val="Hyperlink"/>
          </w:rPr>
          <w:t xml:space="preserve">healthtransformationreview.org</w:t>
        </w:r>
      </w:hyperlink>
      <w:r>
        <w:t xml:space="preserve">) and Academy (</w:t>
      </w:r>
      <w:hyperlink r:id="rId22">
        <w:r>
          <w:rPr>
            <w:rStyle w:val="Hyperlink"/>
          </w:rPr>
          <w:t xml:space="preserve">healthtransformationreview.org/academy</w:t>
        </w:r>
      </w:hyperlink>
      <w:r>
        <w:t xml:space="preserve">) are where you operate it. Understanding how the three fit together will change how you read what follows.</w:t>
      </w:r>
    </w:p>
    <w:tbl>
      <w:tblPr>
        <w:tblStyle w:val="HTRTable"/>
        <w:tblLook w:firstRow="1" w:lastRow="0" w:firstColumn="0" w:lastColumn="0" w:noHBand="0" w:noVBand="1" w:val="0020"/>
        <w:tblW w:w="9072" w:type="dxa"/>
        <w:tblLayout w:type="fixed"/>
      </w:tblPr>
      <w:tblGrid>
        <w:gridCol w:w="1170"/>
        <w:gridCol w:w="4395"/>
        <w:gridCol w:w="3510"/>
      </w:tblGrid>
      <w:tr>
        <w:trPr>
          <w:tblHeader w:val="on"/>
          <w:cantSplit/>
        </w:trPr>
        <w:tc>
          <w:tcPr>
            <w:shd w:val="clear" w:color="auto" w:fill="1B3A6B"/>
            <w:tcW w:w="1170" w:type="dxa"/>
          </w:tcPr>
          <w:p>
            <w:pPr>
              <w:pStyle w:val="Compact"/>
              <w:jc w:val="left"/>
            </w:pPr>
            <w:r>
              <w:rPr>
                <w:b/>
                <w:color w:val="FFFFFF"/>
                <w:sz w:val="18"/>
              </w:rPr>
              <w:t xml:space="preserve">Component</w:t>
            </w:r>
          </w:p>
        </w:tc>
        <w:tc>
          <w:tcPr>
            <w:shd w:val="clear" w:color="auto" w:fill="1B3A6B"/>
            <w:tcW w:w="4395" w:type="dxa"/>
          </w:tcPr>
          <w:p>
            <w:pPr>
              <w:pStyle w:val="Compact"/>
              <w:jc w:val="left"/>
            </w:pPr>
            <w:r>
              <w:rPr>
                <w:b/>
                <w:color w:val="FFFFFF"/>
                <w:sz w:val="18"/>
              </w:rPr>
              <w:t xml:space="preserve">What it is</w:t>
            </w:r>
          </w:p>
        </w:tc>
        <w:tc>
          <w:tcPr>
            <w:shd w:val="clear" w:color="auto" w:fill="1B3A6B"/>
            <w:tcW w:w="3510" w:type="dxa"/>
          </w:tcPr>
          <w:p>
            <w:pPr>
              <w:pStyle w:val="Compact"/>
              <w:jc w:val="left"/>
            </w:pPr>
            <w:r>
              <w:rPr>
                <w:b/>
                <w:color w:val="FFFFFF"/>
                <w:sz w:val="18"/>
              </w:rPr>
              <w:t xml:space="preserve">How it connects to the book</w:t>
            </w:r>
          </w:p>
        </w:tc>
      </w:tr>
      <w:tr>
        <w:trPr>
          <w:cantSplit/>
        </w:trPr>
        <w:tc>
          <w:tcPr>
            <w:tcW w:w="1170" w:type="dxa"/>
          </w:tcPr>
          <w:p>
            <w:pPr>
              <w:pStyle w:val="Compact"/>
              <w:jc w:val="left"/>
            </w:pPr>
            <w:r>
              <w:rPr>
                <w:b/>
                <w:bCs/>
                <w:sz w:val="18"/>
              </w:rPr>
              <w:t xml:space="preserve">The Book</w:t>
            </w:r>
          </w:p>
        </w:tc>
        <w:tc>
          <w:tcPr>
            <w:tcW w:w="4395" w:type="dxa"/>
          </w:tcPr>
          <w:p>
            <w:pPr>
              <w:pStyle w:val="Compact"/>
              <w:jc w:val="left"/>
            </w:pPr>
            <w:r>
              <w:rPr>
                <w:i/>
                <w:iCs/>
                <w:sz w:val="18"/>
              </w:rPr>
              <w:t xml:space="preserve">Transforming American Healthcare</w:t>
            </w:r>
            <w:r>
              <w:rPr>
                <w:sz w:val="18"/>
              </w:rPr>
              <w:t xml:space="preserve"> </w:t>
            </w:r>
            <w:r>
              <w:rPr>
                <w:sz w:val="18"/>
              </w:rPr>
              <w:t xml:space="preserve">— the framework, the dependency logic, the Vermont evidence, and the national comparisons. Read it online with audio narration at</w:t>
            </w:r>
            <w:r>
              <w:rPr>
                <w:sz w:val="18"/>
              </w:rPr>
              <w:t xml:space="preserve"> </w:t>
            </w:r>
            <w:hyperlink r:id="rId20">
              <w:r>
                <w:rPr>
                  <w:rStyle w:val="Hyperlink"/>
                </w:rPr>
                <w:t xml:space="preserve">/book</w:t>
              </w:r>
            </w:hyperlink>
            <w:r>
              <w:rPr>
                <w:sz w:val="18"/>
              </w:rPr>
              <w:t xml:space="preserve">.</w:t>
            </w:r>
          </w:p>
        </w:tc>
        <w:tc>
          <w:tcPr>
            <w:tcW w:w="3510" w:type="dxa"/>
          </w:tcPr>
          <w:p>
            <w:pPr>
              <w:pStyle w:val="Compact"/>
              <w:jc w:val="left"/>
            </w:pPr>
            <w:r>
              <w:rPr>
                <w:sz w:val="18"/>
              </w:rPr>
              <w:t xml:space="preserve">The intellectual foundation. Everything else is an interactive expression of it.</w:t>
            </w:r>
          </w:p>
        </w:tc>
      </w:tr>
      <w:tr>
        <w:trPr/>
        <w:tc>
          <w:tcPr>
            <w:tcW w:w="1170" w:type="dxa"/>
          </w:tcPr>
          <w:p>
            <w:pPr>
              <w:pStyle w:val="Compact"/>
              <w:jc w:val="left"/>
            </w:pPr>
            <w:r>
              <w:rPr>
                <w:b/>
                <w:bCs/>
                <w:sz w:val="18"/>
              </w:rPr>
              <w:t xml:space="preserve">The Platform</w:t>
            </w:r>
          </w:p>
        </w:tc>
        <w:tc>
          <w:tcPr>
            <w:tcW w:w="4395" w:type="dxa"/>
          </w:tcPr>
          <w:p>
            <w:pPr>
              <w:pStyle w:val="Compact"/>
              <w:jc w:val="left"/>
            </w:pPr>
            <w:r>
              <w:rPr>
                <w:sz w:val="18"/>
              </w:rPr>
              <w:t xml:space="preserve">Six pillar hubs, a</w:t>
            </w:r>
            <w:r>
              <w:rPr>
                <w:sz w:val="18"/>
              </w:rPr>
              <w:t xml:space="preserve"> </w:t>
            </w:r>
            <w:hyperlink r:id="rId23">
              <w:r>
                <w:rPr>
                  <w:rStyle w:val="Hyperlink"/>
                </w:rPr>
                <w:t xml:space="preserve">Research Lab</w:t>
              </w:r>
            </w:hyperlink>
            <w:r>
              <w:rPr>
                <w:sz w:val="18"/>
              </w:rPr>
              <w:t xml:space="preserve"> </w:t>
            </w:r>
            <w:r>
              <w:rPr>
                <w:sz w:val="18"/>
              </w:rPr>
              <w:t xml:space="preserve">of nearly forty interactive analytical tools, an</w:t>
            </w:r>
            <w:r>
              <w:rPr>
                <w:sz w:val="18"/>
              </w:rPr>
              <w:t xml:space="preserve"> </w:t>
            </w:r>
            <w:hyperlink r:id="rId24">
              <w:r>
                <w:rPr>
                  <w:rStyle w:val="Hyperlink"/>
                </w:rPr>
                <w:t xml:space="preserve">AI Analyst</w:t>
              </w:r>
            </w:hyperlink>
            <w:r>
              <w:rPr>
                <w:sz w:val="18"/>
              </w:rPr>
              <w:t xml:space="preserve"> </w:t>
            </w:r>
            <w:r>
              <w:rPr>
                <w:sz w:val="18"/>
              </w:rPr>
              <w:t xml:space="preserve">grounded in this book and Vermont’s source documents, a</w:t>
            </w:r>
            <w:r>
              <w:rPr>
                <w:sz w:val="18"/>
              </w:rPr>
              <w:t xml:space="preserve"> </w:t>
            </w:r>
            <w:hyperlink r:id="rId40">
              <w:r>
                <w:rPr>
                  <w:rStyle w:val="Hyperlink"/>
                </w:rPr>
                <w:t xml:space="preserve">fifty-state dashboard</w:t>
              </w:r>
            </w:hyperlink>
            <w:r>
              <w:rPr>
                <w:sz w:val="18"/>
              </w:rPr>
              <w:t xml:space="preserve">, and a daily intelligence feed.</w:t>
            </w:r>
          </w:p>
        </w:tc>
        <w:tc>
          <w:tcPr>
            <w:tcW w:w="3510" w:type="dxa"/>
          </w:tcPr>
          <w:p>
            <w:pPr>
              <w:pStyle w:val="Compact"/>
              <w:jc w:val="left"/>
            </w:pPr>
            <w:r>
              <w:rPr>
                <w:sz w:val="18"/>
              </w:rPr>
              <w:t xml:space="preserve">Every argument here that can be modeled</w:t>
            </w:r>
            <w:r>
              <w:rPr>
                <w:sz w:val="18"/>
              </w:rPr>
              <w:t xml:space="preserve"> </w:t>
            </w:r>
            <w:r>
              <w:rPr>
                <w:i/>
                <w:iCs/>
                <w:sz w:val="18"/>
              </w:rPr>
              <w:t xml:space="preserve">is</w:t>
            </w:r>
            <w:r>
              <w:rPr>
                <w:sz w:val="18"/>
              </w:rPr>
              <w:t xml:space="preserve"> </w:t>
            </w:r>
            <w:r>
              <w:rPr>
                <w:sz w:val="18"/>
              </w:rPr>
              <w:t xml:space="preserve">modeled there. Each pillar chapter ends with a</w:t>
            </w:r>
            <w:r>
              <w:rPr>
                <w:sz w:val="18"/>
              </w:rPr>
              <w:t xml:space="preserve"> </w:t>
            </w:r>
            <w:r>
              <w:rPr>
                <w:i/>
                <w:iCs/>
                <w:sz w:val="18"/>
              </w:rPr>
              <w:t xml:space="preserve">“Work This Chapter on the Platform”</w:t>
            </w:r>
            <w:r>
              <w:rPr>
                <w:sz w:val="18"/>
              </w:rPr>
              <w:t xml:space="preserve"> </w:t>
            </w:r>
            <w:r>
              <w:rPr>
                <w:sz w:val="18"/>
              </w:rPr>
              <w:t xml:space="preserve">guide linking to the exact tools.</w:t>
            </w:r>
          </w:p>
        </w:tc>
      </w:tr>
      <w:tr>
        <w:trPr>
          <w:cantSplit/>
        </w:trPr>
        <w:tc>
          <w:tcPr>
            <w:tcW w:w="1170" w:type="dxa"/>
          </w:tcPr>
          <w:p>
            <w:pPr>
              <w:pStyle w:val="Compact"/>
              <w:jc w:val="left"/>
            </w:pPr>
            <w:r>
              <w:rPr>
                <w:b/>
                <w:bCs/>
                <w:sz w:val="18"/>
              </w:rPr>
              <w:t xml:space="preserve">The Academy</w:t>
            </w:r>
          </w:p>
        </w:tc>
        <w:tc>
          <w:tcPr>
            <w:tcW w:w="4395" w:type="dxa"/>
          </w:tcPr>
          <w:p>
            <w:pPr>
              <w:pStyle w:val="Compact"/>
              <w:jc w:val="left"/>
            </w:pPr>
            <w:r>
              <w:rPr>
                <w:sz w:val="18"/>
              </w:rPr>
              <w:t xml:space="preserve">A structured executive-education layer of courses, tracks, and lessons — from foundational concepts to advanced payment-model design. Start at</w:t>
            </w:r>
            <w:r>
              <w:rPr>
                <w:sz w:val="18"/>
              </w:rPr>
              <w:t xml:space="preserve"> </w:t>
            </w:r>
            <w:hyperlink r:id="rId22">
              <w:r>
                <w:rPr>
                  <w:rStyle w:val="Hyperlink"/>
                </w:rPr>
                <w:t xml:space="preserve">/academy</w:t>
              </w:r>
            </w:hyperlink>
            <w:r>
              <w:rPr>
                <w:sz w:val="18"/>
              </w:rPr>
              <w:t xml:space="preserve">.</w:t>
            </w:r>
          </w:p>
        </w:tc>
        <w:tc>
          <w:tcPr>
            <w:tcW w:w="3510" w:type="dxa"/>
          </w:tcPr>
          <w:p>
            <w:pPr>
              <w:pStyle w:val="Compact"/>
              <w:jc w:val="left"/>
            </w:pPr>
            <w:r>
              <w:rPr>
                <w:sz w:val="18"/>
              </w:rPr>
              <w:t xml:space="preserve">Lessons teach the book’s concepts hands-on and deep-link to the tool that applies each one.</w:t>
            </w:r>
          </w:p>
        </w:tc>
      </w:tr>
    </w:tbl>
    <w:p>
      <w:pPr>
        <w:pStyle w:val="BodyText"/>
        <w:keepNext w:val="false"/>
        <w:spacing w:before="280"/>
      </w:pPr>
      <w:r>
        <w:t xml:space="preserve">The connection runs in every direction. The book sends you to the platform through the chapter-ending tool guides. The platform sends you back to the book through</w:t>
      </w:r>
      <w:r>
        <w:t xml:space="preserve"> </w:t>
      </w:r>
      <w:r>
        <w:rPr>
          <w:i/>
          <w:iCs/>
        </w:rPr>
        <w:t xml:space="preserve">“From the Book”</w:t>
      </w:r>
      <w:r>
        <w:t xml:space="preserve"> </w:t>
      </w:r>
      <w:r>
        <w:t xml:space="preserve">callouts on every hub and tool. The Academy sends you to both. And the</w:t>
      </w:r>
      <w:r>
        <w:t xml:space="preserve"> </w:t>
      </w:r>
      <w:hyperlink r:id="rId24">
        <w:r>
          <w:rPr>
            <w:rStyle w:val="Hyperlink"/>
          </w:rPr>
          <w:t xml:space="preserve">AI Analyst</w:t>
        </w:r>
      </w:hyperlink>
      <w:r>
        <w:t xml:space="preserve"> </w:t>
      </w:r>
      <w:r>
        <w:t xml:space="preserve">sits across all three — ask it a question and it answers from the book’s evidence base</w:t>
      </w:r>
      <w:r>
        <w:t xml:space="preserve"> </w:t>
      </w:r>
      <w:r>
        <w:rPr>
          <w:i/>
          <w:iCs/>
        </w:rPr>
        <w:t xml:space="preserve">and</w:t>
      </w:r>
      <w:r>
        <w:t xml:space="preserve"> </w:t>
      </w:r>
      <w:r>
        <w:t xml:space="preserve">routes you to the tool, dashboard, or lesson that lets you go further. The practical consequence for you as a reader: whenever this book makes a claim you want to test against your own organization or state, there is almost always a tool waiting to let you do exactly that. Watch for the</w:t>
      </w:r>
      <w:r>
        <w:t xml:space="preserve"> </w:t>
      </w:r>
      <w:r>
        <w:rPr>
          <w:b/>
          <w:bCs/>
        </w:rPr>
        <w:t xml:space="preserve">EXPLORE ON THE PLATFORM</w:t>
      </w:r>
      <w:r>
        <w:t xml:space="preserve"> </w:t>
      </w:r>
      <w:r>
        <w:t xml:space="preserve">and</w:t>
      </w:r>
      <w:r>
        <w:t xml:space="preserve"> </w:t>
      </w:r>
      <w:r>
        <w:rPr>
          <w:b/>
          <w:bCs/>
        </w:rPr>
        <w:t xml:space="preserve">GO DEEPER — ACADEMY</w:t>
      </w:r>
      <w:r>
        <w:t xml:space="preserve"> </w:t>
      </w:r>
      <w:r>
        <w:t xml:space="preserve">callouts throughout the chapters; they are the doorways.</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START HERE</w:t>
            </w:r>
          </w:p>
          <w:p>
            <w:pPr>
              <w:spacing w:after="60" w:line="264" w:lineRule="auto"/>
            </w:pPr>
            <w:r>
              <w:rPr>
                <w:sz w:val="20"/>
                <w:szCs w:val="20"/>
              </w:rPr>
              <w:t xml:space="preserve">New to the ecosystem? Open</w:t>
            </w:r>
            <w:r>
              <w:rPr>
                <w:sz w:val="20"/>
                <w:szCs w:val="20"/>
              </w:rPr>
              <w:t xml:space="preserve"> </w:t>
            </w:r>
            <w:hyperlink r:id="rId41">
              <w:r>
                <w:rPr>
                  <w:rStyle w:val="Hyperlink"/>
                </w:rPr>
                <w:t xml:space="preserve">healthtransformationreview.org/academy/getting-started</w:t>
              </w:r>
            </w:hyperlink>
            <w:r>
              <w:rPr>
                <w:sz w:val="20"/>
                <w:szCs w:val="20"/>
              </w:rPr>
              <w:t xml:space="preserve">, declare your role, and the platform personalizes what it surfaces first. Prefer to explore on your own? The</w:t>
            </w:r>
            <w:r>
              <w:rPr>
                <w:sz w:val="20"/>
                <w:szCs w:val="20"/>
              </w:rPr>
              <w:t xml:space="preserve"> </w:t>
            </w:r>
            <w:hyperlink r:id="rId23">
              <w:r>
                <w:rPr>
                  <w:rStyle w:val="Hyperlink"/>
                </w:rPr>
                <w:t xml:space="preserve">Research Lab</w:t>
              </w:r>
            </w:hyperlink>
            <w:r>
              <w:rPr>
                <w:sz w:val="20"/>
                <w:szCs w:val="20"/>
              </w:rPr>
              <w:t xml:space="preserve"> </w:t>
            </w:r>
            <w:r>
              <w:rPr>
                <w:sz w:val="20"/>
                <w:szCs w:val="20"/>
              </w:rPr>
              <w:t xml:space="preserve">is organized into benches grouped by pillar — and the</w:t>
            </w:r>
            <w:r>
              <w:rPr>
                <w:sz w:val="20"/>
                <w:szCs w:val="20"/>
              </w:rPr>
              <w:t xml:space="preserve"> </w:t>
            </w:r>
            <w:hyperlink r:id="rId24">
              <w:r>
                <w:rPr>
                  <w:rStyle w:val="Hyperlink"/>
                </w:rPr>
                <w:t xml:space="preserve">AI Analyst</w:t>
              </w:r>
            </w:hyperlink>
            <w:r>
              <w:rPr>
                <w:sz w:val="20"/>
                <w:szCs w:val="20"/>
              </w:rPr>
              <w:t xml:space="preserve"> </w:t>
            </w:r>
            <w:r>
              <w:rPr>
                <w:sz w:val="20"/>
                <w:szCs w:val="20"/>
              </w:rPr>
              <w:t xml:space="preserve">can orient you to any of them.</w:t>
            </w:r>
          </w:p>
        </w:tc>
      </w:tr>
    </w:tbl>
    <w:p>
      <w:pPr>
        <w:spacing w:after="120"/>
      </w:pPr>
    </w:p>
    <w:p>
      <w:pPr>
        <w:pStyle w:val="Heading2"/>
        <w:pBdr>
          <w:top w:val="single" w:sz="6" w:space="10" w:color="C9D2DF"/>
        </w:pBdr>
      </w:pPr>
      <w:bookmarkStart w:id="1018" w:name="_Toc1017"/>
      <w:r>
        <w:rPr>
          <w:b/>
          <w:bCs/>
          <w:color w:val="161B22"/>
        </w:rPr>
        <w:t xml:space="preserve">How to Use This Book</w:t>
      </w:r>
      <w:bookmarkEnd w:id="1018"/>
    </w:p>
    <w:p>
      <w:pPr>
        <w:pStyle w:val="FirstParagraph"/>
      </w:pPr>
      <w:r>
        <w:t xml:space="preserve">This book has four primary reader profiles. Each has a different relationship to the material and a different way of getting maximum value from it — in the book, on the platform, and in the Academy.</w:t>
      </w:r>
    </w:p>
    <w:p>
      <w:pPr>
        <w:pStyle w:val="Heading3"/>
      </w:pPr>
      <w:bookmarkStart w:id="1019" w:name="_Toc1018"/>
      <w:r>
        <w:rPr>
          <w:b/>
          <w:bCs/>
          <w:color w:val="161B22"/>
        </w:rPr>
        <w:t xml:space="preserve">The Healthcare Policy Professional</w:t>
      </w:r>
      <w:bookmarkEnd w:id="1019"/>
    </w:p>
    <w:p>
      <w:pPr>
        <w:pStyle w:val="FirstParagraph"/>
      </w:pPr>
      <w:r>
        <w:t xml:space="preserve">You work in a government agency, a legislative office, a think tank, or a foundation focused on healthcare policy.</w:t>
      </w:r>
    </w:p>
    <w:p>
      <w:pPr>
        <w:pStyle w:val="BodyText"/>
      </w:pPr>
      <w:r>
        <w:rPr>
          <w:b/>
          <w:bCs/>
        </w:rPr>
        <w:t xml:space="preserve">Recommended path.</w:t>
      </w:r>
      <w:r>
        <w:t xml:space="preserve"> </w:t>
      </w:r>
      <w:r>
        <w:t xml:space="preserve">Read the Introduction and Chapter 1 (the six-pillar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pPr>
        <w:pStyle w:val="BodyText"/>
      </w:pPr>
      <w:r>
        <w:rPr>
          <w:b/>
          <w:bCs/>
        </w:rPr>
        <w:t xml:space="preserve">On the platform.</w:t>
      </w:r>
      <w:r>
        <w:t xml:space="preserve"> </w:t>
      </w:r>
      <w:r>
        <w:t xml:space="preserve">Start with the</w:t>
      </w:r>
      <w:r>
        <w:t xml:space="preserve"> </w:t>
      </w:r>
      <w:hyperlink r:id="rId43">
        <w:r>
          <w:rPr>
            <w:rStyle w:val="Hyperlink"/>
          </w:rPr>
          <w:t xml:space="preserve">HTR Simulator</w:t>
        </w:r>
      </w:hyperlink>
      <w:r>
        <w:t xml:space="preserve"> </w:t>
      </w:r>
      <w:r>
        <w:t xml:space="preserve">to model a state’s readiness and the</w:t>
      </w:r>
      <w:r>
        <w:t xml:space="preserve"> </w:t>
      </w:r>
      <w:hyperlink r:id="rId40">
        <w:r>
          <w:rPr>
            <w:rStyle w:val="Hyperlink"/>
          </w:rPr>
          <w:t xml:space="preserve">fifty-state dashboard</w:t>
        </w:r>
      </w:hyperlink>
      <w:r>
        <w:t xml:space="preserve"> </w:t>
      </w:r>
      <w:r>
        <w:t xml:space="preserve">to benchmark it, then work the</w:t>
      </w:r>
      <w:r>
        <w:t xml:space="preserve"> </w:t>
      </w:r>
      <w:hyperlink r:id="rId44">
        <w:r>
          <w:rPr>
            <w:rStyle w:val="Hyperlink"/>
          </w:rPr>
          <w:t xml:space="preserve">Policy &amp; Quality Sciences bench</w:t>
        </w:r>
      </w:hyperlink>
      <w:r>
        <w:t xml:space="preserve"> </w:t>
      </w:r>
      <w:r>
        <w:t xml:space="preserve">in the Research Lab.</w:t>
      </w:r>
    </w:p>
    <w:p>
      <w:pPr>
        <w:pStyle w:val="BodyText"/>
      </w:pPr>
      <w:r>
        <w:rPr>
          <w:b/>
          <w:bCs/>
        </w:rPr>
        <w:t xml:space="preserve">In the Academy.</w:t>
      </w:r>
      <w:r>
        <w:t xml:space="preserve"> </w:t>
      </w:r>
      <w:r>
        <w:t xml:space="preserve">Begin with the policy and payment-reform courses at</w:t>
      </w:r>
      <w:r>
        <w:t xml:space="preserve"> </w:t>
      </w:r>
      <w:hyperlink r:id="rId45">
        <w:r>
          <w:rPr>
            <w:rStyle w:val="Hyperlink"/>
          </w:rPr>
          <w:t xml:space="preserve">/academy/courses</w:t>
        </w:r>
      </w:hyperlink>
      <w:r>
        <w:t xml:space="preserve">.</w:t>
      </w:r>
    </w:p>
    <w:p>
      <w:pPr>
        <w:pStyle w:val="Heading3"/>
      </w:pPr>
      <w:bookmarkStart w:id="1020" w:name="_Toc1019"/>
      <w:r>
        <w:rPr>
          <w:b/>
          <w:bCs/>
          <w:color w:val="161B22"/>
        </w:rPr>
        <w:t xml:space="preserve">The Healthcare Executive or Administrator</w:t>
      </w:r>
      <w:bookmarkEnd w:id="1020"/>
    </w:p>
    <w:p>
      <w:pPr>
        <w:pStyle w:val="FirstParagraph"/>
      </w:pPr>
      <w:r>
        <w:t xml:space="preserve">You lead a hospital, health system, health plan, ACO, or healthcare services organization. You are making decisions — about contracts, capital investments, workforce, technology — that the transformation environment is complicating.</w:t>
      </w:r>
    </w:p>
    <w:p>
      <w:pPr>
        <w:pStyle w:val="BodyText"/>
      </w:pPr>
      <w:r>
        <w:rPr>
          <w:b/>
          <w:bCs/>
        </w:rPr>
        <w:t xml:space="preserve">Recommended path.</w:t>
      </w:r>
      <w:r>
        <w:t xml:space="preserve"> </w:t>
      </w:r>
      <w:r>
        <w:t xml:space="preserve">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pPr>
        <w:pStyle w:val="BodyText"/>
      </w:pPr>
      <w:r>
        <w:rPr>
          <w:b/>
          <w:bCs/>
        </w:rPr>
        <w:t xml:space="preserve">On the platform.</w:t>
      </w:r>
      <w:r>
        <w:t xml:space="preserve"> </w:t>
      </w:r>
      <w:r>
        <w:t xml:space="preserve">Run your own organization through the</w:t>
      </w:r>
      <w:r>
        <w:t xml:space="preserve"> </w:t>
      </w:r>
      <w:hyperlink r:id="rId47">
        <w:r>
          <w:rPr>
            <w:rStyle w:val="Hyperlink"/>
          </w:rPr>
          <w:t xml:space="preserve">Payment Models &amp; VBC bench</w:t>
        </w:r>
      </w:hyperlink>
      <w:r>
        <w:t xml:space="preserve"> </w:t>
      </w:r>
      <w:r>
        <w:t xml:space="preserve">— the VBC Readiness Assessment and APM tools — and pressure-test your finances with the</w:t>
      </w:r>
      <w:r>
        <w:t xml:space="preserve"> </w:t>
      </w:r>
      <w:hyperlink r:id="rId23">
        <w:r>
          <w:rPr>
            <w:rStyle w:val="Hyperlink"/>
          </w:rPr>
          <w:t xml:space="preserve">Research Lab</w:t>
        </w:r>
      </w:hyperlink>
      <w:r>
        <w:t xml:space="preserve">.</w:t>
      </w:r>
    </w:p>
    <w:p>
      <w:pPr>
        <w:pStyle w:val="BodyText"/>
      </w:pPr>
      <w:r>
        <w:rPr>
          <w:b/>
          <w:bCs/>
        </w:rPr>
        <w:t xml:space="preserve">In the Academy.</w:t>
      </w:r>
      <w:r>
        <w:t xml:space="preserve"> </w:t>
      </w:r>
      <w:r>
        <w:t xml:space="preserve">Take the Value-Based Care course at</w:t>
      </w:r>
      <w:r>
        <w:t xml:space="preserve"> </w:t>
      </w:r>
      <w:hyperlink r:id="rId22">
        <w:r>
          <w:rPr>
            <w:rStyle w:val="Hyperlink"/>
          </w:rPr>
          <w:t xml:space="preserve">/academy</w:t>
        </w:r>
      </w:hyperlink>
      <w:r>
        <w:t xml:space="preserve"> </w:t>
      </w:r>
      <w:r>
        <w:t xml:space="preserve">before your next contract cycle.</w:t>
      </w:r>
    </w:p>
    <w:p>
      <w:pPr>
        <w:pStyle w:val="Heading3"/>
      </w:pPr>
      <w:bookmarkStart w:id="1021" w:name="_Toc1020"/>
      <w:r>
        <w:rPr>
          <w:b/>
          <w:bCs/>
          <w:color w:val="161B22"/>
        </w:rPr>
        <w:t xml:space="preserve">The Vermont Practitioner</w:t>
      </w:r>
      <w:bookmarkEnd w:id="1021"/>
    </w:p>
    <w:p>
      <w:pPr>
        <w:pStyle w:val="FirstParagraph"/>
      </w:pPr>
      <w:r>
        <w:t xml:space="preserve">You work for AHS, GMCB, DVHA, the Vermont legislature, a Vermont hospital, a Blueprint practice, or a Vermont community organization.</w:t>
      </w:r>
    </w:p>
    <w:p>
      <w:pPr>
        <w:pStyle w:val="BodyText"/>
      </w:pPr>
      <w:r>
        <w:rPr>
          <w:b/>
          <w:bCs/>
        </w:rPr>
        <w:t xml:space="preserve">Recommended path.</w:t>
      </w:r>
      <w:r>
        <w:t xml:space="preserve"> </w:t>
      </w:r>
      <w:r>
        <w:t xml:space="preserve">Read Appendix A (Vermont System Portrait) first, then Chapter 1 (the six-pillar framework and execution sequence) and Chapter 2 (the Policy Pillar — Acts 167 and 68). Then Chapter 16 (the AHS Restructuring Roadmap) as the operational framework for your work. Use the implementation timeline tables throughout as a working reference guide.</w:t>
      </w:r>
    </w:p>
    <w:p>
      <w:pPr>
        <w:pStyle w:val="BodyText"/>
      </w:pPr>
      <w:r>
        <w:rPr>
          <w:b/>
          <w:bCs/>
        </w:rPr>
        <w:t xml:space="preserve">On the platform.</w:t>
      </w:r>
      <w:r>
        <w:t xml:space="preserve"> </w:t>
      </w:r>
      <w:r>
        <w:t xml:space="preserve">The Vermont concept pages —</w:t>
      </w:r>
      <w:r>
        <w:t xml:space="preserve"> </w:t>
      </w:r>
      <w:hyperlink r:id="rId49">
        <w:r>
          <w:rPr>
            <w:rStyle w:val="Hyperlink"/>
          </w:rPr>
          <w:t xml:space="preserve">Act 167</w:t>
        </w:r>
      </w:hyperlink>
      <w:r>
        <w:t xml:space="preserve">,</w:t>
      </w:r>
      <w:r>
        <w:t xml:space="preserve"> </w:t>
      </w:r>
      <w:hyperlink r:id="rId50">
        <w:r>
          <w:rPr>
            <w:rStyle w:val="Hyperlink"/>
          </w:rPr>
          <w:t xml:space="preserve">Act 68</w:t>
        </w:r>
      </w:hyperlink>
      <w:r>
        <w:t xml:space="preserve">, the</w:t>
      </w:r>
      <w:r>
        <w:t xml:space="preserve"> </w:t>
      </w:r>
      <w:hyperlink r:id="rId51">
        <w:r>
          <w:rPr>
            <w:rStyle w:val="Hyperlink"/>
          </w:rPr>
          <w:t xml:space="preserve">AHEAD Model</w:t>
        </w:r>
      </w:hyperlink>
      <w:r>
        <w:t xml:space="preserve"> </w:t>
      </w:r>
      <w:r>
        <w:t xml:space="preserve">— and the</w:t>
      </w:r>
      <w:r>
        <w:t xml:space="preserve"> </w:t>
      </w:r>
      <w:hyperlink r:id="rId52">
        <w:r>
          <w:rPr>
            <w:rStyle w:val="Hyperlink"/>
          </w:rPr>
          <w:t xml:space="preserve">Vermont hospital dashboard</w:t>
        </w:r>
      </w:hyperlink>
      <w:r>
        <w:t xml:space="preserve"> </w:t>
      </w:r>
      <w:r>
        <w:t xml:space="preserve">turn the book’s Vermont evidence into live, current data. Ask the</w:t>
      </w:r>
      <w:r>
        <w:t xml:space="preserve"> </w:t>
      </w:r>
      <w:hyperlink r:id="rId24">
        <w:r>
          <w:rPr>
            <w:rStyle w:val="Hyperlink"/>
          </w:rPr>
          <w:t xml:space="preserve">AI Analyst</w:t>
        </w:r>
      </w:hyperlink>
      <w:r>
        <w:t xml:space="preserve"> </w:t>
      </w:r>
      <w:r>
        <w:t xml:space="preserve">about any Vermont statute or program.</w:t>
      </w:r>
    </w:p>
    <w:p>
      <w:pPr>
        <w:pStyle w:val="Heading3"/>
      </w:pPr>
      <w:bookmarkStart w:id="1022" w:name="_Toc1021"/>
      <w:r>
        <w:rPr>
          <w:b/>
          <w:bCs/>
          <w:color w:val="161B22"/>
        </w:rPr>
        <w:t xml:space="preserve">The Healthcare Student or Researcher</w:t>
      </w:r>
      <w:bookmarkEnd w:id="1022"/>
    </w:p>
    <w:p>
      <w:pPr>
        <w:pStyle w:val="FirstParagraph"/>
      </w:pPr>
      <w:r>
        <w:t xml:space="preserve">You are building foundational knowledge in a graduate program or as an independent researcher.</w:t>
      </w:r>
    </w:p>
    <w:p>
      <w:pPr>
        <w:pStyle w:val="BodyText"/>
      </w:pPr>
      <w:r>
        <w:rPr>
          <w:b/>
          <w:bCs/>
        </w:rPr>
        <w:t xml:space="preserve">Recommended path.</w:t>
      </w:r>
      <w:r>
        <w:t xml:space="preserve"> </w:t>
      </w:r>
      <w:r>
        <w:t xml:space="preserve">Read the entire book in order. Chapter 1 establishes the framework and execution sequence; Chapters 2-11 develop each pillar; Chapters 12-16 provide future context and the AHS restructuring roadmap. The Key Concepts sections at the end of each chapter are the glossary. The source notes are the bibliography. Use Vermont as the case study while building transferable analytical skills.</w:t>
      </w:r>
    </w:p>
    <w:p>
      <w:pPr>
        <w:pStyle w:val="BodyText"/>
      </w:pPr>
      <w:r>
        <w:rPr>
          <w:b/>
          <w:bCs/>
        </w:rPr>
        <w:t xml:space="preserve">On the platform.</w:t>
      </w:r>
      <w:r>
        <w:t xml:space="preserve"> </w:t>
      </w:r>
      <w:r>
        <w:t xml:space="preserve">The</w:t>
      </w:r>
      <w:r>
        <w:t xml:space="preserve"> </w:t>
      </w:r>
      <w:hyperlink r:id="rId22">
        <w:r>
          <w:rPr>
            <w:rStyle w:val="Hyperlink"/>
          </w:rPr>
          <w:t xml:space="preserve">Academy</w:t>
        </w:r>
      </w:hyperlink>
      <w:r>
        <w:t xml:space="preserve"> </w:t>
      </w:r>
      <w:r>
        <w:t xml:space="preserve">gives you a structured curriculum with progress tracking, and the entire</w:t>
      </w:r>
      <w:r>
        <w:t xml:space="preserve"> </w:t>
      </w:r>
      <w:hyperlink r:id="rId23">
        <w:r>
          <w:rPr>
            <w:rStyle w:val="Hyperlink"/>
          </w:rPr>
          <w:t xml:space="preserve">Research Lab</w:t>
        </w:r>
      </w:hyperlink>
      <w:r>
        <w:t xml:space="preserve"> </w:t>
      </w:r>
      <w:r>
        <w:t xml:space="preserve">is a sandbox for reproducing the book’s analyses yourself. Start at</w:t>
      </w:r>
      <w:r>
        <w:t xml:space="preserve"> </w:t>
      </w:r>
      <w:hyperlink r:id="rId41">
        <w:r>
          <w:rPr>
            <w:rStyle w:val="Hyperlink"/>
          </w:rPr>
          <w:t xml:space="preserve">/academy/getting-started</w:t>
        </w:r>
      </w:hyperlink>
      <w:r>
        <w:t xml:space="preserve">.</w:t>
      </w:r>
    </w:p>
    <w:p>
      <w:pPr>
        <w:pStyle w:val="Heading2"/>
        <w:pBdr>
          <w:top w:val="single" w:sz="6" w:space="10" w:color="C9D2DF"/>
        </w:pBdr>
      </w:pPr>
      <w:bookmarkStart w:id="1023" w:name="_Toc1022"/>
      <w:r>
        <w:rPr>
          <w:b/>
          <w:bCs/>
          <w:color w:val="161B22"/>
        </w:rPr>
        <w:t xml:space="preserve">What This Book Cannot Do</w:t>
      </w:r>
      <w:bookmarkEnd w:id="1023"/>
    </w:p>
    <w:p>
      <w:pPr>
        <w:pStyle w:val="FirstParagraph"/>
      </w:pPr>
      <w: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pPr>
        <w:pStyle w:val="BodyText"/>
      </w:pPr>
      <w: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pPr>
        <w:pStyle w:val="BodyText"/>
      </w:pPr>
      <w: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pPr>
        <w:pStyle w:val="BodyText"/>
      </w:pPr>
      <w: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p>
    <w:p>
      <w:r>
        <w:br w:type="page"/>
      </w:r>
    </w:p>
    <w:p>
      <w:pPr>
        <w:pStyle w:val="Heading1"/>
      </w:pPr>
      <w:bookmarkStart w:id="1024" w:name="_Toc1023"/>
      <w:r>
        <w:rPr>
          <w:b/>
          <w:bCs/>
          <w:color w:val="161B22"/>
        </w:rPr>
        <w:t xml:space="preserve">Chapter 1: The Six-Pillar Framework and the Execution Sequence</w:t>
      </w:r>
      <w:bookmarkEnd w:id="102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is a system problem: six pillars — Policy, Technology, Economics, Clinical, Equity, and Operations — connected by fifteen dependency relationships that determine whether reform succeeds or fails. This chapter opens with the failure that proves the point — OneCare Vermont’s collapse — then defines the six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p>
    <w:p>
      <w:pPr>
        <w:pStyle w:val="Heading2"/>
        <w:pBdr>
          <w:top w:val="single" w:sz="6" w:space="10" w:color="C9D2DF"/>
        </w:pBdr>
        <w:keepNext w:val="false"/>
      </w:pPr>
      <w:r>
        <w:rPr>
          <w:color w:val="161B22"/>
        </w:rPr>
        <w:t xml:space="preserve">1.1  </w:t>
      </w:r>
      <w:bookmarkStart w:id="1025" w:name="_Toc1024"/>
      <w:r>
        <w:rPr>
          <w:b/>
          <w:bCs/>
          <w:color w:val="161B22"/>
        </w:rPr>
        <w:t xml:space="preserve">The Problem with Single-Pillar Thinking</w:t>
      </w:r>
      <w:bookmarkEnd w:id="1025"/>
    </w:p>
    <w:p>
      <w:pPr>
        <w:pStyle w:val="FirstParagraph"/>
        <w:keepNext w:val="false"/>
      </w:pPr>
      <w:r>
        <w:t xml:space="preserve">In 2010, the Affordable Care Act created the Center for Medicare and Medicaid Innovation with a mandate to test new payment and delivery models and scale what worked. Over the following fifteen years, CMMI launched more than fifty models, investing billions of dollars and attracting the attention of thousands of healthcare organizations. A 2023 evaluation found that the vast majority had not achieved statistically significant reductions in spending or improvements in quality. Most were discontinued. A handful showed promise and were expanded.</w:t>
      </w:r>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50+</w:t>
            </w:r>
          </w:p>
          <w:p>
            <w:pPr>
              <w:jc w:val="center"/>
              <w:spacing w:after="40"/>
            </w:pPr>
            <w:r>
              <w:rPr>
                <w:rFonts w:ascii="Calibri" w:hAnsi="Calibri"/>
                <w:b/>
                <w:sz w:val="16"/>
                <w:color w:val="1B3A6B"/>
              </w:rPr>
              <w:t>CMMI Models Launched</w:t>
            </w:r>
          </w:p>
        </w:tc>
        <w:tc>
          <w:tcPr>
            <w:tcW w:w="2268" w:type="dxa"/>
            <w:shd w:val="clear" w:color="auto" w:fill="E8F0FB"/>
            <w:vAlign w:val="center"/>
          </w:tcPr>
          <w:p>
            <w:pPr>
              <w:jc w:val="center"/>
              <w:spacing w:after="20" w:before="40"/>
            </w:pPr>
            <w:r>
              <w:rPr>
                <w:rFonts w:ascii="Calibri" w:hAnsi="Calibri"/>
                <w:b/>
                <w:sz w:val="16"/>
                <w:color w:val="1B3A6B"/>
              </w:rPr>
              <w:t>&lt;10%</w:t>
            </w:r>
          </w:p>
          <w:p>
            <w:pPr>
              <w:jc w:val="center"/>
              <w:spacing w:after="40"/>
            </w:pPr>
            <w:r>
              <w:rPr>
                <w:rFonts w:ascii="Calibri" w:hAnsi="Calibri"/>
                <w:b/>
                <w:sz w:val="16"/>
                <w:color w:val="1B3A6B"/>
              </w:rPr>
              <w:t>Models With Significant Results</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Span of Experience</w:t>
            </w:r>
          </w:p>
        </w:tc>
        <w:tc>
          <w:tcPr>
            <w:tcW w:w="2268" w:type="dxa"/>
            <w:shd w:val="clear" w:color="auto" w:fill="E8F0FB"/>
            <w:vAlign w:val="center"/>
          </w:tcPr>
          <w:p>
            <w:pPr>
              <w:jc w:val="center"/>
              <w:spacing w:after="20" w:before="40"/>
            </w:pPr>
            <w:r>
              <w:rPr>
                <w:rFonts w:ascii="Calibri" w:hAnsi="Calibri"/>
                <w:b/>
                <w:sz w:val="16"/>
                <w:color w:val="1B3A6B"/>
              </w:rPr>
              <w:t>Problem:</w:t>
            </w:r>
          </w:p>
          <w:p>
            <w:pPr>
              <w:jc w:val="center"/>
              <w:spacing w:after="40"/>
            </w:pPr>
            <w:r>
              <w:rPr>
                <w:rFonts w:ascii="Calibri" w:hAnsi="Calibri"/>
                <w:b/>
                <w:sz w:val="16"/>
                <w:color w:val="1B3A6B"/>
              </w:rPr>
              <w:t>Single-Pillar Thinking</w:t>
            </w:r>
          </w:p>
        </w:tc>
      </w:tr>
    </w:tbl>
    <w:p>
      <w:pPr>
        <w:spacing w:after="120"/>
      </w:pPr>
    </w:p>
    <w:p>
      <w:pPr>
        <w:pStyle w:val="BodyText"/>
      </w:pPr>
      <w: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pPr>
        <w:pStyle w:val="BodyText"/>
      </w:pPr>
      <w:r>
        <w:t xml:space="preserve">The lesson is not that payment reform, clinical redesign, or technology investment is wrong. It is that each intervention, pursued in isolation, runs into the constraints created by the pillars it ignores. This is the core analytical argument of the six-pillar framework.</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Healthcare transformation is a system problem, and system problems require system solutions.</w:t>
      </w:r>
    </w:p>
    <w:p>
      <w:pPr>
        <w:spacing w:before="0" w:after="0" w:line="160" w:lineRule="auto"/>
      </w:pPr>
    </w:p>
    <w:p>
      <w:pPr>
        <w:pStyle w:val="BodyText"/>
      </w:pPr>
      <w: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pPr>
        <w:pStyle w:val="BodyText"/>
      </w:pPr>
      <w:r>
        <w:t xml:space="preserve">The problem is not the list. The problem is treating it as a list.</w:t>
      </w:r>
    </w:p>
    <w:p>
      <w:pPr>
        <w:pStyle w:val="BodyText"/>
      </w:pPr>
      <w: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six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six pillars as a checklist is precisely how decades of technically correct healthcare reform recommendations have produced inadequate results.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policy intervention that passes question one but fails questions four, five, or six is not a solution — it is a well-intentioned mistake waiting to be made.</w:t>
      </w:r>
    </w:p>
    <w:p>
      <w:pPr>
        <w:spacing w:before="0" w:after="0" w:line="160" w:lineRule="auto"/>
      </w:pPr>
    </w:p>
    <w:p>
      <w:pPr>
        <w:pStyle w:val="Heading2"/>
        <w:pBdr>
          <w:top w:val="single" w:sz="6" w:space="10" w:color="C9D2DF"/>
        </w:pBdr>
      </w:pPr>
      <w:r>
        <w:rPr>
          <w:color w:val="161B22"/>
        </w:rPr>
        <w:t xml:space="preserve">1.2  </w:t>
      </w:r>
      <w:bookmarkStart w:id="1026" w:name="_Toc1025"/>
      <w:r>
        <w:rPr>
          <w:b/>
          <w:bCs/>
          <w:color w:val="161B22"/>
        </w:rPr>
        <w:t xml:space="preserve">The OneCare Failure: A Sequencing Autopsy</w:t>
      </w:r>
      <w:bookmarkEnd w:id="1026"/>
    </w:p>
    <w:p>
      <w:pPr>
        <w:pStyle w:val="FirstParagraph"/>
      </w:pPr>
      <w:r>
        <w:t xml:space="preserve">The clearest evidence for that argument is a failure that has already happened. Before defining the six pillars, it is worth examining OneCare Vermont’s collapse in structural terms, because the failure was not random and it was not primarily the result of bad intentions or poor execution. OneCare failed because of sequencing errors baked into its design from the beginning. Identifying those errors precisely is more useful than simply noting that the ACO wound down after a decade of operation.</w:t>
      </w:r>
    </w:p>
    <w:p>
      <w:pPr>
        <w:pStyle w:val="BodyText"/>
      </w:pPr>
      <w: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failures that compounded until the organization could not recover.</w:t>
      </w:r>
    </w:p>
    <w:p>
      <w:pPr>
        <w:pStyle w:val="Heading3"/>
      </w:pPr>
      <w:r>
        <w:rPr>
          <w:color w:val="161B22"/>
        </w:rPr>
        <w:t xml:space="preserve">1.2.1  </w:t>
      </w:r>
      <w:bookmarkStart w:id="1027" w:name="_Toc1026"/>
      <w:r>
        <w:rPr>
          <w:b/>
          <w:bCs/>
          <w:color w:val="161B22"/>
        </w:rPr>
        <w:t xml:space="preserve">Sequencing Failure 1: Economics Without Policy Foundation</w:t>
      </w:r>
      <w:bookmarkEnd w:id="1027"/>
    </w:p>
    <w:p>
      <w:pPr>
        <w:pStyle w:val="FirstParagraph"/>
        <w:keepNext w:val="false"/>
      </w:pPr>
      <w:r>
        <w:t xml:space="preserve">The most fundamental problem: Vermont attempted to operate a sophisticated payment reform model — one requiring system-wide accountability — without the policy foundation to enforce participation. Provider participation in OneCare was voluntary.</w:t>
      </w:r>
    </w:p>
    <w:p>
      <w:pPr>
        <w:pStyle w:val="BodyText"/>
        <w:keepNext w:val="false"/>
      </w:pPr>
      <w:r>
        <w:t xml:space="preserve">This matters structurally, not just administratively. The Total Cost of Care model holds the ACO financially accountable for the total spending of an attributed population. But when high-cost, high-revenue providers remain outside the ACO — because participation is optional — the ACO is held responsible for costs it cannot influence. A hospital generating significant revenue from inpatient admissions has a rational financial incentive to stay outside a model that rewards reducing those admissions. When it does, the ACO’s ability to manage total cost is structurally undermined from day one.</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c>
          <w:tcPr>
            <w:tcW w:w="9072" w:type="dxa"/>
            <w:shd w:val="clear" w:color="auto" w:fill="FFF6E5"/>
          </w:tcPr>
          <w:p>
            <w:pPr>
              <w:spacing w:after="60" w:line="264" w:lineRule="auto"/>
            </w:pPr>
            <w:r>
              <w:rPr>
                <w:b/>
                <w:bCs/>
                <w:sz w:val="21"/>
                <w:szCs w:val="21"/>
                <w:color w:val="8A5A00"/>
              </w:rPr>
              <w:t xml:space="preserve">WORKED EXAMPLE — What optional participation means for a hospital CFO</w:t>
            </w:r>
          </w:p>
          <w:p>
            <w:pPr>
              <w:spacing w:after="60" w:line="264" w:lineRule="auto"/>
            </w:pPr>
            <w:r>
              <w:rPr>
                <w:sz w:val="20"/>
                <w:szCs w:val="20"/>
              </w:rPr>
              <w:t xml:space="preserve">Imagine you are the CFO of a Vermont hospital. Your hospital generates $40 million annually from inpatient admissions. OneCare is asking you to join an ACO that will hold you financially accountable for reducing those admissions — reducing your revenue. Participation is voluntary. You have three choices: join and accept the risk; join and manage costs without affecting revenue; or don’t join. For many Vermont hospitals, the rational choice was the third. This is not a failure of values. It is a predictable response to an incentive structure that the policy framework failed to close.</w:t>
            </w:r>
          </w:p>
        </w:tc>
      </w:tr>
    </w:tbl>
    <w:p>
      <w:pPr>
        <w:spacing w:after="120"/>
      </w:pPr>
    </w:p>
    <w:p>
      <w:pPr>
        <w:pStyle w:val="BodyText"/>
      </w:pPr>
      <w:r>
        <w:t xml:space="preserve">Act 68’s mandatory architecture is the direct statutory response to this failure. Reference-based pricing and global budgets are not optional. Every Vermont hospital is in.</w:t>
      </w:r>
    </w:p>
    <w:p>
      <w:pPr>
        <w:pStyle w:val="Heading3"/>
      </w:pPr>
      <w:r>
        <w:rPr>
          <w:color w:val="161B22"/>
        </w:rPr>
        <w:t xml:space="preserve">1.2.2  </w:t>
      </w:r>
      <w:bookmarkStart w:id="1028" w:name="_Toc1027"/>
      <w:r>
        <w:rPr>
          <w:b/>
          <w:bCs/>
          <w:color w:val="161B22"/>
        </w:rPr>
        <w:t xml:space="preserve">Sequencing Failure 2: Economics Without Technology — The</w:t>
      </w:r>
      <w:r>
        <w:rPr>
          <w:b/>
          <w:bCs/>
          <w:color w:val="161B22"/>
        </w:rPr>
        <w:t xml:space="preserve"> </w:t>
      </w:r>
      <w:r>
        <w:rPr>
          <w:b/>
          <w:bCs/>
          <w:color w:val="161B22"/>
        </w:rPr>
        <w:t xml:space="preserve">“Managing Blind”</w:t>
      </w:r>
      <w:r>
        <w:rPr>
          <w:b/>
          <w:bCs/>
          <w:color w:val="161B22"/>
        </w:rPr>
        <w:t xml:space="preserve"> </w:t>
      </w:r>
      <w:r>
        <w:rPr>
          <w:b/>
          <w:bCs/>
          <w:color w:val="161B22"/>
        </w:rPr>
        <w:t xml:space="preserve">Failure Mode</w:t>
      </w:r>
      <w:bookmarkEnd w:id="1028"/>
    </w:p>
    <w:p>
      <w:pPr>
        <w:pStyle w:val="FirstParagraph"/>
      </w:pPr>
      <w:r>
        <w:t xml:space="preserve">OneCare attempted to manage a complex, population-level payment model involving real financial risk without the technology infrastructure required to do so. Specifically: no integrated system combining timely clinical data with claims data at meaningful scale.</w:t>
      </w:r>
    </w:p>
    <w:p>
      <w:pPr>
        <w:pStyle w:val="BodyText"/>
        <w:keepNext w:val="false"/>
      </w:pPr>
      <w:r>
        <w:t xml:space="preserve">Claims data is the financial record of healthcare — every bill submitted to an insurer. It tells you what was done, when, and at what cost. Clinical data is the medical record — diagnoses, lab results, medications, care plans. It tells you why something was done and what the patient’s health status actually is. Neither dataset alone is sufficient for managing value-based payment. You need both, integrated, in near-real time.</w:t>
      </w:r>
    </w:p>
    <w:p>
      <w:pPr>
        <w:pStyle w:val="BodyText"/>
        <w:keepNext w:val="false"/>
      </w:pPr>
      <w:r>
        <w:t xml:space="preserve">OneCare operated without this. Care managers were working from claims data arriving 60 to 90 days after care was delivered — meaning they were identifying patients who had already been hospitalized rather than preventing hospitalization in the first place. This is the</w:t>
      </w:r>
      <w:r>
        <w:t xml:space="preserve"> </w:t>
      </w:r>
      <w:r>
        <w:t xml:space="preserve">“Managing Blind”</w:t>
      </w:r>
      <w:r>
        <w:t xml:space="preserve"> </w:t>
      </w:r>
      <w:r>
        <w:t xml:space="preserve">failure mode: assuming downside financial risk under a Total Cost of Care model without the analytics to track total cost of care in real time. The result is unexpected, unexplainable financial losses — not because the model is wrong, but because the organization cannot see what it is supposed to be managing.</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c>
          <w:tcPr>
            <w:tcW w:w="9072" w:type="dxa"/>
            <w:shd w:val="clear" w:color="auto" w:fill="FFF6E5"/>
          </w:tcPr>
          <w:p>
            <w:pPr>
              <w:spacing w:after="60" w:line="264" w:lineRule="auto"/>
            </w:pPr>
            <w:r>
              <w:rPr>
                <w:b/>
                <w:bCs/>
                <w:sz w:val="21"/>
                <w:szCs w:val="21"/>
                <w:color w:val="8A5A00"/>
              </w:rPr>
              <w:t xml:space="preserve">WORKED EXAMPLE — Why timeliness is as critical as integration</w:t>
            </w:r>
          </w:p>
          <w:p>
            <w:pPr>
              <w:spacing w:after="60" w:line="264" w:lineRule="auto"/>
            </w:pPr>
            <w:r>
              <w:rPr>
                <w:sz w:val="20"/>
                <w:szCs w:val="20"/>
              </w:rPr>
              <w:t xml:space="preserve">A care manager responsible for 500 high-risk patients under a Total Cost of Care model needs to identify patients who are deteriorating before they are hospitalized. If her data arrives 60 days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w:t>
            </w:r>
          </w:p>
        </w:tc>
      </w:tr>
    </w:tbl>
    <w:p>
      <w:pPr>
        <w:spacing w:after="120"/>
      </w:pPr>
    </w:p>
    <w:p>
      <w:pPr>
        <w:pStyle w:val="BodyText"/>
      </w:pPr>
      <w:r>
        <w:t xml:space="preserve">Vermont’s AHEAD technology infrastructure addresses this directly: VHCURES provides longitudinal population data; VITL/VHIE provides clinical data exchange; and the AHS-GMCB analytics capability provides the modeling layer for global budget management and equity monitoring. This is the substrate OneCare never built.</w:t>
      </w:r>
    </w:p>
    <w:p>
      <w:pPr>
        <w:pStyle w:val="Heading3"/>
        <w:keepNext w:val="false"/>
      </w:pPr>
      <w:r>
        <w:rPr>
          <w:color w:val="161B22"/>
        </w:rPr>
        <w:t xml:space="preserve">1.2.3  </w:t>
      </w:r>
      <w:bookmarkStart w:id="1029" w:name="_Toc1028"/>
      <w:r>
        <w:rPr>
          <w:b/>
          <w:bCs/>
          <w:color w:val="161B22"/>
        </w:rPr>
        <w:t xml:space="preserve">Sequencing Failure 3: The Cascade</w:t>
      </w:r>
      <w:bookmarkEnd w:id="1029"/>
    </w:p>
    <w:p>
      <w:pPr>
        <w:pStyle w:val="FirstParagraph"/>
        <w:keepNext w:val="false"/>
      </w:pPr>
      <w:r>
        <w:t xml:space="preserve">The two failures above did not operate independently. They compounded. Because participation was optional, OneCare could not achieve the provider network coverage required to manage total cost of care. Because it could not manage total cost of care, it could not demonstrate savings. Because it could not demonstrate savings, it could not attract the capital to build the technology infrastructure that might have allowed it to manage costs. Because it lacked that technology, care management remained limited, financial reporting remained inadequate, and clinical value remained undemonstrated. Because clinical value was undemonstrated, skeptical providers had no reason to join. Which returned the cascade to its starting point.</w:t>
      </w:r>
    </w:p>
    <w:tbl>
      <w:tblPr>
        <w:tblStyle w:val="HTRTable"/>
        <w:tblLook w:firstRow="1" w:lastRow="0" w:firstColumn="0" w:lastColumn="0" w:noHBand="0" w:noVBand="1" w:val="0020"/>
        <w:tblW w:w="9072" w:type="dxa"/>
        <w:tblLayout w:type="fixed"/>
      </w:tblPr>
      <w:tblGrid>
        <w:gridCol w:w="1335"/>
        <w:gridCol w:w="2130"/>
        <w:gridCol w:w="2625"/>
        <w:gridCol w:w="2970"/>
      </w:tblGrid>
      <w:tr>
        <w:trPr>
          <w:tblHeader w:val="on"/>
          <w:cantSplit/>
        </w:trPr>
        <w:tc>
          <w:tcPr>
            <w:shd w:val="clear" w:color="auto" w:fill="1B3A6B"/>
            <w:tcW w:w="1335" w:type="dxa"/>
          </w:tcPr>
          <w:p>
            <w:pPr>
              <w:pStyle w:val="Compact"/>
              <w:jc w:val="left"/>
            </w:pPr>
            <w:r>
              <w:rPr>
                <w:b/>
                <w:color w:val="FFFFFF"/>
                <w:sz w:val="18"/>
              </w:rPr>
              <w:t xml:space="preserve">Sequencing Gap</w:t>
            </w:r>
          </w:p>
        </w:tc>
        <w:tc>
          <w:tcPr>
            <w:shd w:val="clear" w:color="auto" w:fill="1B3A6B"/>
            <w:tcW w:w="2130" w:type="dxa"/>
          </w:tcPr>
          <w:p>
            <w:pPr>
              <w:pStyle w:val="Compact"/>
              <w:jc w:val="left"/>
            </w:pPr>
            <w:r>
              <w:rPr>
                <w:b/>
                <w:color w:val="FFFFFF"/>
                <w:sz w:val="18"/>
              </w:rPr>
              <w:t xml:space="preserve">Structural Error</w:t>
            </w:r>
          </w:p>
        </w:tc>
        <w:tc>
          <w:tcPr>
            <w:shd w:val="clear" w:color="auto" w:fill="1B3A6B"/>
            <w:tcW w:w="2625" w:type="dxa"/>
          </w:tcPr>
          <w:p>
            <w:pPr>
              <w:pStyle w:val="Compact"/>
              <w:jc w:val="left"/>
            </w:pPr>
            <w:r>
              <w:rPr>
                <w:b/>
                <w:color w:val="FFFFFF"/>
                <w:sz w:val="18"/>
              </w:rPr>
              <w:t xml:space="preserve">Direct Consequence</w:t>
            </w:r>
          </w:p>
        </w:tc>
        <w:tc>
          <w:tcPr>
            <w:shd w:val="clear" w:color="auto" w:fill="1B3A6B"/>
            <w:tcW w:w="2970" w:type="dxa"/>
          </w:tcPr>
          <w:p>
            <w:pPr>
              <w:pStyle w:val="Compact"/>
              <w:jc w:val="left"/>
            </w:pPr>
            <w:r>
              <w:rPr>
                <w:b/>
                <w:color w:val="FFFFFF"/>
                <w:sz w:val="18"/>
              </w:rPr>
              <w:t xml:space="preserve">Cascade Effect</w:t>
            </w:r>
          </w:p>
        </w:tc>
      </w:tr>
      <w:tr>
        <w:trPr>
          <w:cantSplit/>
        </w:trPr>
        <w:tc>
          <w:tcPr>
            <w:tcW w:w="1335" w:type="dxa"/>
          </w:tcPr>
          <w:p>
            <w:pPr>
              <w:pStyle w:val="Compact"/>
              <w:jc w:val="left"/>
            </w:pPr>
            <w:r>
              <w:rPr>
                <w:sz w:val="18"/>
              </w:rPr>
              <w:t xml:space="preserve">Policy (Stage 1)</w:t>
            </w:r>
          </w:p>
        </w:tc>
        <w:tc>
          <w:tcPr>
            <w:tcW w:w="2130" w:type="dxa"/>
          </w:tcPr>
          <w:p>
            <w:pPr>
              <w:pStyle w:val="Compact"/>
              <w:jc w:val="left"/>
            </w:pPr>
            <w:r>
              <w:rPr>
                <w:sz w:val="18"/>
              </w:rPr>
              <w:t xml:space="preserve">Voluntary participation — no mandate</w:t>
            </w:r>
          </w:p>
        </w:tc>
        <w:tc>
          <w:tcPr>
            <w:tcW w:w="2625" w:type="dxa"/>
          </w:tcPr>
          <w:p>
            <w:pPr>
              <w:pStyle w:val="Compact"/>
              <w:jc w:val="left"/>
            </w:pPr>
            <w:r>
              <w:rPr>
                <w:sz w:val="18"/>
              </w:rPr>
              <w:t xml:space="preserve">High-revenue hospitals opt out; ACO accountable for costs it cannot influence</w:t>
            </w:r>
          </w:p>
        </w:tc>
        <w:tc>
          <w:tcPr>
            <w:tcW w:w="2970" w:type="dxa"/>
          </w:tcPr>
          <w:p>
            <w:pPr>
              <w:pStyle w:val="Compact"/>
              <w:jc w:val="left"/>
            </w:pPr>
            <w:r>
              <w:rPr>
                <w:sz w:val="18"/>
              </w:rPr>
              <w:t xml:space="preserve">Total cost of care cannot be managed → savings targets missed</w:t>
            </w:r>
          </w:p>
        </w:tc>
      </w:tr>
      <w:tr>
        <w:trPr/>
        <w:tc>
          <w:tcPr>
            <w:tcW w:w="1335" w:type="dxa"/>
          </w:tcPr>
          <w:p>
            <w:pPr>
              <w:pStyle w:val="Compact"/>
              <w:jc w:val="left"/>
            </w:pPr>
            <w:r>
              <w:rPr>
                <w:sz w:val="18"/>
              </w:rPr>
              <w:t xml:space="preserve">Technology (Stage 2)</w:t>
            </w:r>
          </w:p>
        </w:tc>
        <w:tc>
          <w:tcPr>
            <w:tcW w:w="2130" w:type="dxa"/>
          </w:tcPr>
          <w:p>
            <w:pPr>
              <w:pStyle w:val="Compact"/>
              <w:jc w:val="left"/>
            </w:pPr>
            <w:r>
              <w:rPr>
                <w:sz w:val="18"/>
              </w:rPr>
              <w:t xml:space="preserve">No integrated real-time data; 60–90 day lag</w:t>
            </w:r>
          </w:p>
        </w:tc>
        <w:tc>
          <w:tcPr>
            <w:tcW w:w="2625" w:type="dxa"/>
          </w:tcPr>
          <w:p>
            <w:pPr>
              <w:pStyle w:val="Compact"/>
              <w:jc w:val="left"/>
            </w:pPr>
            <w:r>
              <w:rPr>
                <w:sz w:val="18"/>
              </w:rPr>
              <w:t xml:space="preserve">“Managing Blind”</w:t>
            </w:r>
            <w:r>
              <w:rPr>
                <w:sz w:val="18"/>
              </w:rPr>
              <w:t xml:space="preserve"> </w:t>
            </w:r>
            <w:r>
              <w:rPr>
                <w:sz w:val="18"/>
              </w:rPr>
              <w:t xml:space="preserve">— care managers identify hospitalized patients after the fact</w:t>
            </w:r>
          </w:p>
        </w:tc>
        <w:tc>
          <w:tcPr>
            <w:tcW w:w="2970" w:type="dxa"/>
          </w:tcPr>
          <w:p>
            <w:pPr>
              <w:pStyle w:val="Compact"/>
              <w:jc w:val="left"/>
            </w:pPr>
            <w:r>
              <w:rPr>
                <w:sz w:val="18"/>
              </w:rPr>
              <w:t xml:space="preserve">Proactive intervention impossible → high-cost events not prevented → financial exposure accelerates</w:t>
            </w:r>
          </w:p>
        </w:tc>
      </w:tr>
      <w:tr>
        <w:trPr/>
        <w:tc>
          <w:tcPr>
            <w:tcW w:w="1335" w:type="dxa"/>
          </w:tcPr>
          <w:p>
            <w:pPr>
              <w:pStyle w:val="Compact"/>
              <w:jc w:val="left"/>
            </w:pPr>
            <w:r>
              <w:rPr>
                <w:sz w:val="18"/>
              </w:rPr>
              <w:t xml:space="preserve">Economics (Stage 3)</w:t>
            </w:r>
          </w:p>
        </w:tc>
        <w:tc>
          <w:tcPr>
            <w:tcW w:w="2130" w:type="dxa"/>
          </w:tcPr>
          <w:p>
            <w:pPr>
              <w:pStyle w:val="Compact"/>
              <w:jc w:val="left"/>
            </w:pPr>
            <w:r>
              <w:rPr>
                <w:sz w:val="18"/>
              </w:rPr>
              <w:t xml:space="preserve">Payment model assumed risk before technology was ready</w:t>
            </w:r>
          </w:p>
        </w:tc>
        <w:tc>
          <w:tcPr>
            <w:tcW w:w="2625" w:type="dxa"/>
          </w:tcPr>
          <w:p>
            <w:pPr>
              <w:pStyle w:val="Compact"/>
              <w:jc w:val="left"/>
            </w:pPr>
            <w:r>
              <w:rPr>
                <w:sz w:val="18"/>
              </w:rPr>
              <w:t xml:space="preserve">Unexpected losses → cannot demonstrate savings to payers</w:t>
            </w:r>
          </w:p>
        </w:tc>
        <w:tc>
          <w:tcPr>
            <w:tcW w:w="2970" w:type="dxa"/>
          </w:tcPr>
          <w:p>
            <w:pPr>
              <w:pStyle w:val="Compact"/>
              <w:jc w:val="left"/>
            </w:pPr>
            <w:r>
              <w:rPr>
                <w:sz w:val="18"/>
              </w:rPr>
              <w:t xml:space="preserve">Capital unavailable to build technology → cycle repeats</w:t>
            </w:r>
          </w:p>
        </w:tc>
      </w:tr>
      <w:tr>
        <w:trPr>
          <w:cantSplit/>
        </w:trPr>
        <w:tc>
          <w:tcPr>
            <w:tcW w:w="1335" w:type="dxa"/>
          </w:tcPr>
          <w:p>
            <w:pPr>
              <w:pStyle w:val="Compact"/>
              <w:jc w:val="left"/>
            </w:pPr>
            <w:r>
              <w:rPr>
                <w:sz w:val="18"/>
              </w:rPr>
              <w:t xml:space="preserve">System-level</w:t>
            </w:r>
          </w:p>
        </w:tc>
        <w:tc>
          <w:tcPr>
            <w:tcW w:w="2130" w:type="dxa"/>
          </w:tcPr>
          <w:p>
            <w:pPr>
              <w:pStyle w:val="Compact"/>
              <w:jc w:val="left"/>
            </w:pPr>
            <w:r>
              <w:rPr>
                <w:sz w:val="18"/>
              </w:rPr>
              <w:t xml:space="preserve">Three gaps mutually reinforcing</w:t>
            </w:r>
          </w:p>
        </w:tc>
        <w:tc>
          <w:tcPr>
            <w:tcW w:w="2625" w:type="dxa"/>
          </w:tcPr>
          <w:p>
            <w:pPr>
              <w:pStyle w:val="Compact"/>
              <w:jc w:val="left"/>
            </w:pPr>
            <w:r>
              <w:rPr>
                <w:sz w:val="18"/>
              </w:rPr>
              <w:t xml:space="preserve">Organizational wind-down after ~10 years</w:t>
            </w:r>
          </w:p>
        </w:tc>
        <w:tc>
          <w:tcPr>
            <w:tcW w:w="2970" w:type="dxa"/>
          </w:tcPr>
          <w:p>
            <w:pPr>
              <w:pStyle w:val="Compact"/>
              <w:jc w:val="left"/>
            </w:pPr>
            <w:r>
              <w:rPr>
                <w:sz w:val="18"/>
              </w:rPr>
              <w:t xml:space="preserve">Failure was architectural — no management decision could reverse it</w:t>
            </w:r>
          </w:p>
        </w:tc>
      </w:tr>
    </w:tbl>
    <w:p>
      <w:pPr>
        <w:pStyle w:val="Caption"/>
        <w:keepNext/>
        <w:spacing w:before="120"/>
      </w:pPr>
      <w:r>
        <w:rPr>
          <w:i/>
          <w:iCs/>
        </w:rPr>
        <w:t xml:space="preserve">Figure 1.1 — The OneCare Failure Cascade. Source: HTR Analysis (2026). Based on GMCB records, AHS November 2025 Transformation Report, and OneCare Vermont public filings.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three sequencing failures above — economics without a policy foundation, payment reform without data infrastructure, and clinical redesign without measurement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p>
        </w:tc>
      </w:tr>
    </w:tbl>
    <w:p>
      <w:pPr>
        <w:spacing w:after="120"/>
      </w:pPr>
    </w:p>
    <w:p>
      <w:pPr>
        <w:pStyle w:val="Heading2"/>
        <w:pBdr>
          <w:top w:val="single" w:sz="6" w:space="10" w:color="C9D2DF"/>
        </w:pBdr>
      </w:pPr>
      <w:r>
        <w:rPr>
          <w:color w:val="161B22"/>
        </w:rPr>
        <w:t xml:space="preserve">1.3  </w:t>
      </w:r>
      <w:bookmarkStart w:id="1030" w:name="_Toc1029"/>
      <w:r>
        <w:rPr>
          <w:b/>
          <w:bCs/>
          <w:color w:val="161B22"/>
        </w:rPr>
        <w:t xml:space="preserve">The Six Pillars Defined</w:t>
      </w:r>
      <w:bookmarkEnd w:id="1030"/>
    </w:p>
    <w:p>
      <w:pPr>
        <w:pStyle w:val="FirstParagraph"/>
      </w:pPr>
      <w:r>
        <w:t xml:space="preserve">The six pillars are not equal in their causal priority — enabling legislation (Policy) and investing in data infrastructure (Technology) are preconditions that the other pillars depend on — but they are equal in their necessity. A transformed healthcare system requires all six to be functional.</w:t>
      </w:r>
    </w:p>
    <w:p>
      <w:pPr>
        <w:pStyle w:val="BodyText"/>
      </w:pPr>
      <w:r>
        <w:rPr>
          <w:b/>
          <w:bCs/>
        </w:rPr>
        <w:t xml:space="preserve">Policy</w:t>
      </w:r>
      <w:r>
        <w:t xml:space="preserve"> </w:t>
      </w:r>
      <w: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pPr>
        <w:pStyle w:val="BodyText"/>
      </w:pPr>
      <w:r>
        <w:rPr>
          <w:i/>
          <w:iCs/>
        </w:rPr>
        <w:t xml:space="preserve">Vermont application: Acts 167 and 68, the AHEAD Model State Agreement, and the Statewide Strategic Plan mandate are Vermont’s Policy pillar interventions. Each converts voluntary reform into statutory obligation.</w:t>
      </w:r>
    </w:p>
    <w:p>
      <w:pPr>
        <w:pStyle w:val="BodyText"/>
      </w:pPr>
      <w:r>
        <w:rPr>
          <w:b/>
          <w:bCs/>
        </w:rPr>
        <w:t xml:space="preserve">Technology</w:t>
      </w:r>
      <w:r>
        <w:t xml:space="preserve"> </w:t>
      </w:r>
      <w: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pPr>
        <w:pStyle w:val="BodyText"/>
      </w:pPr>
      <w:r>
        <w:rPr>
          <w:i/>
          <w:iCs/>
        </w:rPr>
        <w:t xml:space="preserve">Vermont application: VHCURES (all-payer claims database), VITL/VHIE (health information exchange), the AHS-GMCB data integration and analytics capability, AI scribe grants, and Vermont’s Clinically Integrated Network are Technology pillar investments.</w:t>
      </w:r>
    </w:p>
    <w:p>
      <w:pPr>
        <w:pStyle w:val="BodyText"/>
      </w:pPr>
      <w:r>
        <w:rPr>
          <w:b/>
          <w:bCs/>
        </w:rPr>
        <w:t xml:space="preserve">Economics</w:t>
      </w:r>
      <w:r>
        <w:t xml:space="preserve"> </w:t>
      </w:r>
      <w: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p>
    <w:p>
      <w:pPr>
        <w:pStyle w:val="BodyText"/>
      </w:pPr>
      <w:r>
        <w:rPr>
          <w:i/>
          <w:iCs/>
        </w:rPr>
        <w:t xml:space="preserve">Vermont application: Reference-based pricing (FY2027), global hospital budgets (FY2028–2030), and the AHEAD Model’s total cost of care accountability are Vermont’s Economics pillar interventions.</w:t>
      </w:r>
    </w:p>
    <w:p>
      <w:pPr>
        <w:pStyle w:val="BodyText"/>
      </w:pPr>
      <w:r>
        <w:rPr>
          <w:b/>
          <w:bCs/>
        </w:rPr>
        <w:t xml:space="preserve">Clinical</w:t>
      </w:r>
      <w:r>
        <w:t xml:space="preserve"> </w:t>
      </w:r>
      <w:r>
        <w:t xml:space="preserve">— The care delivery models, quality measurement frameworks, clinical workforce design, and patient care programs that determine how care is actually delivered. The Clinical pillar is where payment reform becomes patient outcomes — or fails to.</w:t>
      </w:r>
    </w:p>
    <w:p>
      <w:pPr>
        <w:pStyle w:val="BodyText"/>
      </w:pPr>
      <w:r>
        <w:rPr>
          <w:i/>
          <w:iCs/>
        </w:rPr>
        <w:t xml:space="preserve">Vermont application: The Blueprint for Health (all-payer PCMH program), Collaborative Care Model behavioral health integration, CCBHC expansion, and the primary care investment strategy are Vermont’s Clinical pillar interventions.</w:t>
      </w:r>
    </w:p>
    <w:p>
      <w:pPr>
        <w:pStyle w:val="BodyText"/>
      </w:pPr>
      <w:r>
        <w:rPr>
          <w:b/>
          <w:bCs/>
        </w:rPr>
        <w:t xml:space="preserve">Equity</w:t>
      </w:r>
      <w:r>
        <w:t xml:space="preserve"> </w:t>
      </w:r>
      <w:r>
        <w:t xml:space="preserve">— The programs, investments, and accountability structures that ensure transformation benefits reach all populations — and specifically those most harmed by the current system’s failures. Equity is not a soft afterthought; it is an analytical requirement. A transformation that reduces average costs while widening disparities has failed.</w:t>
      </w:r>
    </w:p>
    <w:p>
      <w:pPr>
        <w:pStyle w:val="BodyText"/>
      </w:pPr>
      <w:r>
        <w:rPr>
          <w:i/>
          <w:iCs/>
        </w:rPr>
        <w:t xml:space="preserve">Vermont application: Geographic equity across Vermont’s 14 HSAs, SDOH investment through the EAST Fund and Blueprint HRSN screening, rural access preservation in the RBP and global budget design, and health equity metrics in Act 167/68 reporting are Vermont’s Equity pillar interventions.</w:t>
      </w:r>
    </w:p>
    <w:p>
      <w:pPr>
        <w:pStyle w:val="BodyText"/>
      </w:pPr>
      <w:r>
        <w:rPr>
          <w:b/>
          <w:bCs/>
        </w:rPr>
        <w:t xml:space="preserve">Operations</w:t>
      </w:r>
      <w:r>
        <w:t xml:space="preserve"> </w:t>
      </w:r>
      <w: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pPr>
        <w:pStyle w:val="BodyText"/>
        <w:keepNext w:val="false"/>
      </w:pPr>
      <w:r>
        <w:rPr>
          <w:i/>
          <w:iCs/>
        </w:rPr>
        <w:t xml:space="preserve">Vermont application: The 14-hospital transformation planning process, RHRC technical assistance, the AHS HSA Coordinator model, the Division of Planning and Effectiveness, and EMS regionalization are Vermont’s Operations pillar investments.</w:t>
      </w:r>
    </w:p>
    <w:p>
      <w:pPr>
        <w:pStyle w:val="BodyText"/>
        <w:keepNext w:val="false"/>
      </w:pPr>
      <w:r>
        <w:t xml:space="preserve">The table below characterizes each pillar’s diagnostic function and structural role in the system — not as a repetition of the definitions above, but as a specification of what each pillar produces when functioning and what question it answers in the transformation logic.</w:t>
      </w:r>
    </w:p>
    <w:tbl>
      <w:tblPr>
        <w:tblStyle w:val="HTRTable"/>
        <w:tblLook w:firstRow="1" w:lastRow="0" w:firstColumn="0" w:lastColumn="0" w:noHBand="0" w:noVBand="1" w:val="0020"/>
        <w:tblW w:w="9072" w:type="dxa"/>
        <w:tblLayout w:type="fixed"/>
      </w:tblPr>
      <w:tblGrid>
        <w:gridCol w:w="1215"/>
        <w:gridCol w:w="1425"/>
        <w:gridCol w:w="3360"/>
        <w:gridCol w:w="3090"/>
      </w:tblGrid>
      <w:tr>
        <w:trPr>
          <w:tblHeader w:val="on"/>
          <w:cantSplit/>
        </w:trPr>
        <w:tc>
          <w:tcPr>
            <w:shd w:val="clear" w:color="auto" w:fill="1B3A6B"/>
            <w:tcW w:w="1215" w:type="dxa"/>
          </w:tcPr>
          <w:p>
            <w:pPr>
              <w:pStyle w:val="Compact"/>
              <w:jc w:val="left"/>
            </w:pPr>
            <w:r>
              <w:rPr>
                <w:b/>
                <w:color w:val="FFFFFF"/>
                <w:sz w:val="18"/>
              </w:rPr>
              <w:t xml:space="preserve">Pillar</w:t>
            </w:r>
          </w:p>
        </w:tc>
        <w:tc>
          <w:tcPr>
            <w:shd w:val="clear" w:color="auto" w:fill="1B3A6B"/>
            <w:tcW w:w="1425" w:type="dxa"/>
          </w:tcPr>
          <w:p>
            <w:pPr>
              <w:pStyle w:val="Compact"/>
              <w:jc w:val="left"/>
            </w:pPr>
            <w:r>
              <w:rPr>
                <w:b/>
                <w:color w:val="FFFFFF"/>
                <w:sz w:val="18"/>
              </w:rPr>
              <w:t xml:space="preserve">Diagnostic question</w:t>
            </w:r>
          </w:p>
        </w:tc>
        <w:tc>
          <w:tcPr>
            <w:shd w:val="clear" w:color="auto" w:fill="1B3A6B"/>
            <w:tcW w:w="3360" w:type="dxa"/>
          </w:tcPr>
          <w:p>
            <w:pPr>
              <w:pStyle w:val="Compact"/>
              <w:jc w:val="left"/>
            </w:pPr>
            <w:r>
              <w:rPr>
                <w:b/>
                <w:color w:val="FFFFFF"/>
                <w:sz w:val="18"/>
              </w:rPr>
              <w:t xml:space="preserve">Structural role in the system</w:t>
            </w:r>
          </w:p>
        </w:tc>
        <w:tc>
          <w:tcPr>
            <w:shd w:val="clear" w:color="auto" w:fill="1B3A6B"/>
            <w:tcW w:w="3090" w:type="dxa"/>
          </w:tcPr>
          <w:p>
            <w:pPr>
              <w:pStyle w:val="Compact"/>
              <w:jc w:val="left"/>
            </w:pPr>
            <w:r>
              <w:rPr>
                <w:b/>
                <w:color w:val="FFFFFF"/>
                <w:sz w:val="18"/>
              </w:rPr>
              <w:t xml:space="preserve">What it produces when functioning</w:t>
            </w:r>
          </w:p>
        </w:tc>
      </w:tr>
      <w:tr>
        <w:trPr>
          <w:cantSplit/>
        </w:trPr>
        <w:tc>
          <w:tcPr>
            <w:tcW w:w="1215" w:type="dxa"/>
          </w:tcPr>
          <w:p>
            <w:pPr>
              <w:pStyle w:val="Compact"/>
              <w:jc w:val="left"/>
            </w:pPr>
            <w:r>
              <w:rPr>
                <w:b/>
                <w:bCs/>
                <w:sz w:val="18"/>
              </w:rPr>
              <w:t xml:space="preserve">Policy</w:t>
            </w:r>
          </w:p>
        </w:tc>
        <w:tc>
          <w:tcPr>
            <w:tcW w:w="1425" w:type="dxa"/>
          </w:tcPr>
          <w:p>
            <w:pPr>
              <w:pStyle w:val="Compact"/>
              <w:jc w:val="left"/>
            </w:pPr>
            <w:r>
              <w:rPr>
                <w:sz w:val="18"/>
              </w:rPr>
              <w:t xml:space="preserve">Is it permissible?</w:t>
            </w:r>
          </w:p>
        </w:tc>
        <w:tc>
          <w:tcPr>
            <w:tcW w:w="3360" w:type="dxa"/>
          </w:tcPr>
          <w:p>
            <w:pPr>
              <w:pStyle w:val="Compact"/>
              <w:jc w:val="left"/>
            </w:pPr>
            <w:r>
              <w:rPr>
                <w:sz w:val="18"/>
              </w:rPr>
              <w:t xml:space="preserve">The mandatory architecture. Converts aspirational reform into binding requirements. Without mandatory authority, the highest-cost actors opt out and voluntary reform achieves marginal results.</w:t>
            </w:r>
          </w:p>
        </w:tc>
        <w:tc>
          <w:tcPr>
            <w:tcW w:w="3090" w:type="dxa"/>
          </w:tcPr>
          <w:p>
            <w:pPr>
              <w:pStyle w:val="Compact"/>
              <w:jc w:val="left"/>
            </w:pPr>
            <w:r>
              <w:rPr>
                <w:sz w:val="18"/>
              </w:rPr>
              <w:t xml:space="preserve">Statutory mandates that eliminate voluntary opt-out; accountability timelines that cannot be deferred; federal-state agreements that commit both parties to specific outcomes.</w:t>
            </w:r>
          </w:p>
        </w:tc>
      </w:tr>
      <w:tr>
        <w:trPr/>
        <w:tc>
          <w:tcPr>
            <w:tcW w:w="1215" w:type="dxa"/>
          </w:tcPr>
          <w:p>
            <w:pPr>
              <w:pStyle w:val="Compact"/>
              <w:jc w:val="left"/>
            </w:pPr>
            <w:r>
              <w:rPr>
                <w:b/>
                <w:bCs/>
                <w:sz w:val="18"/>
              </w:rPr>
              <w:t xml:space="preserve">Technology</w:t>
            </w:r>
          </w:p>
        </w:tc>
        <w:tc>
          <w:tcPr>
            <w:tcW w:w="1425" w:type="dxa"/>
          </w:tcPr>
          <w:p>
            <w:pPr>
              <w:pStyle w:val="Compact"/>
              <w:jc w:val="left"/>
            </w:pPr>
            <w:r>
              <w:rPr>
                <w:sz w:val="18"/>
              </w:rPr>
              <w:t xml:space="preserve">Is it possible?</w:t>
            </w:r>
          </w:p>
        </w:tc>
        <w:tc>
          <w:tcPr>
            <w:tcW w:w="3360" w:type="dxa"/>
          </w:tcPr>
          <w:p>
            <w:pPr>
              <w:pStyle w:val="Compact"/>
              <w:jc w:val="left"/>
            </w:pPr>
            <w:r>
              <w:rPr>
                <w:sz w:val="18"/>
              </w:rPr>
              <w:t xml:space="preserve">The data substrate. Makes population health management, VBC contract execution, equity measurement, and strategic planning analytically feasible. Without data infrastructure, the other pillars are managed blindly.</w:t>
            </w:r>
          </w:p>
        </w:tc>
        <w:tc>
          <w:tcPr>
            <w:tcW w:w="3090" w:type="dxa"/>
          </w:tcPr>
          <w:p>
            <w:pPr>
              <w:pStyle w:val="Compact"/>
              <w:jc w:val="left"/>
            </w:pPr>
            <w:r>
              <w:rPr>
                <w:sz w:val="18"/>
              </w:rPr>
              <w:t xml:space="preserve">Attribution lists, TCOC measurement, HEDIS stratification, risk stratification, care-gap identification, AI-assisted clinical workflows — the analytical functions that VBC and population health management require.</w:t>
            </w:r>
          </w:p>
        </w:tc>
      </w:tr>
      <w:tr>
        <w:trPr/>
        <w:tc>
          <w:tcPr>
            <w:tcW w:w="1215" w:type="dxa"/>
          </w:tcPr>
          <w:p>
            <w:pPr>
              <w:pStyle w:val="Compact"/>
              <w:jc w:val="left"/>
            </w:pPr>
            <w:r>
              <w:rPr>
                <w:b/>
                <w:bCs/>
                <w:sz w:val="18"/>
              </w:rPr>
              <w:t xml:space="preserve">Economics</w:t>
            </w:r>
          </w:p>
        </w:tc>
        <w:tc>
          <w:tcPr>
            <w:tcW w:w="1425" w:type="dxa"/>
          </w:tcPr>
          <w:p>
            <w:pPr>
              <w:pStyle w:val="Compact"/>
              <w:jc w:val="left"/>
            </w:pPr>
            <w:r>
              <w:rPr>
                <w:sz w:val="18"/>
              </w:rPr>
              <w:t xml:space="preserve">Is it sustainable?</w:t>
            </w:r>
          </w:p>
        </w:tc>
        <w:tc>
          <w:tcPr>
            <w:tcW w:w="3360" w:type="dxa"/>
          </w:tcPr>
          <w:p>
            <w:pPr>
              <w:pStyle w:val="Compact"/>
              <w:jc w:val="left"/>
            </w:pPr>
            <w:r>
              <w:rPr>
                <w:sz w:val="18"/>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tcW w:w="3090" w:type="dxa"/>
          </w:tcPr>
          <w:p>
            <w:pPr>
              <w:pStyle w:val="Compact"/>
              <w:jc w:val="left"/>
            </w:pPr>
            <w:r>
              <w:rPr>
                <w:sz w:val="18"/>
              </w:rPr>
              <w:t xml:space="preserve">Payment models in which population health management is financially rational; price structures that break the commercial cross-subsidy chain; accountability for total cost of care rather than encounter volume.</w:t>
            </w:r>
          </w:p>
        </w:tc>
      </w:tr>
      <w:tr>
        <w:trPr/>
        <w:tc>
          <w:tcPr>
            <w:tcW w:w="1215" w:type="dxa"/>
          </w:tcPr>
          <w:p>
            <w:pPr>
              <w:pStyle w:val="Compact"/>
              <w:jc w:val="left"/>
            </w:pPr>
            <w:r>
              <w:rPr>
                <w:b/>
                <w:bCs/>
                <w:sz w:val="18"/>
              </w:rPr>
              <w:t xml:space="preserve">Clinical</w:t>
            </w:r>
          </w:p>
        </w:tc>
        <w:tc>
          <w:tcPr>
            <w:tcW w:w="1425" w:type="dxa"/>
          </w:tcPr>
          <w:p>
            <w:pPr>
              <w:pStyle w:val="Compact"/>
              <w:jc w:val="left"/>
            </w:pPr>
            <w:r>
              <w:rPr>
                <w:sz w:val="18"/>
              </w:rPr>
              <w:t xml:space="preserve">Is it effective?</w:t>
            </w:r>
          </w:p>
        </w:tc>
        <w:tc>
          <w:tcPr>
            <w:tcW w:w="3360" w:type="dxa"/>
          </w:tcPr>
          <w:p>
            <w:pPr>
              <w:pStyle w:val="Compact"/>
              <w:jc w:val="left"/>
            </w:pPr>
            <w:r>
              <w:rPr>
                <w:sz w:val="18"/>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tcW w:w="3090" w:type="dxa"/>
          </w:tcPr>
          <w:p>
            <w:pPr>
              <w:pStyle w:val="Compact"/>
              <w:jc w:val="left"/>
            </w:pPr>
            <w:r>
              <w:rPr>
                <w:sz w:val="18"/>
              </w:rPr>
              <w:t xml:space="preserve">Primary care transformation that prevents hospitalizations; behavioral health integration that reduces crisis presentations; care management that closes gaps before they become acute episodes.</w:t>
            </w:r>
          </w:p>
        </w:tc>
      </w:tr>
      <w:tr>
        <w:trPr/>
        <w:tc>
          <w:tcPr>
            <w:tcW w:w="1215" w:type="dxa"/>
          </w:tcPr>
          <w:p>
            <w:pPr>
              <w:pStyle w:val="Compact"/>
              <w:jc w:val="left"/>
            </w:pPr>
            <w:r>
              <w:rPr>
                <w:b/>
                <w:bCs/>
                <w:sz w:val="18"/>
              </w:rPr>
              <w:t xml:space="preserve">Equity</w:t>
            </w:r>
          </w:p>
        </w:tc>
        <w:tc>
          <w:tcPr>
            <w:tcW w:w="1425" w:type="dxa"/>
          </w:tcPr>
          <w:p>
            <w:pPr>
              <w:pStyle w:val="Compact"/>
              <w:jc w:val="left"/>
            </w:pPr>
            <w:r>
              <w:rPr>
                <w:sz w:val="18"/>
              </w:rPr>
              <w:t xml:space="preserve">Is it just?</w:t>
            </w:r>
          </w:p>
        </w:tc>
        <w:tc>
          <w:tcPr>
            <w:tcW w:w="3360" w:type="dxa"/>
          </w:tcPr>
          <w:p>
            <w:pPr>
              <w:pStyle w:val="Compact"/>
              <w:jc w:val="left"/>
            </w:pPr>
            <w:r>
              <w:rPr>
                <w:sz w:val="18"/>
              </w:rPr>
              <w:t xml:space="preserve">The cross-cutting constraint and accountability lens. Not a separate program — a dimension applied to every decision in every other pillar. Transformation that improves averages while widening disparities has failed by the framework’s own standards.</w:t>
            </w:r>
          </w:p>
        </w:tc>
        <w:tc>
          <w:tcPr>
            <w:tcW w:w="3090" w:type="dxa"/>
          </w:tcPr>
          <w:p>
            <w:pPr>
              <w:pStyle w:val="Compact"/>
              <w:jc w:val="left"/>
            </w:pPr>
            <w:r>
              <w:rPr>
                <w:sz w:val="18"/>
              </w:rPr>
              <w:t xml:space="preserve">Stratified measurement that reveals disparities hidden in aggregates; payment designs that do not penalize providers serving high-SDOH populations; clinical programs that reach disadvantaged populations; technology infrastructure that produces disaggregated data.</w:t>
            </w:r>
          </w:p>
        </w:tc>
      </w:tr>
      <w:tr>
        <w:trPr>
          <w:cantSplit/>
        </w:trPr>
        <w:tc>
          <w:tcPr>
            <w:tcW w:w="1215" w:type="dxa"/>
          </w:tcPr>
          <w:p>
            <w:pPr>
              <w:pStyle w:val="Compact"/>
              <w:jc w:val="left"/>
            </w:pPr>
            <w:r>
              <w:rPr>
                <w:b/>
                <w:bCs/>
                <w:sz w:val="18"/>
              </w:rPr>
              <w:t xml:space="preserve">Operations</w:t>
            </w:r>
          </w:p>
        </w:tc>
        <w:tc>
          <w:tcPr>
            <w:tcW w:w="1425" w:type="dxa"/>
          </w:tcPr>
          <w:p>
            <w:pPr>
              <w:pStyle w:val="Compact"/>
              <w:jc w:val="left"/>
            </w:pPr>
            <w:r>
              <w:rPr>
                <w:sz w:val="18"/>
              </w:rPr>
              <w:t xml:space="preserve">Is it executable?</w:t>
            </w:r>
          </w:p>
        </w:tc>
        <w:tc>
          <w:tcPr>
            <w:tcW w:w="3360" w:type="dxa"/>
          </w:tcPr>
          <w:p>
            <w:pPr>
              <w:pStyle w:val="Compact"/>
              <w:jc w:val="left"/>
            </w:pPr>
            <w:r>
              <w:rPr>
                <w:sz w:val="18"/>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tcW w:w="3090" w:type="dxa"/>
          </w:tcPr>
          <w:p>
            <w:pPr>
              <w:pStyle w:val="Compact"/>
              <w:jc w:val="left"/>
            </w:pPr>
            <w:r>
              <w:rPr>
                <w:sz w:val="18"/>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pPr>
        <w:pStyle w:val="Caption"/>
        <w:spacing w:before="120"/>
      </w:pPr>
      <w:r>
        <w:rPr>
          <w:i/>
          <w:iCs/>
        </w:rPr>
        <w:t xml:space="preserve">Figure 1.2 — The six pillars: diagnostic questions and structural roles. Source: six-pillar framework documentation; Acts 167 and 68 of 2025.</w:t>
      </w:r>
    </w:p>
    <w:p>
      <w:pPr>
        <w:pStyle w:val="Heading2"/>
        <w:pBdr>
          <w:top w:val="single" w:sz="6" w:space="10" w:color="C9D2DF"/>
        </w:pBdr>
      </w:pPr>
      <w:r>
        <w:rPr>
          <w:color w:val="161B22"/>
        </w:rPr>
        <w:t xml:space="preserve">1.4  </w:t>
      </w:r>
      <w:bookmarkStart w:id="1031" w:name="_Toc1030"/>
      <w:r>
        <w:rPr>
          <w:b/>
          <w:bCs/>
          <w:color w:val="161B22"/>
        </w:rPr>
        <w:t xml:space="preserve">The Architecture of Interdependency: The Fifteen Dependency Relationships</w:t>
      </w:r>
      <w:bookmarkEnd w:id="1031"/>
    </w:p>
    <w:p>
      <w:pPr>
        <w:pStyle w:val="FirstParagraph"/>
      </w:pPr>
      <w:r>
        <w:t xml:space="preserve">The six pillars do not operate independently. They interact through fifteen directed dependencies and feedback loops that determine whether transformation produces the outcomes it promises. Understanding these interactions is the core analytical skill this book develops.</w:t>
      </w:r>
    </w:p>
    <w:p>
      <w:pPr>
        <w:pStyle w:val="BodyText"/>
      </w:pPr>
      <w:r>
        <w:t xml:space="preserve">Figure 1.3 renders all fifteen relationships as a single matrix: read each row as a source pillar and each column as the pillar it acts on. The bracketed tag names the kind of dependency —</w:t>
      </w:r>
      <w:r>
        <w:t xml:space="preserve"> </w:t>
      </w:r>
      <w:r>
        <w:rPr>
          <w:b/>
          <w:bCs/>
        </w:rPr>
        <w:t xml:space="preserve">ENABLES</w:t>
      </w:r>
      <w:r>
        <w:t xml:space="preserve"> </w:t>
      </w:r>
      <w:r>
        <w:t xml:space="preserve">(makes possible),</w:t>
      </w:r>
      <w:r>
        <w:t xml:space="preserve"> </w:t>
      </w:r>
      <w:r>
        <w:rPr>
          <w:b/>
          <w:bCs/>
        </w:rPr>
        <w:t xml:space="preserve">REQUIRES</w:t>
      </w:r>
      <w:r>
        <w:t xml:space="preserve"> </w:t>
      </w:r>
      <w:r>
        <w:t xml:space="preserve">(cannot function without),</w:t>
      </w:r>
      <w:r>
        <w:t xml:space="preserve"> </w:t>
      </w:r>
      <w:r>
        <w:rPr>
          <w:b/>
          <w:bCs/>
        </w:rPr>
        <w:t xml:space="preserve">DRIVES</w:t>
      </w:r>
      <w:r>
        <w:t xml:space="preserve"> </w:t>
      </w:r>
      <w:r>
        <w:t xml:space="preserve">(actively forces change in),</w:t>
      </w:r>
      <w:r>
        <w:t xml:space="preserve"> </w:t>
      </w:r>
      <w:r>
        <w:rPr>
          <w:b/>
          <w:bCs/>
        </w:rPr>
        <w:t xml:space="preserve">CONSTRAINS</w:t>
      </w:r>
      <w:r>
        <w:t xml:space="preserve"> </w:t>
      </w:r>
      <w:r>
        <w:t xml:space="preserve">(imposes a design limit on). The sections that follow take the relationships one source pillar at a time, naming the mechanism by which each operates, the failure mode that emerges when it is ignored, and the Vermont evidence that confirms it. (The same map is available as an interactive visualization on the Health Transformation Review platform:</w:t>
      </w:r>
      <w:r>
        <w:t xml:space="preserve"> </w:t>
      </w:r>
      <w:hyperlink r:id="rId23">
        <w:r>
          <w:rPr>
            <w:rStyle w:val="Hyperlink"/>
          </w:rPr>
          <w:t xml:space="preserve">healthtransformationreview.org/research-lab</w:t>
        </w:r>
      </w:hyperlink>
      <w:r>
        <w:t xml:space="preserve">.)</w:t>
      </w:r>
    </w:p>
    <w:p>
      <w:pPr>
        <w:pStyle w:val="BodyText"/>
        <w:keepNext w:val="false"/>
      </w:pPr>
      <w:r>
        <w:rPr>
          <w:b/>
          <w:bCs/>
        </w:rPr>
        <w:t xml:space="preserve">A note on reading direction — the single most common source of confusion.</w:t>
      </w:r>
      <w:r>
        <w:t xml:space="preserve"> </w:t>
      </w:r>
      <w:r>
        <w:t xml:space="preserve">Every dependency is a</w:t>
      </w:r>
      <w:r>
        <w:t xml:space="preserve"> </w:t>
      </w:r>
      <w:r>
        <w:rPr>
          <w:i/>
          <w:iCs/>
        </w:rPr>
        <w:t xml:space="preserve">directed</w:t>
      </w:r>
      <w:r>
        <w:t xml:space="preserve"> </w:t>
      </w:r>
      <w:r>
        <w:t xml:space="preserve">relationship between two pillars, and the verb you use to name it depends on which end you are standing at.</w:t>
      </w:r>
      <w:r>
        <w:t xml:space="preserve"> </w:t>
      </w:r>
      <w:r>
        <w:rPr>
          <w:b/>
          <w:bCs/>
        </w:rPr>
        <w:t xml:space="preserve">ENABLES and REQUIRES are the same relationship viewed from opposite ends.</w:t>
      </w:r>
      <w:r>
        <w:t xml:space="preserve"> </w:t>
      </w:r>
      <w:r>
        <w:t xml:space="preserve">When Technology enables Economics, Economics necessarily requires Technology; these are not two dependencies but one, described from the giving side and the receiving side. The same holds for DRIVES and CONSTRAINS: the pillar doing the driving is experienced by the other pillar as a constraint on its design.</w:t>
      </w:r>
    </w:p>
    <w:p>
      <w:pPr>
        <w:pStyle w:val="BodyText"/>
        <w:keepNext w:val="false"/>
      </w:pPr>
      <w:r>
        <w:t xml:space="preserve">This matters because it tells you what to count and what to look for. The fifteen relationships are counted once each, as directed edges — not thirty. And a pillar’s</w:t>
      </w:r>
      <w:r>
        <w:t xml:space="preserve"> </w:t>
      </w:r>
      <w:r>
        <w:rPr>
          <w:i/>
          <w:iCs/>
        </w:rPr>
        <w:t xml:space="preserve">inbound</w:t>
      </w:r>
      <w:r>
        <w:t xml:space="preserve"> </w:t>
      </w:r>
      <w:r>
        <w:t xml:space="preserve">count (how many other pillars depend on it) is the measure of its leverage, which is why the analysis later in this chapter identifies Technology as Vermont’s critical path.</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ONE RELATIONSHIP OR TWO?</w:t>
            </w:r>
          </w:p>
          <w:p>
            <w:pPr>
              <w:spacing w:after="60" w:line="264" w:lineRule="auto"/>
            </w:pPr>
            <w:r>
              <w:rPr>
                <w:sz w:val="20"/>
                <w:szCs w:val="20"/>
              </w:rPr>
              <w:t xml:space="preserve">The test is whether there are two</w:t>
            </w:r>
            <w:r>
              <w:rPr>
                <w:sz w:val="20"/>
                <w:szCs w:val="20"/>
              </w:rPr>
              <w:t xml:space="preserve"> </w:t>
            </w:r>
            <w:r>
              <w:rPr>
                <w:i/>
                <w:iCs/>
                <w:sz w:val="20"/>
                <w:szCs w:val="20"/>
              </w:rPr>
              <w:t xml:space="preserve">distinct causal mechanisms</w:t>
            </w:r>
            <w:r>
              <w:rPr>
                <w:sz w:val="20"/>
                <w:szCs w:val="20"/>
              </w:rPr>
              <w:t xml:space="preserve"> </w:t>
            </w:r>
            <w:r>
              <w:rPr>
                <w:sz w:val="20"/>
                <w:szCs w:val="20"/>
              </w:rPr>
              <w:t xml:space="preserve">or one mechanism described twice.</w:t>
            </w:r>
          </w:p>
          <w:p>
            <w:pPr>
              <w:spacing w:after="60" w:line="264" w:lineRule="auto"/>
            </w:pPr>
            <w:r>
              <w:rPr>
                <w:i/>
                <w:iCs/>
                <w:sz w:val="20"/>
                <w:szCs w:val="20"/>
              </w:rPr>
              <w:t xml:space="preserve">One relationship, two viewpoints (the common case):</w:t>
            </w:r>
            <w:r>
              <w:rPr>
                <w:sz w:val="20"/>
                <w:szCs w:val="20"/>
              </w:rPr>
              <w:t xml:space="preserve"> </w:t>
            </w:r>
            <w:r>
              <w:rPr>
                <w:sz w:val="20"/>
                <w:szCs w:val="20"/>
              </w:rPr>
              <w:t xml:space="preserve">Technology</w:t>
            </w:r>
            <w:r>
              <w:rPr>
                <w:sz w:val="20"/>
                <w:szCs w:val="20"/>
              </w:rPr>
              <w:t xml:space="preserve"> </w:t>
            </w:r>
            <w:r>
              <w:rPr>
                <w:b/>
                <w:bCs/>
                <w:sz w:val="20"/>
                <w:szCs w:val="20"/>
              </w:rPr>
              <w:t xml:space="preserve">enables</w:t>
            </w:r>
            <w:r>
              <w:rPr>
                <w:sz w:val="20"/>
                <w:szCs w:val="20"/>
              </w:rPr>
              <w:t xml:space="preserve"> </w:t>
            </w:r>
            <w:r>
              <w:rPr>
                <w:sz w:val="20"/>
                <w:szCs w:val="20"/>
              </w:rPr>
              <w:t xml:space="preserve">Economics; Economics</w:t>
            </w:r>
            <w:r>
              <w:rPr>
                <w:sz w:val="20"/>
                <w:szCs w:val="20"/>
              </w:rPr>
              <w:t xml:space="preserve"> </w:t>
            </w:r>
            <w:r>
              <w:rPr>
                <w:b/>
                <w:bCs/>
                <w:sz w:val="20"/>
                <w:szCs w:val="20"/>
              </w:rPr>
              <w:t xml:space="preserve">requires</w:t>
            </w:r>
            <w:r>
              <w:rPr>
                <w:sz w:val="20"/>
                <w:szCs w:val="20"/>
              </w:rPr>
              <w:t xml:space="preserve"> </w:t>
            </w:r>
            <w:r>
              <w:rPr>
                <w:sz w:val="20"/>
                <w:szCs w:val="20"/>
              </w:rPr>
              <w:t xml:space="preserve">Technology. A single dependency — data infrastructure makes financial management possible — named from either end. Count it once.</w:t>
            </w:r>
          </w:p>
          <w:p>
            <w:pPr>
              <w:spacing w:after="60" w:line="264" w:lineRule="auto"/>
            </w:pPr>
            <w:r>
              <w:rPr>
                <w:i/>
                <w:iCs/>
                <w:sz w:val="20"/>
                <w:szCs w:val="20"/>
              </w:rPr>
              <w:t xml:space="preserve">Two relationships, a genuine feedback loop (the rare case):</w:t>
            </w:r>
            <w:r>
              <w:rPr>
                <w:sz w:val="20"/>
                <w:szCs w:val="20"/>
              </w:rPr>
              <w:t xml:space="preserve"> </w:t>
            </w:r>
            <w:r>
              <w:rPr>
                <w:sz w:val="20"/>
                <w:szCs w:val="20"/>
              </w:rPr>
              <w:t xml:space="preserve">Operations</w:t>
            </w:r>
            <w:r>
              <w:rPr>
                <w:sz w:val="20"/>
                <w:szCs w:val="20"/>
              </w:rPr>
              <w:t xml:space="preserve"> </w:t>
            </w:r>
            <w:r>
              <w:rPr>
                <w:b/>
                <w:bCs/>
                <w:sz w:val="20"/>
                <w:szCs w:val="20"/>
              </w:rPr>
              <w:t xml:space="preserve">enables</w:t>
            </w:r>
            <w:r>
              <w:rPr>
                <w:sz w:val="20"/>
                <w:szCs w:val="20"/>
              </w:rPr>
              <w:t xml:space="preserve"> </w:t>
            </w:r>
            <w:r>
              <w:rPr>
                <w:sz w:val="20"/>
                <w:szCs w:val="20"/>
              </w:rPr>
              <w:t xml:space="preserve">Policy’s data feedback loops,</w:t>
            </w:r>
            <w:r>
              <w:rPr>
                <w:sz w:val="20"/>
                <w:szCs w:val="20"/>
              </w:rPr>
              <w:t xml:space="preserve"> </w:t>
            </w:r>
            <w:r>
              <w:rPr>
                <w:i/>
                <w:iCs/>
                <w:sz w:val="20"/>
                <w:szCs w:val="20"/>
              </w:rPr>
              <w:t xml:space="preserve">and</w:t>
            </w:r>
            <w:r>
              <w:rPr>
                <w:sz w:val="20"/>
                <w:szCs w:val="20"/>
              </w:rPr>
              <w:t xml:space="preserve"> </w:t>
            </w:r>
            <w:r>
              <w:rPr>
                <w:sz w:val="20"/>
                <w:szCs w:val="20"/>
              </w:rPr>
              <w:t xml:space="preserve">Policy</w:t>
            </w:r>
            <w:r>
              <w:rPr>
                <w:sz w:val="20"/>
                <w:szCs w:val="20"/>
              </w:rPr>
              <w:t xml:space="preserve"> </w:t>
            </w:r>
            <w:r>
              <w:rPr>
                <w:b/>
                <w:bCs/>
                <w:sz w:val="20"/>
                <w:szCs w:val="20"/>
              </w:rPr>
              <w:t xml:space="preserve">requires</w:t>
            </w:r>
            <w:r>
              <w:rPr>
                <w:sz w:val="20"/>
                <w:szCs w:val="20"/>
              </w:rPr>
              <w:t xml:space="preserve"> </w:t>
            </w:r>
            <w:r>
              <w:rPr>
                <w:sz w:val="20"/>
                <w:szCs w:val="20"/>
              </w:rPr>
              <w:t xml:space="preserve">statutory deadlines that Operations must execute against. Here the two directions carry different content: information flows one way, obligation the other. These are the loops that make the system self-correcting, and they are the reason the framework speaks of</w:t>
            </w:r>
            <w:r>
              <w:rPr>
                <w:sz w:val="20"/>
                <w:szCs w:val="20"/>
              </w:rPr>
              <w:t xml:space="preserve"> </w:t>
            </w:r>
            <w:r>
              <w:rPr>
                <w:sz w:val="20"/>
                <w:szCs w:val="20"/>
              </w:rPr>
              <w:t xml:space="preserve">“dependencies</w:t>
            </w:r>
            <w:r>
              <w:rPr>
                <w:sz w:val="20"/>
                <w:szCs w:val="20"/>
              </w:rPr>
              <w:t xml:space="preserve"> </w:t>
            </w:r>
            <w:r>
              <w:rPr>
                <w:b/>
                <w:bCs/>
                <w:sz w:val="20"/>
                <w:szCs w:val="20"/>
              </w:rPr>
              <w:t xml:space="preserve">and feedback loops</w:t>
            </w:r>
            <w:r>
              <w:rPr>
                <w:sz w:val="20"/>
                <w:szCs w:val="20"/>
              </w:rPr>
              <w:t xml:space="preserve">”</w:t>
            </w:r>
            <w:r>
              <w:rPr>
                <w:sz w:val="20"/>
                <w:szCs w:val="20"/>
              </w:rPr>
              <w:t xml:space="preserve"> </w:t>
            </w:r>
            <w:r>
              <w:rPr>
                <w:sz w:val="20"/>
                <w:szCs w:val="20"/>
              </w:rPr>
              <w:t xml:space="preserve">rather than dependencies alone.</w:t>
            </w:r>
          </w:p>
        </w:tc>
      </w:tr>
    </w:tbl>
    <w:tbl>
      <w:tblPr>
        <w:tblStyle w:val="HTRTable"/>
        <w:tblLook w:firstRow="1" w:lastRow="0" w:firstColumn="0" w:lastColumn="0" w:noHBand="0" w:noVBand="1" w:val="0020"/>
        <w:tblW w:w="9072" w:type="dxa"/>
        <w:tblLayout w:type="fixed"/>
      </w:tblPr>
      <w:tblGrid>
        <w:gridCol w:w="1368"/>
        <w:gridCol w:w="1284"/>
        <w:gridCol w:w="1284"/>
        <w:gridCol w:w="1284"/>
        <w:gridCol w:w="1284"/>
        <w:gridCol w:w="1284"/>
        <w:gridCol w:w="1284"/>
      </w:tblGrid>
      <w:tr>
        <w:trPr>
          <w:tblHeader w:val="on"/>
          <w:cantSplit/>
        </w:trPr>
        <w:tc>
          <w:tcPr>
            <w:shd w:val="clear" w:color="auto" w:fill="1B3A6B"/>
            <w:vAlign w:val="center"/>
            <w:tcW w:w="1368" w:type="dxa"/>
          </w:tcPr>
          <w:p>
            <w:pPr>
              <w:pStyle w:val="Compact"/>
              <w:jc w:val="center"/>
            </w:pPr>
            <w:r>
              <w:rPr>
                <w:b/>
                <w:color w:val="FFFFFF"/>
                <w:sz w:val="16"/>
              </w:rPr>
              <w:t xml:space="preserve">From ↓ / To →</w:t>
            </w:r>
          </w:p>
        </w:tc>
        <w:tc>
          <w:tcPr>
            <w:shd w:val="clear" w:color="auto" w:fill="1B3A6B"/>
            <w:vAlign w:val="center"/>
            <w:tcW w:w="1284" w:type="dxa"/>
          </w:tcPr>
          <w:p>
            <w:pPr>
              <w:pStyle w:val="Compact"/>
              <w:jc w:val="center"/>
            </w:pPr>
            <w:r>
              <w:rPr>
                <w:b/>
                <w:color w:val="FFFFFF"/>
                <w:sz w:val="16"/>
              </w:rPr>
              <w:t xml:space="preserve">Policy</w:t>
            </w:r>
          </w:p>
        </w:tc>
        <w:tc>
          <w:tcPr>
            <w:shd w:val="clear" w:color="auto" w:fill="1B3A6B"/>
            <w:vAlign w:val="center"/>
            <w:tcW w:w="1284" w:type="dxa"/>
          </w:tcPr>
          <w:p>
            <w:pPr>
              <w:pStyle w:val="Compact"/>
              <w:jc w:val="center"/>
            </w:pPr>
            <w:r>
              <w:rPr>
                <w:b/>
                <w:color w:val="FFFFFF"/>
                <w:sz w:val="16"/>
              </w:rPr>
              <w:t xml:space="preserve">Technology</w:t>
            </w:r>
          </w:p>
        </w:tc>
        <w:tc>
          <w:tcPr>
            <w:shd w:val="clear" w:color="auto" w:fill="1B3A6B"/>
            <w:vAlign w:val="center"/>
            <w:tcW w:w="1284" w:type="dxa"/>
          </w:tcPr>
          <w:p>
            <w:pPr>
              <w:pStyle w:val="Compact"/>
              <w:jc w:val="center"/>
            </w:pPr>
            <w:r>
              <w:rPr>
                <w:b/>
                <w:color w:val="FFFFFF"/>
                <w:sz w:val="16"/>
              </w:rPr>
              <w:t xml:space="preserve">Economics</w:t>
            </w:r>
          </w:p>
        </w:tc>
        <w:tc>
          <w:tcPr>
            <w:shd w:val="clear" w:color="auto" w:fill="1B3A6B"/>
            <w:vAlign w:val="center"/>
            <w:tcW w:w="1284" w:type="dxa"/>
          </w:tcPr>
          <w:p>
            <w:pPr>
              <w:pStyle w:val="Compact"/>
              <w:jc w:val="center"/>
            </w:pPr>
            <w:r>
              <w:rPr>
                <w:b/>
                <w:color w:val="FFFFFF"/>
                <w:sz w:val="16"/>
              </w:rPr>
              <w:t xml:space="preserve">Clinical</w:t>
            </w:r>
          </w:p>
        </w:tc>
        <w:tc>
          <w:tcPr>
            <w:shd w:val="clear" w:color="auto" w:fill="1B3A6B"/>
            <w:vAlign w:val="center"/>
            <w:tcW w:w="1284" w:type="dxa"/>
          </w:tcPr>
          <w:p>
            <w:pPr>
              <w:pStyle w:val="Compact"/>
              <w:jc w:val="center"/>
            </w:pPr>
            <w:r>
              <w:rPr>
                <w:b/>
                <w:color w:val="FFFFFF"/>
                <w:sz w:val="16"/>
              </w:rPr>
              <w:t xml:space="preserve">Equity</w:t>
            </w:r>
          </w:p>
        </w:tc>
        <w:tc>
          <w:tcPr>
            <w:shd w:val="clear" w:color="auto" w:fill="1B3A6B"/>
            <w:vAlign w:val="center"/>
            <w:tcW w:w="1284" w:type="dxa"/>
          </w:tcPr>
          <w:p>
            <w:pPr>
              <w:pStyle w:val="Compact"/>
              <w:jc w:val="center"/>
            </w:pPr>
            <w:r>
              <w:rPr>
                <w:b/>
                <w:color w:val="FFFFFF"/>
                <w:sz w:val="16"/>
              </w:rPr>
              <w:t xml:space="preserve">Operations</w:t>
            </w:r>
          </w:p>
        </w:tc>
      </w:tr>
      <w:tr>
        <w:trPr>
          <w:cantSplit/>
        </w:trPr>
        <w:tc>
          <w:tcPr>
            <w:vAlign w:val="center"/>
            <w:shd w:val="clear" w:color="auto" w:fill="1B3A6B"/>
            <w:tcW w:w="1368" w:type="dxa"/>
          </w:tcPr>
          <w:p>
            <w:pPr>
              <w:pStyle w:val="Compact"/>
              <w:jc w:val="center"/>
              <w:suppressAutoHyphens/>
            </w:pPr>
            <w:r>
              <w:rPr>
                <w:b/>
                <w:bCs/>
                <w:color w:val="FFFFFF"/>
                <w:sz w:val="16"/>
              </w:rPr>
              <w:t xml:space="preserve">Policy</w:t>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[ENABLES] mandatory authority</w:t>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[ENABLES] accountability mandates</w:t>
            </w:r>
          </w:p>
        </w:tc>
        <w:tc>
          <w:tcPr>
            <w:vAlign w:val="center"/>
            <w:tcW w:w="1284" w:type="dxa"/>
          </w:tcPr>
          <w:p>
            <w:pPr>
              <w:pStyle w:val="Compact"/>
              <w:jc w:val="center"/>
            </w:pPr>
            <w:r>
              <w:rPr>
                <w:sz w:val="16"/>
              </w:rPr>
              <w:t xml:space="preserve">[REQUIRES] statutory deadlines</w:t>
            </w:r>
          </w:p>
        </w:tc>
      </w:tr>
      <w:tr>
        <w:trPr/>
        <w:tc>
          <w:tcPr>
            <w:vAlign w:val="center"/>
            <w:shd w:val="clear" w:color="auto" w:fill="1B3A6B"/>
            <w:tcW w:w="1368" w:type="dxa"/>
          </w:tcPr>
          <w:p>
            <w:pPr>
              <w:pStyle w:val="Compact"/>
              <w:jc w:val="center"/>
              <w:suppressAutoHyphens/>
            </w:pPr>
            <w:r>
              <w:rPr>
                <w:b/>
                <w:bCs/>
                <w:color w:val="FFFFFF"/>
                <w:sz w:val="16"/>
              </w:rPr>
              <w:t xml:space="preserve">Technology</w:t>
            </w:r>
          </w:p>
        </w:tc>
        <w:tc>
          <w:tcPr>
            <w:vAlign w:val="center"/>
            <w:tcW w:w="1284" w:type="dxa"/>
          </w:tcPr>
          <w:p>
            <w:pPr>
              <w:pStyle w:val="Compact"/>
              <w:jc w:val="center"/>
            </w:pPr>
            <w:r>
              <w:rPr>
                <w:sz w:val="18"/>
              </w:rPr>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6"/>
              </w:rPr>
              <w:t xml:space="preserve">[ENABLES] VBC financial management</w:t>
            </w:r>
          </w:p>
        </w:tc>
        <w:tc>
          <w:tcPr>
            <w:vAlign w:val="center"/>
            <w:tcW w:w="1284" w:type="dxa"/>
          </w:tcPr>
          <w:p>
            <w:pPr>
              <w:pStyle w:val="Compact"/>
              <w:jc w:val="center"/>
            </w:pPr>
            <w:r>
              <w:rPr>
                <w:sz w:val="16"/>
              </w:rPr>
              <w:t xml:space="preserve">[ENABLES] risk stratification</w:t>
            </w:r>
          </w:p>
        </w:tc>
        <w:tc>
          <w:tcPr>
            <w:vAlign w:val="center"/>
            <w:tcW w:w="1284" w:type="dxa"/>
          </w:tcPr>
          <w:p>
            <w:pPr>
              <w:pStyle w:val="Compact"/>
              <w:jc w:val="center"/>
            </w:pPr>
            <w:r>
              <w:rPr>
                <w:sz w:val="16"/>
              </w:rPr>
              <w:t xml:space="preserve">[ENABLES] demographic stratification</w:t>
            </w:r>
          </w:p>
        </w:tc>
        <w:tc>
          <w:tcPr>
            <w:vAlign w:val="center"/>
            <w:tcW w:w="1284" w:type="dxa"/>
          </w:tcPr>
          <w:p>
            <w:pPr>
              <w:pStyle w:val="Compact"/>
              <w:jc w:val="center"/>
            </w:pPr>
            <w:r>
              <w:rPr>
                <w:sz w:val="18"/>
              </w:rPr>
            </w:r>
          </w:p>
        </w:tc>
      </w:tr>
      <w:tr>
        <w:trPr/>
        <w:tc>
          <w:tcPr>
            <w:vAlign w:val="center"/>
            <w:shd w:val="clear" w:color="auto" w:fill="1B3A6B"/>
            <w:tcW w:w="1368" w:type="dxa"/>
          </w:tcPr>
          <w:p>
            <w:pPr>
              <w:pStyle w:val="Compact"/>
              <w:jc w:val="center"/>
              <w:suppressAutoHyphens/>
            </w:pPr>
            <w:r>
              <w:rPr>
                <w:b/>
                <w:bCs/>
                <w:color w:val="FFFFFF"/>
                <w:sz w:val="16"/>
              </w:rPr>
              <w:t xml:space="preserve">Economics</w:t>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[REQUIRES] data infrastructure</w:t>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6"/>
              </w:rPr>
              <w:t xml:space="preserve">[DRIVES] financial rationality</w:t>
            </w:r>
          </w:p>
        </w:tc>
        <w:tc>
          <w:tcPr>
            <w:vAlign w:val="center"/>
            <w:tcW w:w="1284" w:type="dxa"/>
          </w:tcPr>
          <w:p>
            <w:pPr>
              <w:pStyle w:val="Compact"/>
              <w:jc w:val="center"/>
            </w:pPr>
            <w:r>
              <w:rPr>
                <w:sz w:val="16"/>
              </w:rPr>
              <w:t xml:space="preserve">[REQUIRES] social risk adjustment</w:t>
            </w:r>
          </w:p>
        </w:tc>
        <w:tc>
          <w:tcPr>
            <w:vAlign w:val="center"/>
            <w:tcW w:w="1284" w:type="dxa"/>
          </w:tcPr>
          <w:p>
            <w:pPr>
              <w:pStyle w:val="Compact"/>
              <w:jc w:val="center"/>
            </w:pPr>
            <w:r>
              <w:rPr>
                <w:sz w:val="18"/>
              </w:rPr>
            </w:r>
          </w:p>
        </w:tc>
      </w:tr>
      <w:tr>
        <w:trPr/>
        <w:tc>
          <w:tcPr>
            <w:vAlign w:val="center"/>
            <w:shd w:val="clear" w:color="auto" w:fill="1B3A6B"/>
            <w:tcW w:w="1368" w:type="dxa"/>
          </w:tcPr>
          <w:p>
            <w:pPr>
              <w:pStyle w:val="Compact"/>
              <w:jc w:val="center"/>
              <w:suppressAutoHyphens/>
            </w:pPr>
            <w:r>
              <w:rPr>
                <w:b/>
                <w:bCs/>
                <w:color w:val="FFFFFF"/>
                <w:sz w:val="16"/>
              </w:rPr>
              <w:t xml:space="preserve">Clinical</w:t>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6"/>
              </w:rPr>
              <w:t xml:space="preserve">[ENABLES] access expansion</w:t>
            </w:r>
          </w:p>
        </w:tc>
        <w:tc>
          <w:tcPr>
            <w:vAlign w:val="center"/>
            <w:tcW w:w="1284" w:type="dxa"/>
          </w:tcPr>
          <w:p>
            <w:pPr>
              <w:pStyle w:val="Compact"/>
              <w:jc w:val="center"/>
            </w:pPr>
            <w:r>
              <w:rPr>
                <w:sz w:val="16"/>
              </w:rPr>
              <w:t xml:space="preserve">[REQUIRES] execution infrastructure</w:t>
            </w:r>
          </w:p>
        </w:tc>
      </w:tr>
      <w:tr>
        <w:trPr/>
        <w:tc>
          <w:tcPr>
            <w:vAlign w:val="center"/>
            <w:shd w:val="clear" w:color="auto" w:fill="1B3A6B"/>
            <w:tcW w:w="1368" w:type="dxa"/>
          </w:tcPr>
          <w:p>
            <w:pPr>
              <w:pStyle w:val="Compact"/>
              <w:jc w:val="center"/>
              <w:suppressAutoHyphens/>
            </w:pPr>
            <w:r>
              <w:rPr>
                <w:b/>
                <w:bCs/>
                <w:color w:val="FFFFFF"/>
                <w:sz w:val="16"/>
              </w:rPr>
              <w:t xml:space="preserve">Equity</w:t>
            </w:r>
          </w:p>
        </w:tc>
        <w:tc>
          <w:tcPr>
            <w:vAlign w:val="center"/>
            <w:tcW w:w="1284" w:type="dxa"/>
          </w:tcPr>
          <w:p>
            <w:pPr>
              <w:pStyle w:val="Compact"/>
              <w:jc w:val="center"/>
            </w:pPr>
            <w:r>
              <w:rPr>
                <w:sz w:val="16"/>
              </w:rPr>
              <w:t xml:space="preserve">[CONSTRAINS] with justice reviews</w:t>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[CONSTRAINS] with cultural competency</w:t>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8"/>
              </w:rPr>
            </w:r>
          </w:p>
        </w:tc>
      </w:tr>
      <w:tr>
        <w:trPr>
          <w:cantSplit/>
        </w:trPr>
        <w:tc>
          <w:tcPr>
            <w:vAlign w:val="center"/>
            <w:shd w:val="clear" w:color="auto" w:fill="1B3A6B"/>
            <w:tcW w:w="1368" w:type="dxa"/>
          </w:tcPr>
          <w:p>
            <w:pPr>
              <w:pStyle w:val="Compact"/>
              <w:jc w:val="center"/>
              <w:suppressAutoHyphens/>
            </w:pPr>
            <w:r>
              <w:rPr>
                <w:b/>
                <w:bCs/>
                <w:color w:val="FFFFFF"/>
                <w:sz w:val="16"/>
              </w:rPr>
              <w:t xml:space="preserve">Operations</w:t>
            </w:r>
          </w:p>
        </w:tc>
        <w:tc>
          <w:tcPr>
            <w:vAlign w:val="center"/>
            <w:tcW w:w="1284" w:type="dxa"/>
          </w:tcPr>
          <w:p>
            <w:pPr>
              <w:pStyle w:val="Compact"/>
              <w:jc w:val="center"/>
            </w:pPr>
            <w:r>
              <w:rPr>
                <w:sz w:val="16"/>
              </w:rPr>
              <w:t xml:space="preserve">[ENABLES] data feedback loops</w:t>
            </w:r>
          </w:p>
        </w:tc>
        <w:tc>
          <w:tcPr>
            <w:vAlign w:val="center"/>
            <w:tcW w:w="1284" w:type="dxa"/>
          </w:tcPr>
          <w:p>
            <w:pPr>
              <w:pStyle w:val="Compact"/>
              <w:jc w:val="center"/>
            </w:pPr>
            <w:r>
              <w:rPr>
                <w:sz w:val="16"/>
              </w:rPr>
              <w:t xml:space="preserve">[REQUIRES] workforce to run infrastructure</w:t>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shd w:val="clear" w:color="auto" w:fill="ECEFF3"/>
            <w:tcW w:w="1284" w:type="dxa"/>
          </w:tcPr>
          <w:p>
            <w:pPr>
              <w:pStyle w:val="Compact"/>
              <w:jc w:val="center"/>
            </w:pPr>
            <w:r>
              <w:rPr>
                <w:sz w:val="18"/>
              </w:rPr>
            </w:r>
          </w:p>
        </w:tc>
      </w:tr>
    </w:tbl>
    <w:p>
      <w:pPr>
        <w:pStyle w:val="Caption"/>
        <w:spacing w:before="120"/>
      </w:pPr>
      <w:r>
        <w:rPr>
          <w:i/>
          <w:iCs/>
        </w:rPr>
        <w:t xml:space="preserve">Figure 1.3 — The architecture of interdependency: the fifteen dependency relationships, read From-row to To-column. Source: six-pillar framework documentation; Vermont Health Transformation / HTR (2026).</w:t>
      </w:r>
    </w:p>
    <w:p>
      <w:pPr>
        <w:pStyle w:val="Heading3"/>
      </w:pPr>
      <w:r>
        <w:rPr>
          <w:color w:val="161B22"/>
        </w:rPr>
        <w:t xml:space="preserve">1.4.1  </w:t>
      </w:r>
      <w:bookmarkStart w:id="1032" w:name="_Toc1031"/>
      <w:r>
        <w:rPr>
          <w:b/>
          <w:bCs/>
          <w:color w:val="161B22"/>
        </w:rPr>
        <w:t xml:space="preserve">Policy Dependencies: Three Relationships That Establish the Mandatory Architecture</w:t>
      </w:r>
      <w:bookmarkEnd w:id="1032"/>
    </w:p>
    <w:p>
      <w:pPr>
        <w:pStyle w:val="FirstParagraph"/>
      </w:pPr>
      <w:r>
        <w:t xml:space="preserve">Policy is the pillar from which mandatory authority flows. Its three outbound dependencies — to Economics, Equity, and Operations — are among the most critical in the framework, because they are the relationships that convert every other pillar from optional to required.</w:t>
      </w:r>
    </w:p>
    <w:p>
      <w:pPr>
        <w:pStyle w:val="BodyText"/>
        <w:keepNext w:val="false"/>
      </w:pPr>
      <w:r>
        <w:rPr>
          <w:b/>
          <w:bCs/>
        </w:rPr>
        <w:t xml:space="preserve">Policy → Economics: Mandatory authority enables structural payment reform</w:t>
      </w:r>
      <w:r>
        <w:t xml:space="preserve"> </w:t>
      </w:r>
      <w:r>
        <w:t xml:space="preserve">·</w:t>
      </w:r>
      <w:r>
        <w:t xml:space="preserve"> </w:t>
      </w:r>
      <w:r>
        <w:rPr>
          <w:i/>
          <w:iCs/>
        </w:rPr>
        <w:t xml:space="preserve">ENABLES (critical path)</w:t>
      </w:r>
    </w:p>
    <w:p>
      <w:pPr>
        <w:pStyle w:val="BodyText"/>
        <w:keepNext w:val="false"/>
      </w:pPr>
      <w:r>
        <w:t xml:space="preserve">The most important dependency in the entire framework. Payment reform that is voluntary produces voluntary results. Vermont spent a decade under OneCare Vermont — a voluntary ACO model — and produced modest results among participating hospitals while non-participating hospitals continued operating under fee-for-service without consequence. Act 68 of 2025 changed the architecture: reference-based pricing is mandatory for all Vermont hospitals beginning FY2027, and global budgets are mandatory beginning FY2028. This is not an incremental improvement on the voluntary model. It is a structural change that eliminates the opt-out that made the voluntary model ineffective.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p>
        </w:tc>
      </w:tr>
    </w:tbl>
    <w:p>
      <w:pPr>
        <w:spacing w:after="120"/>
      </w:pPr>
    </w:p>
    <w:p>
      <w:pPr>
        <w:pStyle w:val="BodyText"/>
      </w:pPr>
      <w:r>
        <w:rPr>
          <w:b/>
          <w:bCs/>
        </w:rPr>
        <w:t xml:space="preserve">Policy → Operations: Statutory deadlines force execution capacity</w:t>
      </w:r>
      <w:r>
        <w:t xml:space="preserve"> </w:t>
      </w:r>
      <w:r>
        <w:t xml:space="preserve">·</w:t>
      </w:r>
      <w:r>
        <w:t xml:space="preserve"> </w:t>
      </w:r>
      <w:r>
        <w:rPr>
          <w:i/>
          <w:iCs/>
        </w:rPr>
        <w:t xml:space="preserve">REQUIRES (critical path)</w:t>
      </w:r>
    </w:p>
    <w:p>
      <w:pPr>
        <w:pStyle w:val="BodyText"/>
      </w:pPr>
      <w:r>
        <w:t xml:space="preserve">One of the most underappreciated dependencies in healthcare transformation. Organizations develop the capacity to execute complex initiatives when they have non-negotiable deadlines, not when they have good intentions. Act 68’s December 2028 Statewide Strategic Plan deadline, the FY2027 RBP mandate, and the FY2028 global budget mandate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They are deliberately irreversible.</w:t>
      </w:r>
    </w:p>
    <w:p>
      <w:pPr>
        <w:pStyle w:val="BodyText"/>
        <w:keepNext w:val="false"/>
      </w:pPr>
      <w:r>
        <w:rPr>
          <w:b/>
          <w:bCs/>
        </w:rPr>
        <w:t xml:space="preserve">Policy → Equity: Statutory mandates embed equity accountability</w:t>
      </w:r>
      <w:r>
        <w:t xml:space="preserve"> </w:t>
      </w:r>
      <w:r>
        <w:t xml:space="preserve">·</w:t>
      </w:r>
      <w:r>
        <w:t xml:space="preserve"> </w:t>
      </w:r>
      <w:r>
        <w:rPr>
          <w:i/>
          <w:iCs/>
        </w:rPr>
        <w:t xml:space="preserve">ENABLES</w:t>
      </w:r>
    </w:p>
    <w:p>
      <w:pPr>
        <w:pStyle w:val="BodyText"/>
        <w:keepNext w:val="false"/>
      </w:pPr>
      <w:r>
        <w:t xml:space="preserve">Acts 167 and 68 both contain explicit equity requirements — they are not aspirational statements about desired outcomes but operational mandates: equity metrics must be tracked, disparities must be reported, and the Statewide Strategic Plan must address geographic and demographic equity gaps. This is the Policy pillar enabling the Equity pillar’s accountability function. Without statutory embedding, equity monitoring is a discretionary activity that competes with operational priorities. With it, equity measurement is a compliance requirement.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pillar’s accountability structure into the statutory framework.</w:t>
            </w:r>
          </w:p>
        </w:tc>
      </w:tr>
    </w:tbl>
    <w:p>
      <w:pPr>
        <w:spacing w:after="120"/>
      </w:pPr>
    </w:p>
    <w:p>
      <w:pPr>
        <w:pStyle w:val="Heading3"/>
      </w:pPr>
      <w:r>
        <w:rPr>
          <w:color w:val="161B22"/>
        </w:rPr>
        <w:t xml:space="preserve">1.4.2  </w:t>
      </w:r>
      <w:bookmarkStart w:id="1033" w:name="_Toc1032"/>
      <w:r>
        <w:rPr>
          <w:b/>
          <w:bCs/>
          <w:color w:val="161B22"/>
        </w:rPr>
        <w:t xml:space="preserve">Technology Dependencies: Three Relationships That Enable Analytical Management</w:t>
      </w:r>
      <w:bookmarkEnd w:id="1033"/>
    </w:p>
    <w:p>
      <w:pPr>
        <w:pStyle w:val="FirstParagraph"/>
      </w:pPr>
      <w:r>
        <w:t xml:space="preserve">Technology is the data substrate on which every other pillar’s management functions depend. It has the broadest set of outbound dependencies in the framework — three enabling relationships to Economics, Clinical, and Equity that describe what becomes possible when data infrastructure is adequate, and what remains impossible when it is not.</w:t>
      </w:r>
    </w:p>
    <w:p>
      <w:pPr>
        <w:pStyle w:val="BodyText"/>
        <w:keepNext w:val="false"/>
      </w:pPr>
      <w:r>
        <w:rPr>
          <w:b/>
          <w:bCs/>
        </w:rPr>
        <w:t xml:space="preserve">Technology → Economics: Analytics makes VBC financial management possible</w:t>
      </w:r>
      <w:r>
        <w:t xml:space="preserve"> </w:t>
      </w:r>
      <w:r>
        <w:t xml:space="preserve">·</w:t>
      </w:r>
      <w:r>
        <w:t xml:space="preserve"> </w:t>
      </w:r>
      <w:r>
        <w:rPr>
          <w:i/>
          <w:iCs/>
        </w:rPr>
        <w:t xml:space="preserve">ENABLES</w:t>
      </w:r>
    </w:p>
    <w:p>
      <w:pPr>
        <w:pStyle w:val="BodyText"/>
        <w:keepNext w:val="false"/>
      </w:pPr>
      <w:r>
        <w:t xml:space="preserve">This is the paired reading described above: Technology</w:t>
      </w:r>
      <w:r>
        <w:t xml:space="preserve"> </w:t>
      </w:r>
      <w:r>
        <w:rPr>
          <w:i/>
          <w:iCs/>
        </w:rPr>
        <w:t xml:space="preserve">enables</w:t>
      </w:r>
      <w:r>
        <w:t xml:space="preserve"> </w:t>
      </w:r>
      <w:r>
        <w:t xml:space="preserve">Economics, which is the same relationship Economics experiences as</w:t>
      </w:r>
      <w:r>
        <w:t xml:space="preserve"> </w:t>
      </w:r>
      <w:r>
        <w:rPr>
          <w:i/>
          <w:iCs/>
        </w:rPr>
        <w:t xml:space="preserve">requiring</w:t>
      </w:r>
      <w:r>
        <w:t xml:space="preserve"> </w:t>
      </w:r>
      <w:r>
        <w:t xml:space="preserve">data infrastructure. The distinction it draws is between existence and effectiveness. An organization can enter an APM contract without adequate analytics — the contract still exists, the financial obligations are still real. But the organization cannot manage its financial performance under that contract, cannot identify where its costs are above benchmark, cannot target care management investment toward the highest-return opportunities, and cannot dispute errors in the payer’s shared savings calculations without the required data infrastructure and implemented technology.</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VHCURES population health analytics make the APM financial modeling described in Chapter 7 possible. The APM Shared Savings Calculator, the Hospital Financial Stress Test, and the VBC Readiness Assessment — all tools in the</w:t>
            </w:r>
            <w:r>
              <w:rPr>
                <w:sz w:val="20"/>
                <w:szCs w:val="20"/>
              </w:rPr>
              <w:t xml:space="preserve"> </w:t>
            </w:r>
            <w:hyperlink r:id="rId47">
              <w:r>
                <w:rPr>
                  <w:rStyle w:val="Hyperlink"/>
                </w:rPr>
                <w:t xml:space="preserve">HTR Research Lab</w:t>
              </w:r>
            </w:hyperlink>
            <w:r>
              <w:rPr>
                <w:sz w:val="20"/>
                <w:szCs w:val="20"/>
              </w:rPr>
              <w:t xml:space="preserve"> </w:t>
            </w:r>
            <w:r>
              <w:rPr>
                <w:sz w:val="20"/>
                <w:szCs w:val="20"/>
              </w:rPr>
              <w:t xml:space="preserve">— are built on VHCURES data logic. Vermont hospitals that invest in VHCURES analytics capability before AHEAD launches in January 2028 will be able to manage their global budgets proactively rather than reactively.</w:t>
            </w:r>
          </w:p>
        </w:tc>
      </w:tr>
    </w:tbl>
    <w:p>
      <w:pPr>
        <w:spacing w:after="120"/>
      </w:pPr>
    </w:p>
    <w:p>
      <w:pPr>
        <w:pStyle w:val="BodyText"/>
        <w:keepNext w:val="false"/>
      </w:pPr>
      <w:r>
        <w:rPr>
          <w:b/>
          <w:bCs/>
        </w:rPr>
        <w:t xml:space="preserve">Technology → Equity: Disaggregated data reveals disparities hidden in averages</w:t>
      </w:r>
      <w:r>
        <w:t xml:space="preserve"> </w:t>
      </w:r>
      <w:r>
        <w:t xml:space="preserve">·</w:t>
      </w:r>
      <w:r>
        <w:t xml:space="preserve"> </w:t>
      </w:r>
      <w:r>
        <w:rPr>
          <w:i/>
          <w:iCs/>
        </w:rPr>
        <w:t xml:space="preserve">ENABLES (critical)</w:t>
      </w:r>
    </w:p>
    <w:p>
      <w:pPr>
        <w:pStyle w:val="BodyText"/>
        <w:keepNext w:val="false"/>
      </w:pPr>
      <w:r>
        <w:t xml:space="preserve">The Equity pillar’s entire analytical function depends on the Technology pillar’s ability to produce demographic stratification. You cannot measure a disparity you cannot see. Vermont’s 91% primary care access rate — four points above the national benchmark — is a genuine achievement. It also hides an 11-point gap between white Vermont adults and BIPOC Vermont adults. That gap is invisible in aggregate data. It becomes visible only when VHCURES data is stratified by race/ethnicity, and that stratification is only possible when the data contains adequate demographic information.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race/ethnicity data in VHCURES is incomplete — commercial claims frequently lack demographic fields. This is not a minor data quality issue; it is a Technology pillar gap that directly limits the Equity pillar’s analytical capability. The Vermont Department of Health’s Health Equity Data Report (January 2025) documents this limitation explicitly. Closing the Technology gap is prerequisite to the Equity pillar’s disparity measurement function.</w:t>
            </w:r>
          </w:p>
        </w:tc>
      </w:tr>
    </w:tbl>
    <w:p>
      <w:pPr>
        <w:spacing w:after="120"/>
      </w:pPr>
    </w:p>
    <w:p>
      <w:pPr>
        <w:pStyle w:val="BodyText"/>
        <w:keepNext w:val="false"/>
      </w:pPr>
      <w:r>
        <w:rPr>
          <w:b/>
          <w:bCs/>
        </w:rPr>
        <w:t xml:space="preserve">Technology → Clinical: Data infrastructure enables population health management</w:t>
      </w:r>
      <w:r>
        <w:t xml:space="preserve"> </w:t>
      </w:r>
      <w:r>
        <w:t xml:space="preserve">·</w:t>
      </w:r>
      <w:r>
        <w:t xml:space="preserve"> </w:t>
      </w:r>
      <w:r>
        <w:rPr>
          <w:i/>
          <w:iCs/>
        </w:rPr>
        <w:t xml:space="preserve">ENABLES</w:t>
      </w:r>
    </w:p>
    <w:p>
      <w:pPr>
        <w:pStyle w:val="BodyText"/>
        <w:keepNext w:val="false"/>
      </w:pPr>
      <w: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 happen to schedule appointments. SDOH screening tools flag patients for CHT navigation; without the data platform to connect the flag to the navigation workflow, the flag is generated and ignored.</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Blueprint’s clinical registry is the Technology pillar product that enables Blueprint’s Clinical pillar outcomes. The 5.8:1 ROI documented for Blueprint is achievable precisely because Blueprint combines the Clinical pillar’s care team model with the Technology pillar’s population health analytics. The AI scribe grants in the RHT Program are the Technology pillar’s contribution to the Clinical pillar’s workforce capacity problem.</w:t>
            </w:r>
          </w:p>
        </w:tc>
      </w:tr>
    </w:tbl>
    <w:p>
      <w:pPr>
        <w:spacing w:after="120"/>
      </w:pPr>
    </w:p>
    <w:p>
      <w:pPr>
        <w:pStyle w:val="Heading3"/>
      </w:pPr>
      <w:r>
        <w:rPr>
          <w:color w:val="161B22"/>
        </w:rPr>
        <w:t xml:space="preserve">1.4.3  </w:t>
      </w:r>
      <w:bookmarkStart w:id="1034" w:name="_Toc1033"/>
      <w:r>
        <w:rPr>
          <w:b/>
          <w:bCs/>
          <w:color w:val="161B22"/>
        </w:rPr>
        <w:t xml:space="preserve">Economics Dependencies: Three Relationships That Transmit Incentive Change</w:t>
      </w:r>
      <w:bookmarkEnd w:id="1034"/>
    </w:p>
    <w:p>
      <w:pPr>
        <w:pStyle w:val="FirstParagraph"/>
      </w:pPr>
      <w:r>
        <w:t xml:space="preserve">Economics is the pillar through which policy mandates are converted into behavioral change at the organizational and clinical level. Payment models do not change behavior directly — they change the financial logic that shapes decision-making. The Economics pillar’s three outbound dependencies — to Clinical, Equity, and Technology — describe the mechanisms through which this conversion happens.</w:t>
      </w:r>
    </w:p>
    <w:p>
      <w:pPr>
        <w:pStyle w:val="BodyText"/>
        <w:keepNext w:val="false"/>
      </w:pPr>
      <w:r>
        <w:rPr>
          <w:b/>
          <w:bCs/>
        </w:rPr>
        <w:t xml:space="preserve">Economics → Clinical: Payment incentives drive care delivery redesign</w:t>
      </w:r>
      <w:r>
        <w:t xml:space="preserve"> </w:t>
      </w:r>
      <w:r>
        <w:t xml:space="preserve">·</w:t>
      </w:r>
      <w:r>
        <w:t xml:space="preserve"> </w:t>
      </w:r>
      <w:r>
        <w:rPr>
          <w:i/>
          <w:iCs/>
        </w:rPr>
        <w:t xml:space="preserve">DRIVES (critical path)</w:t>
      </w:r>
    </w:p>
    <w:p>
      <w:pPr>
        <w:pStyle w:val="BodyText"/>
        <w:keepNext w:val="false"/>
      </w:pPr>
      <w:r>
        <w:t xml:space="preserve">The most important economics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Blueprint for Health demonstrates this dependency in reverse. The Blueprint’s 5.8:1 return on investment — $5.8 million in reduced medical expenditure per $1 million invested in primary care — is achievable because the Blueprint’s all-payer PMPM payments to PCMHs create a financial structure that rewards the clinical investment. Sustain the Economics pillar through AHEAD’s global budgets and the Clinical pillar’s population health logic becomes fully incentive-aligned.</w:t>
            </w:r>
          </w:p>
        </w:tc>
      </w:tr>
    </w:tbl>
    <w:p>
      <w:pPr>
        <w:spacing w:after="120"/>
      </w:pPr>
    </w:p>
    <w:p>
      <w:pPr>
        <w:pStyle w:val="BodyText"/>
        <w:keepNext w:val="false"/>
      </w:pPr>
      <w:r>
        <w:rPr>
          <w:b/>
          <w:bCs/>
        </w:rPr>
        <w:t xml:space="preserve">Economics → Technology: VBC contracts require data infrastructure</w:t>
      </w:r>
      <w:r>
        <w:t xml:space="preserve"> </w:t>
      </w:r>
      <w:r>
        <w:t xml:space="preserve">·</w:t>
      </w:r>
      <w:r>
        <w:t xml:space="preserve"> </w:t>
      </w:r>
      <w:r>
        <w:rPr>
          <w:i/>
          <w:iCs/>
        </w:rPr>
        <w:t xml:space="preserve">REQUIRES</w:t>
      </w:r>
    </w:p>
    <w:p>
      <w:pPr>
        <w:pStyle w:val="BodyText"/>
        <w:keepNext w:val="false"/>
      </w:pPr>
      <w:r>
        <w:t xml:space="preserve">Value-based care contracts are agreements to share financial accountability for a population’s total cost of care. They cannot be executed without the data infrastructure to measure that total cost. Attribution lists, TCOC benchmarks, shared savings calculations, risk adjustment factors, quality measure reporting — all of these require the all-payer claims data, the population health analytics platform, and the FHIR-based data exchange that the Technology pillar provides. An organization that signs an APM contract without adequate data infrastructure is making a financial commitment it cannot monitor, manage, or dispute.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budgets for hospitals, beginning January 2028, require GMCB to set prospective annual budgets based on historical Medicare spending adjusted for population risk. This calculation requires accurate VHCURES data, validated risk adjustment methodology, and an analytics platform capable of producing hospital-specific TCOC projections. The AHS-GMCB data integration and analytics capability being stood up in 2025–2026 is the Technology pillar investment that makes the Economics pillar’s AHEAD implementation analytically executable.</w:t>
            </w:r>
          </w:p>
        </w:tc>
      </w:tr>
    </w:tbl>
    <w:p>
      <w:pPr>
        <w:spacing w:after="120"/>
      </w:pPr>
    </w:p>
    <w:p>
      <w:pPr>
        <w:pStyle w:val="BodyText"/>
        <w:keepNext w:val="false"/>
      </w:pPr>
      <w:r>
        <w:rPr>
          <w:b/>
          <w:bCs/>
        </w:rPr>
        <w:t xml:space="preserve">Economics → Equity: VBC design must include social risk adjustment</w:t>
      </w:r>
      <w:r>
        <w:t xml:space="preserve"> </w:t>
      </w:r>
      <w:r>
        <w:t xml:space="preserve">·</w:t>
      </w:r>
      <w:r>
        <w:t xml:space="preserve"> </w:t>
      </w:r>
      <w:r>
        <w:rPr>
          <w:i/>
          <w:iCs/>
        </w:rPr>
        <w:t xml:space="preserve">REQUIRES</w:t>
      </w:r>
    </w:p>
    <w:p>
      <w:pPr>
        <w:pStyle w:val="BodyText"/>
        <w:keepNext w:val="false"/>
      </w:pPr>
      <w:r>
        <w:t xml:space="preserve">Value-based care contracts that do not adjust for social risk systematically penalize providers serving high-SDOH populations. A hospital in Essex County, Vermont — serving a population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Essex County’s hospital is being held to a standard that does not reflect its population’s actual cost burden.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 design must address this explicitly. The methodology for social risk adjustment in Vermont’s hospital global budgets is an active design question as of early 2026. Getting it wrong — designing an Economics pillar instrument that ignores the Equity pillar’s requirement — would produce a payment system that penalizes the hospitals serving the most vulnerable Vermonters.</w:t>
            </w:r>
          </w:p>
        </w:tc>
      </w:tr>
    </w:tbl>
    <w:p>
      <w:pPr>
        <w:spacing w:after="120"/>
      </w:pPr>
    </w:p>
    <w:p>
      <w:pPr>
        <w:pStyle w:val="Heading3"/>
      </w:pPr>
      <w:r>
        <w:rPr>
          <w:color w:val="161B22"/>
        </w:rPr>
        <w:t xml:space="preserve">1.4.4  </w:t>
      </w:r>
      <w:bookmarkStart w:id="1035" w:name="_Toc1034"/>
      <w:r>
        <w:rPr>
          <w:b/>
          <w:bCs/>
          <w:color w:val="161B22"/>
        </w:rPr>
        <w:t xml:space="preserve">Clinical Dependencies: Two Relationships That Connect Care Models to System Requirements</w:t>
      </w:r>
      <w:bookmarkEnd w:id="1035"/>
    </w:p>
    <w:p>
      <w:pPr>
        <w:pStyle w:val="FirstParagraph"/>
      </w:pPr>
      <w:r>
        <w:t xml:space="preserve">Clinical is the pillar that converts payment incentives into actual health outcomes. Its two outbound dependencies — to Equity and Operations — describe the operational requirements of clinical programs and their equity implications.</w:t>
      </w:r>
    </w:p>
    <w:p>
      <w:pPr>
        <w:pStyle w:val="BodyText"/>
        <w:keepNext w:val="false"/>
      </w:pPr>
      <w:r>
        <w:rPr>
          <w:b/>
          <w:bCs/>
        </w:rPr>
        <w:t xml:space="preserve">Clinical → Operations: Care models require execution infrastructure</w:t>
      </w:r>
      <w:r>
        <w:t xml:space="preserve"> </w:t>
      </w:r>
      <w:r>
        <w:t xml:space="preserve">·</w:t>
      </w:r>
      <w:r>
        <w:t xml:space="preserve"> </w:t>
      </w:r>
      <w:r>
        <w:rPr>
          <w:i/>
          <w:iCs/>
        </w:rPr>
        <w:t xml:space="preserve">REQUIRES</w:t>
      </w:r>
    </w:p>
    <w:p>
      <w:pPr>
        <w:pStyle w:val="BodyText"/>
        <w:keepNext w:val="false"/>
      </w:pPr>
      <w:r>
        <w:t xml:space="preserve">The most consistently underestimated dependency in healthcare transformation. 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health information exchange connectivity, and NCQA recognition processes. None of these are available without Operations pillar investment.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analysis found that Vermont’s administrative cost per adjusted discharge runs far above the national benchmark — UVMMC at $3,826 against a $1,427 benchmark. This is not merely an inefficiency problem — it is a signal that Vermont’s Operations pillar infrastructure is absorbing cost without producing the execution capability that clinical transformation requires. The RHRC engagement with all 14 Vermont hospitals is specifically designed to build the Operations pillar capacity that Clinical pillar programs need.</w:t>
            </w:r>
          </w:p>
        </w:tc>
      </w:tr>
    </w:tbl>
    <w:p>
      <w:pPr>
        <w:spacing w:after="120"/>
      </w:pPr>
    </w:p>
    <w:p>
      <w:pPr>
        <w:pStyle w:val="BodyText"/>
        <w:keepNext w:val="false"/>
      </w:pPr>
      <w:r>
        <w:rPr>
          <w:b/>
          <w:bCs/>
        </w:rPr>
        <w:t xml:space="preserve">Clinical → Equity: Care delivery expansion is the primary access gap mechanism</w:t>
      </w:r>
      <w:r>
        <w:t xml:space="preserve"> </w:t>
      </w:r>
      <w:r>
        <w:t xml:space="preserve">·</w:t>
      </w:r>
      <w:r>
        <w:t xml:space="preserve"> </w:t>
      </w:r>
      <w:r>
        <w:rPr>
          <w:i/>
          <w:iCs/>
        </w:rPr>
        <w:t xml:space="preserve">ENABLES</w:t>
      </w:r>
    </w:p>
    <w:p>
      <w:pPr>
        <w:pStyle w:val="BodyText"/>
        <w:keepNext w:val="false"/>
      </w:pPr>
      <w:r>
        <w:t xml:space="preserve">Geographic and demographic disparities in healthcare access are primarily clinical access problems — not enough primary care providers, not enough behavioral health capacity, not enough community health workers in underserved communities. The Equity pillar’s access gap goals cannot be achieved without the Clinical pillar’s care model expansion. Blueprint’s PCMH expansion into Northeast Kingdom communities, the CCBHC network’s geographic reach, and the CHT deployment in high-SDOH communities are Clinical pillar investments that directly serve Equity pillar objectives.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pillar’s access gap remains unmeasured but unaddressed.</w:t>
            </w:r>
          </w:p>
        </w:tc>
      </w:tr>
    </w:tbl>
    <w:p>
      <w:pPr>
        <w:spacing w:after="120"/>
      </w:pPr>
    </w:p>
    <w:p>
      <w:pPr>
        <w:pStyle w:val="Heading3"/>
      </w:pPr>
      <w:r>
        <w:rPr>
          <w:color w:val="161B22"/>
        </w:rPr>
        <w:t xml:space="preserve">1.4.5  </w:t>
      </w:r>
      <w:bookmarkStart w:id="1036" w:name="_Toc1035"/>
      <w:r>
        <w:rPr>
          <w:b/>
          <w:bCs/>
          <w:color w:val="161B22"/>
        </w:rPr>
        <w:t xml:space="preserve">Equity Constraints: Two Relationships That Apply the Justice Lens to the Whole System</w:t>
      </w:r>
      <w:bookmarkEnd w:id="1036"/>
    </w:p>
    <w:p>
      <w:pPr>
        <w:pStyle w:val="FirstParagraph"/>
      </w:pPr>
      <w:r>
        <w:t xml:space="preserve">Equity’s two outbound dependencies are constraining rather than enabling — they impose requirements on Clinical and Policy that must be designed in from the beginning rather than retrofitted. Equity is not the last pillar in the sequence; it is the lens applied to every other pillar’s decisions throughout the design and implementation process.</w:t>
      </w:r>
    </w:p>
    <w:p>
      <w:pPr>
        <w:pStyle w:val="BodyText"/>
      </w:pPr>
      <w:r>
        <w:rPr>
          <w:b/>
          <w:bCs/>
        </w:rPr>
        <w:t xml:space="preserve">Equity → Policy: Equity accountability constrains every policy decision</w:t>
      </w:r>
      <w:r>
        <w:t xml:space="preserve"> </w:t>
      </w:r>
      <w:r>
        <w:t xml:space="preserve">·</w:t>
      </w:r>
      <w:r>
        <w:t xml:space="preserve"> </w:t>
      </w:r>
      <w:r>
        <w:rPr>
          <w:i/>
          <w:iCs/>
        </w:rPr>
        <w:t xml:space="preserve">CONSTRAINS</w:t>
      </w:r>
    </w:p>
    <w:p>
      <w:pPr>
        <w:pStyle w:val="BodyText"/>
      </w:pPr>
      <w:r>
        <w:t xml:space="preserve">Every policy decision in Vermont’s transformation — the RBP rate methodology, the global budget design, the COE designation framework, the Statewide Strategic Plan structure — must be evaluated for equity impact before it is finalized. This is not post-hoc equity review; it is an equity constraint embedded in the policy design process. A RBP methodology that sets rates uniformly without adjusting for the market conditions faced by hospitals in underserved communities is technically correct and practically inequitable.</w:t>
      </w:r>
    </w:p>
    <w:p>
      <w:pPr>
        <w:pStyle w:val="BodyText"/>
      </w:pPr>
      <w:r>
        <w:rPr>
          <w:b/>
          <w:bCs/>
        </w:rPr>
        <w:t xml:space="preserve">Equity → Clinical: Equity constrains how care is delivered, not just to whom</w:t>
      </w:r>
      <w:r>
        <w:t xml:space="preserve"> </w:t>
      </w:r>
      <w:r>
        <w:t xml:space="preserve">·</w:t>
      </w:r>
      <w:r>
        <w:t xml:space="preserve"> </w:t>
      </w:r>
      <w:r>
        <w:rPr>
          <w:i/>
          <w:iCs/>
        </w:rPr>
        <w:t xml:space="preserve">CONSTRAINS</w:t>
      </w:r>
    </w:p>
    <w:p>
      <w:pPr>
        <w:pStyle w:val="BodyText"/>
      </w:pPr>
      <w:r>
        <w:t xml:space="preserve">Implicit bias in clinical settings, cultural incompetence, language access barriers, and differential treatment quality by race/ethnicity are clinical practice problems with equity implications. They are not solved by expanding access — expanding access to biased care widens some disparities while narrowing others. The Equity pillar constrains the Clinical pillar’s design by requiring that care models address cultural competence, language access, and practice variation as design requirements, not implementation afterthoughts.</w:t>
      </w:r>
    </w:p>
    <w:p>
      <w:pPr>
        <w:pStyle w:val="Heading3"/>
      </w:pPr>
      <w:r>
        <w:rPr>
          <w:color w:val="161B22"/>
        </w:rPr>
        <w:t xml:space="preserve">1.4.6  </w:t>
      </w:r>
      <w:bookmarkStart w:id="1037" w:name="_Toc1036"/>
      <w:r>
        <w:rPr>
          <w:b/>
          <w:bCs/>
          <w:color w:val="161B22"/>
        </w:rPr>
        <w:t xml:space="preserve">Operations Dependencies: Two Feedback Relationships That Close the Loop</w:t>
      </w:r>
      <w:bookmarkEnd w:id="1037"/>
    </w:p>
    <w:p>
      <w:pPr>
        <w:pStyle w:val="FirstParagraph"/>
      </w:pPr>
      <w:r>
        <w:t xml:space="preserve">Operations is the pillar that executes all other pillars’ intentions. Its two outbound dependencies run back to Technology and Policy — feedback relationships that make the system self-correcting rather than purely top-down.</w:t>
      </w:r>
    </w:p>
    <w:p>
      <w:pPr>
        <w:pStyle w:val="BodyText"/>
      </w:pPr>
      <w:r>
        <w:rPr>
          <w:b/>
          <w:bCs/>
        </w:rPr>
        <w:t xml:space="preserve">Operations → Policy: Implementation data feeds back into policy design</w:t>
      </w:r>
      <w:r>
        <w:t xml:space="preserve"> </w:t>
      </w:r>
      <w:r>
        <w:t xml:space="preserve">·</w:t>
      </w:r>
      <w:r>
        <w:t xml:space="preserve"> </w:t>
      </w:r>
      <w:r>
        <w:rPr>
          <w:i/>
          <w:iCs/>
        </w:rPr>
        <w:t xml:space="preserve">ENABLES</w:t>
      </w:r>
    </w:p>
    <w:p>
      <w:pPr>
        <w:pStyle w:val="BodyText"/>
      </w:pPr>
      <w: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for FY2027 is being refined based on hospital financial data from the operations layer. The December 2028 Statewide Strategic Plan will be drafted based on what the Operations pillar has learned from implementing the preceding three years of transformation. This is not passive reporting — it is active policy learning.</w:t>
      </w:r>
    </w:p>
    <w:p>
      <w:pPr>
        <w:pStyle w:val="BodyText"/>
        <w:keepNext w:val="false"/>
      </w:pPr>
      <w:r>
        <w:rPr>
          <w:b/>
          <w:bCs/>
        </w:rPr>
        <w:t xml:space="preserve">Operations → Technology: Workforce runs the data infrastructure</w:t>
      </w:r>
      <w:r>
        <w:t xml:space="preserve"> </w:t>
      </w:r>
      <w:r>
        <w:t xml:space="preserve">·</w:t>
      </w:r>
      <w:r>
        <w:t xml:space="preserve"> </w:t>
      </w:r>
      <w:r>
        <w:rPr>
          <w:i/>
          <w:iCs/>
        </w:rPr>
        <w:t xml:space="preserve">REQUIRES</w:t>
      </w:r>
    </w:p>
    <w:p>
      <w:pPr>
        <w:pStyle w:val="BodyText"/>
        <w:keepNext w:val="false"/>
      </w:pPr>
      <w: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rural CAHs — Grace Cottage, Gifford Medical Center, North Country Hospital — have limited IT staff. This Operations pillar constraint directly limits their Technology pillar capability. The Vermont CIN’s shared services model addresses this: a shared analytics and IT function within the CIN provides all 14 hospitals access to Technology pillar capability they cannot individually afford. The CIN is an Operations pillar solution to a Technology pillar gap.</w:t>
            </w:r>
          </w:p>
        </w:tc>
      </w:tr>
    </w:tbl>
    <w:p>
      <w:pPr>
        <w:spacing w:after="120"/>
        <w:keepNext w:val="false"/>
      </w:pPr>
    </w:p>
    <w:p>
      <w:pPr>
        <w:pStyle w:val="Heading2"/>
        <w:pBdr>
          <w:top w:val="single" w:sz="6" w:space="10" w:color="C9D2DF"/>
        </w:pBdr>
        <w:keepNext w:val="false"/>
      </w:pPr>
      <w:r>
        <w:rPr>
          <w:color w:val="161B22"/>
        </w:rPr>
        <w:t xml:space="preserve">1.5  </w:t>
      </w:r>
      <w:bookmarkStart w:id="1038" w:name="_Toc1037"/>
      <w:r>
        <w:rPr>
          <w:b/>
          <w:bCs/>
          <w:color w:val="161B22"/>
        </w:rPr>
        <w:t xml:space="preserve">The Failure Cascade: What Happens When a Pillar Is Missing</w:t>
      </w:r>
      <w:bookmarkEnd w:id="1038"/>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Pillars, All Required</w:t>
            </w:r>
          </w:p>
        </w:tc>
        <w:tc>
          <w:tcPr>
            <w:tcW w:w="2268" w:type="dxa"/>
            <w:shd w:val="clear" w:color="auto" w:fill="E8F0FB"/>
            <w:vAlign w:val="center"/>
          </w:tcPr>
          <w:p>
            <w:pPr>
              <w:jc w:val="center"/>
              <w:spacing w:after="20" w:before="40"/>
            </w:pPr>
            <w:r>
              <w:rPr>
                <w:rFonts w:ascii="Calibri" w:hAnsi="Calibri"/>
                <w:b/>
                <w:sz w:val="16"/>
                <w:color w:val="1B3A6B"/>
              </w:rPr>
              <w:t>15</w:t>
            </w:r>
          </w:p>
          <w:p>
            <w:pPr>
              <w:jc w:val="center"/>
              <w:spacing w:after="40"/>
            </w:pPr>
            <w:r>
              <w:rPr>
                <w:rFonts w:ascii="Calibri" w:hAnsi="Calibri"/>
                <w:b/>
                <w:sz w:val="16"/>
                <w:color w:val="1B3A6B"/>
              </w:rPr>
              <w:t>Dependency Relationships</w:t>
            </w:r>
          </w:p>
        </w:tc>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Failure Cascade Patterns</w:t>
            </w:r>
          </w:p>
        </w:tc>
        <w:tc>
          <w:tcPr>
            <w:tcW w:w="2268" w:type="dxa"/>
            <w:shd w:val="clear" w:color="auto" w:fill="E8F0FB"/>
            <w:vAlign w:val="center"/>
          </w:tcPr>
          <w:p>
            <w:pPr>
              <w:jc w:val="center"/>
              <w:spacing w:after="20" w:before="40"/>
            </w:pPr>
            <w:r>
              <w:rPr>
                <w:rFonts w:ascii="Calibri" w:hAnsi="Calibri"/>
                <w:b/>
                <w:sz w:val="16"/>
                <w:color w:val="1B3A6B"/>
              </w:rPr>
              <w:t>1</w:t>
            </w:r>
          </w:p>
          <w:p>
            <w:pPr>
              <w:jc w:val="center"/>
              <w:spacing w:after="40"/>
            </w:pPr>
            <w:r>
              <w:rPr>
                <w:rFonts w:ascii="Calibri" w:hAnsi="Calibri"/>
                <w:b/>
                <w:sz w:val="16"/>
                <w:color w:val="1B3A6B"/>
              </w:rPr>
              <w:t>Pillar Missing = System Fails</w:t>
            </w:r>
          </w:p>
        </w:tc>
      </w:tr>
    </w:tbl>
    <w:p>
      <w:pPr>
        <w:spacing w:after="120"/>
        <w:keepNext w:val="false"/>
      </w:pPr>
    </w:p>
    <w:p>
      <w:pPr>
        <w:pStyle w:val="BodyText"/>
        <w:keepNext w:val="false"/>
      </w:pPr>
      <w:r>
        <w:t xml:space="preserve">The most rigorous test of a dependency framework is not whether it describes how things work when all components are present — it is whether it accurately predicts what fails when a component is removed. The fifteen dependencies described above generate specific, testable failure-cascade predictions. The following analysis applies this test to each pillar.</w:t>
      </w:r>
    </w:p>
    <w:tbl>
      <w:tblPr>
        <w:tblStyle w:val="HTRTable"/>
        <w:tblLook w:firstRow="1" w:lastRow="0" w:firstColumn="0" w:lastColumn="0" w:noHBand="0" w:noVBand="1" w:val="0020"/>
        <w:tblW w:w="9072" w:type="dxa"/>
        <w:tblLayout w:type="fixed"/>
      </w:tblPr>
      <w:tblGrid>
        <w:gridCol w:w="1110"/>
        <w:gridCol w:w="1905"/>
        <w:gridCol w:w="2295"/>
        <w:gridCol w:w="2040"/>
        <w:gridCol w:w="1725"/>
      </w:tblGrid>
      <w:tr>
        <w:trPr>
          <w:tblHeader w:val="on"/>
          <w:cantSplit/>
        </w:trPr>
        <w:tc>
          <w:tcPr>
            <w:shd w:val="clear" w:color="auto" w:fill="1B3A6B"/>
            <w:tcW w:w="1110" w:type="dxa"/>
          </w:tcPr>
          <w:p>
            <w:pPr>
              <w:pStyle w:val="Compact"/>
              <w:jc w:val="left"/>
            </w:pPr>
            <w:r>
              <w:rPr>
                <w:b/>
                <w:color w:val="FFFFFF"/>
                <w:sz w:val="18"/>
              </w:rPr>
              <w:t xml:space="preserve">Pillar removed</w:t>
            </w:r>
          </w:p>
        </w:tc>
        <w:tc>
          <w:tcPr>
            <w:shd w:val="clear" w:color="auto" w:fill="1B3A6B"/>
            <w:tcW w:w="1905" w:type="dxa"/>
          </w:tcPr>
          <w:p>
            <w:pPr>
              <w:pStyle w:val="Compact"/>
              <w:jc w:val="left"/>
            </w:pPr>
            <w:r>
              <w:rPr>
                <w:b/>
                <w:color w:val="FFFFFF"/>
                <w:sz w:val="18"/>
              </w:rPr>
              <w:t xml:space="preserve">Immediate failure</w:t>
            </w:r>
          </w:p>
        </w:tc>
        <w:tc>
          <w:tcPr>
            <w:shd w:val="clear" w:color="auto" w:fill="1B3A6B"/>
            <w:tcW w:w="2295" w:type="dxa"/>
          </w:tcPr>
          <w:p>
            <w:pPr>
              <w:pStyle w:val="Compact"/>
              <w:jc w:val="left"/>
            </w:pPr>
            <w:r>
              <w:rPr>
                <w:b/>
                <w:color w:val="FFFFFF"/>
                <w:sz w:val="18"/>
              </w:rPr>
              <w:t xml:space="preserve">Second-order failure</w:t>
            </w:r>
          </w:p>
        </w:tc>
        <w:tc>
          <w:tcPr>
            <w:shd w:val="clear" w:color="auto" w:fill="1B3A6B"/>
            <w:tcW w:w="2040" w:type="dxa"/>
          </w:tcPr>
          <w:p>
            <w:pPr>
              <w:pStyle w:val="Compact"/>
              <w:jc w:val="left"/>
            </w:pPr>
            <w:r>
              <w:rPr>
                <w:b/>
                <w:color w:val="FFFFFF"/>
                <w:sz w:val="18"/>
              </w:rPr>
              <w:t xml:space="preserve">System-level outcome</w:t>
            </w:r>
          </w:p>
        </w:tc>
        <w:tc>
          <w:tcPr>
            <w:shd w:val="clear" w:color="auto" w:fill="1B3A6B"/>
            <w:tcW w:w="1725" w:type="dxa"/>
          </w:tcPr>
          <w:p>
            <w:pPr>
              <w:pStyle w:val="Compact"/>
              <w:jc w:val="left"/>
            </w:pPr>
            <w:r>
              <w:rPr>
                <w:b/>
                <w:color w:val="FFFFFF"/>
                <w:sz w:val="18"/>
              </w:rPr>
              <w:t xml:space="preserve">Historical example</w:t>
            </w:r>
          </w:p>
        </w:tc>
      </w:tr>
      <w:tr>
        <w:trPr>
          <w:cantSplit/>
        </w:trPr>
        <w:tc>
          <w:tcPr>
            <w:tcW w:w="1110" w:type="dxa"/>
          </w:tcPr>
          <w:p>
            <w:pPr>
              <w:pStyle w:val="Compact"/>
              <w:jc w:val="left"/>
            </w:pPr>
            <w:r>
              <w:rPr>
                <w:b/>
                <w:bCs/>
                <w:sz w:val="18"/>
              </w:rPr>
              <w:t xml:space="preserve">Policy</w:t>
            </w:r>
          </w:p>
        </w:tc>
        <w:tc>
          <w:tcPr>
            <w:tcW w:w="1905" w:type="dxa"/>
          </w:tcPr>
          <w:p>
            <w:pPr>
              <w:pStyle w:val="Compact"/>
              <w:jc w:val="left"/>
            </w:pPr>
            <w:r>
              <w:rPr>
                <w:sz w:val="18"/>
              </w:rPr>
              <w:t xml:space="preserve">Payment reform remains voluntary; highest-cost actors opt out; rate benchmarks have no enforcement.</w:t>
            </w:r>
          </w:p>
        </w:tc>
        <w:tc>
          <w:tcPr>
            <w:tcW w:w="2295" w:type="dxa"/>
          </w:tcPr>
          <w:p>
            <w:pPr>
              <w:pStyle w:val="Compact"/>
              <w:jc w:val="left"/>
            </w:pPr>
            <w:r>
              <w:rPr>
                <w:sz w:val="18"/>
              </w:rPr>
              <w:t xml:space="preserve">Clinical programs continue without the financial incentive alignment that makes population health investment rational; technology is built but not used for financial management.</w:t>
            </w:r>
          </w:p>
        </w:tc>
        <w:tc>
          <w:tcPr>
            <w:tcW w:w="2040" w:type="dxa"/>
          </w:tcPr>
          <w:p>
            <w:pPr>
              <w:pStyle w:val="Compact"/>
              <w:jc w:val="left"/>
            </w:pPr>
            <w:r>
              <w:rPr>
                <w:sz w:val="18"/>
              </w:rPr>
              <w:t xml:space="preserve">Incremental improvement among willing participants; no system-level change; ongoing premium inflation; hospital financial crisis continues.</w:t>
            </w:r>
          </w:p>
        </w:tc>
        <w:tc>
          <w:tcPr>
            <w:tcW w:w="1725" w:type="dxa"/>
          </w:tcPr>
          <w:p>
            <w:pPr>
              <w:pStyle w:val="Compact"/>
              <w:jc w:val="left"/>
            </w:pPr>
            <w:r>
              <w:rPr>
                <w:sz w:val="18"/>
              </w:rPr>
              <w:t xml:space="preserve">Vermont 2010–2022: OneCare voluntary ACO. Modest results; 9/14 hospitals in losses by 2023.</w:t>
            </w:r>
          </w:p>
        </w:tc>
      </w:tr>
      <w:tr>
        <w:trPr/>
        <w:tc>
          <w:tcPr>
            <w:tcW w:w="1110" w:type="dxa"/>
          </w:tcPr>
          <w:p>
            <w:pPr>
              <w:pStyle w:val="Compact"/>
              <w:jc w:val="left"/>
            </w:pPr>
            <w:r>
              <w:rPr>
                <w:b/>
                <w:bCs/>
                <w:sz w:val="18"/>
              </w:rPr>
              <w:t xml:space="preserve">Technology</w:t>
            </w:r>
          </w:p>
        </w:tc>
        <w:tc>
          <w:tcPr>
            <w:tcW w:w="1905" w:type="dxa"/>
          </w:tcPr>
          <w:p>
            <w:pPr>
              <w:pStyle w:val="Compact"/>
              <w:jc w:val="left"/>
            </w:pPr>
            <w:r>
              <w:rPr>
                <w:sz w:val="18"/>
              </w:rPr>
              <w:t xml:space="preserve">VBC contracts signed but not managed; attribution errors undetected; TCOC measurement unreliable; quality measures cannot be stratified.</w:t>
            </w:r>
          </w:p>
        </w:tc>
        <w:tc>
          <w:tcPr>
            <w:tcW w:w="2295" w:type="dxa"/>
          </w:tcPr>
          <w:p>
            <w:pPr>
              <w:pStyle w:val="Compact"/>
              <w:jc w:val="left"/>
            </w:pPr>
            <w:r>
              <w:rPr>
                <w:sz w:val="18"/>
              </w:rPr>
              <w:t xml:space="preserve">Economics contracts produce unexpected losses; Equity cannot measure disparities it cannot see; Clinical cannot identify high-risk patients before they hospitalize.</w:t>
            </w:r>
          </w:p>
        </w:tc>
        <w:tc>
          <w:tcPr>
            <w:tcW w:w="2040" w:type="dxa"/>
          </w:tcPr>
          <w:p>
            <w:pPr>
              <w:pStyle w:val="Compact"/>
              <w:jc w:val="left"/>
            </w:pPr>
            <w:r>
              <w:rPr>
                <w:sz w:val="18"/>
              </w:rPr>
              <w:t xml:space="preserve">VBC produces losses for providers who cannot manage it; organizations exit VBC; payment reform stalls; equity gaps widen invisibly.</w:t>
            </w:r>
          </w:p>
        </w:tc>
        <w:tc>
          <w:tcPr>
            <w:tcW w:w="1725" w:type="dxa"/>
          </w:tcPr>
          <w:p>
            <w:pPr>
              <w:pStyle w:val="Compact"/>
              <w:jc w:val="left"/>
            </w:pPr>
            <w:r>
              <w:rPr>
                <w:sz w:val="18"/>
              </w:rPr>
              <w:t xml:space="preserve">Most early-CMMI ACO failures: organizations entered models without analytics and produced unexpected losses.</w:t>
            </w:r>
          </w:p>
        </w:tc>
      </w:tr>
      <w:tr>
        <w:trPr/>
        <w:tc>
          <w:tcPr>
            <w:tcW w:w="1110" w:type="dxa"/>
          </w:tcPr>
          <w:p>
            <w:pPr>
              <w:pStyle w:val="Compact"/>
              <w:jc w:val="left"/>
            </w:pPr>
            <w:r>
              <w:rPr>
                <w:b/>
                <w:bCs/>
                <w:sz w:val="18"/>
              </w:rPr>
              <w:t xml:space="preserve">Economics</w:t>
            </w:r>
          </w:p>
        </w:tc>
        <w:tc>
          <w:tcPr>
            <w:tcW w:w="1905" w:type="dxa"/>
          </w:tcPr>
          <w:p>
            <w:pPr>
              <w:pStyle w:val="Compact"/>
              <w:jc w:val="left"/>
            </w:pPr>
            <w:r>
              <w:rPr>
                <w:sz w:val="18"/>
              </w:rPr>
              <w:t xml:space="preserve">Clinical programs continue under fee-for-service incentives; hospitals remain rewarded for volume, not value.</w:t>
            </w:r>
          </w:p>
        </w:tc>
        <w:tc>
          <w:tcPr>
            <w:tcW w:w="2295" w:type="dxa"/>
          </w:tcPr>
          <w:p>
            <w:pPr>
              <w:pStyle w:val="Compact"/>
              <w:jc w:val="left"/>
            </w:pPr>
            <w:r>
              <w:rPr>
                <w:sz w:val="18"/>
              </w:rPr>
              <w:t xml:space="preserve">Primary care investment produces outcomes but cannot capture the financial return — the 5.8:1 ROI accrues to payers, not providers.</w:t>
            </w:r>
          </w:p>
        </w:tc>
        <w:tc>
          <w:tcPr>
            <w:tcW w:w="2040" w:type="dxa"/>
          </w:tcPr>
          <w:p>
            <w:pPr>
              <w:pStyle w:val="Compact"/>
              <w:jc w:val="left"/>
            </w:pPr>
            <w:r>
              <w:rPr>
                <w:sz w:val="18"/>
              </w:rPr>
              <w:t xml:space="preserve">Clinical quality improves at the margin; costs keep rising; the financial case for transformation cannot be made; fragility deepens.</w:t>
            </w:r>
          </w:p>
        </w:tc>
        <w:tc>
          <w:tcPr>
            <w:tcW w:w="1725" w:type="dxa"/>
          </w:tcPr>
          <w:p>
            <w:pPr>
              <w:pStyle w:val="Compact"/>
              <w:jc w:val="left"/>
            </w:pPr>
            <w:r>
              <w:rPr>
                <w:sz w:val="18"/>
              </w:rPr>
              <w:t xml:space="preserve">U.S. national experience: 20+ years of quality improvement without payment reform. Quality rose; cost growth continued.</w:t>
            </w:r>
          </w:p>
        </w:tc>
      </w:tr>
      <w:tr>
        <w:trPr/>
        <w:tc>
          <w:tcPr>
            <w:tcW w:w="1110" w:type="dxa"/>
          </w:tcPr>
          <w:p>
            <w:pPr>
              <w:pStyle w:val="Compact"/>
              <w:jc w:val="left"/>
            </w:pPr>
            <w:r>
              <w:rPr>
                <w:b/>
                <w:bCs/>
                <w:sz w:val="18"/>
              </w:rPr>
              <w:t xml:space="preserve">Clinical</w:t>
            </w:r>
          </w:p>
        </w:tc>
        <w:tc>
          <w:tcPr>
            <w:tcW w:w="1905" w:type="dxa"/>
          </w:tcPr>
          <w:p>
            <w:pPr>
              <w:pStyle w:val="Compact"/>
              <w:jc w:val="left"/>
            </w:pPr>
            <w:r>
              <w:rPr>
                <w:sz w:val="18"/>
              </w:rPr>
              <w:t xml:space="preserve">Payment reform changes incentives but has nothing to incentivize; global budgets create pressure without the programs that reduce cost.</w:t>
            </w:r>
          </w:p>
        </w:tc>
        <w:tc>
          <w:tcPr>
            <w:tcW w:w="2295" w:type="dxa"/>
          </w:tcPr>
          <w:p>
            <w:pPr>
              <w:pStyle w:val="Compact"/>
              <w:jc w:val="left"/>
            </w:pPr>
            <w:r>
              <w:rPr>
                <w:sz w:val="18"/>
              </w:rPr>
              <w:t xml:space="preserve">Operations manages financial pressure through service cuts rather than care redesign; Equity access gaps widen as capacity is cut to meet budgets.</w:t>
            </w:r>
          </w:p>
        </w:tc>
        <w:tc>
          <w:tcPr>
            <w:tcW w:w="2040" w:type="dxa"/>
          </w:tcPr>
          <w:p>
            <w:pPr>
              <w:pStyle w:val="Compact"/>
              <w:jc w:val="left"/>
            </w:pPr>
            <w:r>
              <w:rPr>
                <w:sz w:val="18"/>
              </w:rPr>
              <w:t xml:space="preserve">Hospital financial crisis accelerates under global-budget pressure; rural hospitals close.</w:t>
            </w:r>
          </w:p>
        </w:tc>
        <w:tc>
          <w:tcPr>
            <w:tcW w:w="1725" w:type="dxa"/>
          </w:tcPr>
          <w:p>
            <w:pPr>
              <w:pStyle w:val="Compact"/>
              <w:jc w:val="left"/>
            </w:pPr>
            <w:r>
              <w:rPr>
                <w:sz w:val="18"/>
              </w:rPr>
              <w:t xml:space="preserve">Maryland HSCRC early period: global budgets without adequate primary care produced pressure without sustainable improvement.</w:t>
            </w:r>
          </w:p>
        </w:tc>
      </w:tr>
      <w:tr>
        <w:trPr/>
        <w:tc>
          <w:tcPr>
            <w:tcW w:w="1110" w:type="dxa"/>
          </w:tcPr>
          <w:p>
            <w:pPr>
              <w:pStyle w:val="Compact"/>
              <w:jc w:val="left"/>
            </w:pPr>
            <w:r>
              <w:rPr>
                <w:b/>
                <w:bCs/>
                <w:sz w:val="18"/>
              </w:rPr>
              <w:t xml:space="preserve">Equity</w:t>
            </w:r>
          </w:p>
        </w:tc>
        <w:tc>
          <w:tcPr>
            <w:tcW w:w="1905" w:type="dxa"/>
          </w:tcPr>
          <w:p>
            <w:pPr>
              <w:pStyle w:val="Compact"/>
              <w:jc w:val="left"/>
            </w:pPr>
            <w:r>
              <w:rPr>
                <w:sz w:val="18"/>
              </w:rPr>
              <w:t xml:space="preserve">Transformation proceeds but disparities widen; average outcomes improve while geographic and demographic gaps grow.</w:t>
            </w:r>
          </w:p>
        </w:tc>
        <w:tc>
          <w:tcPr>
            <w:tcW w:w="2295" w:type="dxa"/>
          </w:tcPr>
          <w:p>
            <w:pPr>
              <w:pStyle w:val="Compact"/>
              <w:jc w:val="left"/>
            </w:pPr>
            <w:r>
              <w:rPr>
                <w:sz w:val="18"/>
              </w:rPr>
              <w:t xml:space="preserve">Technically optimal policy produces inequitable distributions; technology is built but not used for stratified measurement; clinical programs improve averages without closing gaps.</w:t>
            </w:r>
          </w:p>
        </w:tc>
        <w:tc>
          <w:tcPr>
            <w:tcW w:w="2040" w:type="dxa"/>
          </w:tcPr>
          <w:p>
            <w:pPr>
              <w:pStyle w:val="Compact"/>
              <w:jc w:val="left"/>
            </w:pPr>
            <w:r>
              <w:rPr>
                <w:sz w:val="18"/>
              </w:rPr>
              <w:t xml:space="preserve">Transformation that increases efficiency while reducing equity — technically successful, ethically failed.</w:t>
            </w:r>
          </w:p>
        </w:tc>
        <w:tc>
          <w:tcPr>
            <w:tcW w:w="1725" w:type="dxa"/>
          </w:tcPr>
          <w:p>
            <w:pPr>
              <w:pStyle w:val="Compact"/>
              <w:jc w:val="left"/>
            </w:pPr>
            <w:r>
              <w:rPr>
                <w:sz w:val="18"/>
              </w:rPr>
              <w:t xml:space="preserve">National VBC experience: most APMs improved averages while widening disparities; safety-net providers penalized.</w:t>
            </w:r>
          </w:p>
        </w:tc>
      </w:tr>
      <w:tr>
        <w:trPr>
          <w:cantSplit/>
        </w:trPr>
        <w:tc>
          <w:tcPr>
            <w:tcW w:w="1110" w:type="dxa"/>
          </w:tcPr>
          <w:p>
            <w:pPr>
              <w:pStyle w:val="Compact"/>
              <w:jc w:val="left"/>
            </w:pPr>
            <w:r>
              <w:rPr>
                <w:b/>
                <w:bCs/>
                <w:sz w:val="18"/>
              </w:rPr>
              <w:t xml:space="preserve">Operations</w:t>
            </w:r>
          </w:p>
        </w:tc>
        <w:tc>
          <w:tcPr>
            <w:tcW w:w="1905" w:type="dxa"/>
          </w:tcPr>
          <w:p>
            <w:pPr>
              <w:pStyle w:val="Compact"/>
              <w:jc w:val="left"/>
            </w:pPr>
            <w:r>
              <w:rPr>
                <w:sz w:val="18"/>
              </w:rPr>
              <w:t xml:space="preserve">Statutory mandates exist on paper; clinical programs are designed; data platforms are procured; nothing is implemented.</w:t>
            </w:r>
          </w:p>
        </w:tc>
        <w:tc>
          <w:tcPr>
            <w:tcW w:w="2295" w:type="dxa"/>
          </w:tcPr>
          <w:p>
            <w:pPr>
              <w:pStyle w:val="Compact"/>
              <w:jc w:val="left"/>
            </w:pPr>
            <w:r>
              <w:rPr>
                <w:sz w:val="18"/>
              </w:rPr>
              <w:t xml:space="preserve">Policy accountability fails without capacity to meet deadlines; platforms deployed but unused for management; contracts signed but not managed.</w:t>
            </w:r>
          </w:p>
        </w:tc>
        <w:tc>
          <w:tcPr>
            <w:tcW w:w="2040" w:type="dxa"/>
          </w:tcPr>
          <w:p>
            <w:pPr>
              <w:pStyle w:val="Compact"/>
              <w:jc w:val="left"/>
            </w:pPr>
            <w:r>
              <w:rPr>
                <w:sz w:val="18"/>
              </w:rPr>
              <w:t xml:space="preserve">Transformation documents accumulate; deadlines slip; the 2028 Strategic Plan is descriptive rather than committal; the deficit trajectory continues.</w:t>
            </w:r>
          </w:p>
        </w:tc>
        <w:tc>
          <w:tcPr>
            <w:tcW w:w="1725" w:type="dxa"/>
          </w:tcPr>
          <w:p>
            <w:pPr>
              <w:pStyle w:val="Compact"/>
              <w:jc w:val="left"/>
            </w:pPr>
            <w:r>
              <w:rPr>
                <w:sz w:val="18"/>
              </w:rPr>
              <w:t xml:space="preserve">Most state reform efforts of the 2010s: correct policy, adequate financing, sophisticated data — capacity insufficient to execute.</w:t>
            </w:r>
          </w:p>
        </w:tc>
      </w:tr>
    </w:tbl>
    <w:p>
      <w:pPr>
        <w:pStyle w:val="Caption"/>
        <w:spacing w:before="120"/>
      </w:pPr>
      <w:r>
        <w:rPr>
          <w:i/>
          <w:iCs/>
        </w:rPr>
        <w:t xml:space="preserve">Figure 1.4 — Failure-cascade analysis: what breaks when each pillar is absent. Source: HTR analysis; CMMI evaluation literature; Oliver Wyman Act 167 Report; Vermont experience.</w:t>
      </w:r>
    </w:p>
    <w:p>
      <w:pPr>
        <w:pStyle w:val="Heading2"/>
        <w:pBdr>
          <w:top w:val="single" w:sz="6" w:space="10" w:color="C9D2DF"/>
        </w:pBdr>
      </w:pPr>
      <w:r>
        <w:rPr>
          <w:color w:val="161B22"/>
        </w:rPr>
        <w:t xml:space="preserve">1.6  </w:t>
      </w:r>
      <w:bookmarkStart w:id="1039" w:name="_Toc1038"/>
      <w:r>
        <w:rPr>
          <w:b/>
          <w:bCs/>
          <w:color w:val="161B22"/>
        </w:rPr>
        <w:t xml:space="preserve">Using the Dependency Map as an Analytical Tool</w:t>
      </w:r>
      <w:bookmarkEnd w:id="1039"/>
    </w:p>
    <w:p>
      <w:pPr>
        <w:pStyle w:val="FirstParagraph"/>
      </w:pPr>
      <w:r>
        <w:t xml:space="preserve">The dependency map is not merely a theoretical framework — it is a practical analytical tool for three management functions: transformation sequencing, risk identification, and investment prioritization.</w:t>
      </w:r>
    </w:p>
    <w:p>
      <w:pPr>
        <w:pStyle w:val="BodyText"/>
      </w:pPr>
      <w:r>
        <w:rPr>
          <w:b/>
          <w:bCs/>
        </w:rPr>
        <w:t xml:space="preserve">1. Transformation sequencing — what must come first.</w:t>
      </w:r>
      <w:r>
        <w:t xml:space="preserve"> </w:t>
      </w:r>
      <w:r>
        <w:t xml:space="preserve">The dependency structure generates a partial ordering of interventions: some investments cannot produce their expected results until enabling investments are in place. Getting the sequence wrong is not merely inefficient — it produces failed interventions that generate political resistance to subsequent correct interventions. Sections 1.8 through 1.14 develop that ordering in full, returning to the OneCare failure examined in Section 1.2.</w:t>
      </w:r>
    </w:p>
    <w:p>
      <w:pPr>
        <w:pStyle w:val="BodyText"/>
      </w:pPr>
      <w:r>
        <w:rPr>
          <w:b/>
          <w:bCs/>
        </w:rPr>
        <w:t xml:space="preserve">2. Risk identification.</w:t>
      </w:r>
      <w:r>
        <w:t xml:space="preserve"> </w:t>
      </w:r>
      <w:r>
        <w:t xml:space="preserve">The dependency map identifies Vermont’s vulnerabilities with precision. The critical path runs through the Technology pillar’s analytics capability: AHEAD global budgets require VHCURES analytics, equity measurement requires demographic stratification, and clinical risk stratification requires the population health platform. The AHS-GMCB analytics capability — being stood up in 2025–2026 but not yet complete — is the single highest-risk gap in Vermont’s current architecture. A delay does not merely delay one program; it delays the financial management capability for AHEAD, the equity measurement capability for the Statewide Strategic Plan, and the risk stratification capability for Blueprint’s CCBHC expansion. Three dependencies converge on this single investment.</w:t>
      </w:r>
    </w:p>
    <w:p>
      <w:pPr>
        <w:pStyle w:val="BodyText"/>
      </w:pPr>
      <w:r>
        <w:rPr>
          <w:b/>
          <w:bCs/>
        </w:rPr>
        <w:t xml:space="preserve">3. Investment prioritization.</w:t>
      </w:r>
      <w:r>
        <w:t xml:space="preserve"> </w:t>
      </w:r>
      <w:r>
        <w:t xml:space="preserve">Not all pillar investments have equal leverage. An investment in a pillar with many inbound dependencies has higher leverage than one required by only a single pillar. The Technology pillar has the highest inbound dependency count in Vermont’s current architecture (Economics, Clinical, and Operations all require it); Operations is second (Clinical and Policy require it). The highest-leverage investments in Vermont’s current phase are therefore analytics capability deployment, AHS organizational capacity building, and HCC gap closure at AHEAD-participating hospitals.</w:t>
      </w:r>
    </w:p>
    <w:p>
      <w:pPr>
        <w:pStyle w:val="Heading2"/>
        <w:pBdr>
          <w:top w:val="single" w:sz="6" w:space="10" w:color="C9D2DF"/>
        </w:pBdr>
        <w:keepNext w:val="false"/>
      </w:pPr>
      <w:r>
        <w:rPr>
          <w:color w:val="161B22"/>
        </w:rPr>
        <w:t xml:space="preserve">1.7  </w:t>
      </w:r>
      <w:bookmarkStart w:id="1040" w:name="_Toc1039"/>
      <w:r>
        <w:rPr>
          <w:b/>
          <w:bCs/>
          <w:color w:val="161B22"/>
        </w:rPr>
        <w:t xml:space="preserve">The Vermont Thread: Six Pillars in One System</w:t>
      </w:r>
      <w:bookmarkEnd w:id="1040"/>
    </w:p>
    <w:p>
      <w:pPr>
        <w:pStyle w:val="FirstParagraph"/>
        <w:keepNext w:val="false"/>
      </w:pPr>
      <w:r>
        <w:t xml:space="preserve">Vermont’s healthcare transformation is the closest thing to a controlled experiment in simultaneous six-pillar intervention that American health policy has produced. The following table maps Vermont’s primary reform vehicles onto the six-pillar framework, establishing the connective tissue that runs through every subsequent chapter.</w:t>
      </w:r>
    </w:p>
    <w:tbl>
      <w:tblPr>
        <w:tblStyle w:val="HTRTable"/>
        <w:tblLook w:firstRow="1" w:lastRow="0" w:firstColumn="0" w:lastColumn="0" w:noHBand="0" w:noVBand="1" w:val="0020"/>
        <w:tblW w:w="9072" w:type="dxa"/>
        <w:tblLayout w:type="fixed"/>
      </w:tblPr>
      <w:tblGrid>
        <w:gridCol w:w="1245"/>
        <w:gridCol w:w="3420"/>
        <w:gridCol w:w="3465"/>
        <w:gridCol w:w="945"/>
      </w:tblGrid>
      <w:tr>
        <w:trPr>
          <w:tblHeader w:val="on"/>
          <w:cantSplit/>
        </w:trPr>
        <w:tc>
          <w:tcPr>
            <w:shd w:val="clear" w:color="auto" w:fill="1B3A6B"/>
            <w:tcW w:w="1245" w:type="dxa"/>
          </w:tcPr>
          <w:p>
            <w:pPr>
              <w:pStyle w:val="Compact"/>
              <w:jc w:val="left"/>
            </w:pPr>
            <w:r>
              <w:rPr>
                <w:b/>
                <w:color w:val="FFFFFF"/>
                <w:sz w:val="18"/>
              </w:rPr>
              <w:t xml:space="preserve">Pillar</w:t>
            </w:r>
          </w:p>
        </w:tc>
        <w:tc>
          <w:tcPr>
            <w:shd w:val="clear" w:color="auto" w:fill="1B3A6B"/>
            <w:tcW w:w="3420" w:type="dxa"/>
          </w:tcPr>
          <w:p>
            <w:pPr>
              <w:pStyle w:val="Compact"/>
              <w:jc w:val="left"/>
            </w:pPr>
            <w:r>
              <w:rPr>
                <w:b/>
                <w:color w:val="FFFFFF"/>
                <w:sz w:val="18"/>
              </w:rPr>
              <w:t xml:space="preserve">Primary Vermont intervention</w:t>
            </w:r>
          </w:p>
        </w:tc>
        <w:tc>
          <w:tcPr>
            <w:shd w:val="clear" w:color="auto" w:fill="1B3A6B"/>
            <w:tcW w:w="3465" w:type="dxa"/>
          </w:tcPr>
          <w:p>
            <w:pPr>
              <w:pStyle w:val="Compact"/>
              <w:jc w:val="left"/>
            </w:pPr>
            <w:r>
              <w:rPr>
                <w:b/>
                <w:color w:val="FFFFFF"/>
                <w:sz w:val="18"/>
              </w:rPr>
              <w:t xml:space="preserve">Secondary interventions</w:t>
            </w:r>
          </w:p>
        </w:tc>
        <w:tc>
          <w:tcPr>
            <w:shd w:val="clear" w:color="auto" w:fill="1B3A6B"/>
            <w:tcW w:w="945" w:type="dxa"/>
          </w:tcPr>
          <w:p>
            <w:pPr>
              <w:pStyle w:val="Compact"/>
              <w:jc w:val="left"/>
            </w:pPr>
            <w:r>
              <w:rPr>
                <w:b/>
                <w:color w:val="FFFFFF"/>
                <w:sz w:val="18"/>
              </w:rPr>
              <w:t xml:space="preserve">Developed in</w:t>
            </w:r>
          </w:p>
        </w:tc>
      </w:tr>
      <w:tr>
        <w:trPr>
          <w:cantSplit/>
        </w:trPr>
        <w:tc>
          <w:tcPr>
            <w:tcW w:w="1245" w:type="dxa"/>
          </w:tcPr>
          <w:p>
            <w:pPr>
              <w:pStyle w:val="Compact"/>
              <w:jc w:val="left"/>
            </w:pPr>
            <w:r>
              <w:rPr>
                <w:b/>
                <w:bCs/>
                <w:sz w:val="18"/>
              </w:rPr>
              <w:t xml:space="preserve">Policy</w:t>
            </w:r>
          </w:p>
        </w:tc>
        <w:tc>
          <w:tcPr>
            <w:tcW w:w="3420" w:type="dxa"/>
          </w:tcPr>
          <w:p>
            <w:pPr>
              <w:pStyle w:val="Compact"/>
              <w:jc w:val="left"/>
            </w:pPr>
            <w:r>
              <w:rPr>
                <w:sz w:val="18"/>
              </w:rPr>
              <w:t xml:space="preserve">Acts 167 (2022), 51 (2023), 68 (2025): the legislative reform cascade; AHEAD Model State Agreement (January 2025)</w:t>
            </w:r>
          </w:p>
        </w:tc>
        <w:tc>
          <w:tcPr>
            <w:tcW w:w="3465" w:type="dxa"/>
          </w:tcPr>
          <w:p>
            <w:pPr>
              <w:pStyle w:val="Compact"/>
              <w:jc w:val="left"/>
            </w:pPr>
            <w:r>
              <w:rPr>
                <w:sz w:val="18"/>
              </w:rPr>
              <w:t xml:space="preserve">Act 55 (drug pricing); Act 49 (insurer solvency); Act 62 (HIE governance); federal RHT Program award</w:t>
            </w:r>
          </w:p>
        </w:tc>
        <w:tc>
          <w:tcPr>
            <w:tcW w:w="945" w:type="dxa"/>
          </w:tcPr>
          <w:p>
            <w:pPr>
              <w:pStyle w:val="Compact"/>
              <w:jc w:val="left"/>
            </w:pPr>
            <w:r>
              <w:rPr>
                <w:sz w:val="18"/>
              </w:rPr>
              <w:t xml:space="preserve">Chapters 2–3</w:t>
            </w:r>
          </w:p>
        </w:tc>
      </w:tr>
      <w:tr>
        <w:trPr/>
        <w:tc>
          <w:tcPr>
            <w:tcW w:w="1245" w:type="dxa"/>
          </w:tcPr>
          <w:p>
            <w:pPr>
              <w:pStyle w:val="Compact"/>
              <w:jc w:val="left"/>
            </w:pPr>
            <w:r>
              <w:rPr>
                <w:b/>
                <w:bCs/>
                <w:sz w:val="18"/>
              </w:rPr>
              <w:t xml:space="preserve">Technology</w:t>
            </w:r>
          </w:p>
        </w:tc>
        <w:tc>
          <w:tcPr>
            <w:tcW w:w="3420" w:type="dxa"/>
          </w:tcPr>
          <w:p>
            <w:pPr>
              <w:pStyle w:val="Compact"/>
              <w:jc w:val="left"/>
            </w:pPr>
            <w:r>
              <w:rPr>
                <w:sz w:val="18"/>
              </w:rPr>
              <w:t xml:space="preserve">VHCURES all-payer claims database; Vermont CIN (RHT Program); AHS-GMCB data integration and analytics capability; AI scribe and RPM grants</w:t>
            </w:r>
          </w:p>
        </w:tc>
        <w:tc>
          <w:tcPr>
            <w:tcW w:w="3465" w:type="dxa"/>
          </w:tcPr>
          <w:p>
            <w:pPr>
              <w:pStyle w:val="Compact"/>
              <w:jc w:val="left"/>
            </w:pPr>
            <w:r>
              <w:rPr>
                <w:sz w:val="18"/>
              </w:rPr>
              <w:t xml:space="preserve">VITL/VHIE HIE; DVHA HIT Plan (Act 62); statewide EHR feasibility assessment; FHIR compliance investments</w:t>
            </w:r>
          </w:p>
        </w:tc>
        <w:tc>
          <w:tcPr>
            <w:tcW w:w="945" w:type="dxa"/>
          </w:tcPr>
          <w:p>
            <w:pPr>
              <w:pStyle w:val="Compact"/>
              <w:jc w:val="left"/>
            </w:pPr>
            <w:r>
              <w:rPr>
                <w:sz w:val="18"/>
              </w:rPr>
              <w:t xml:space="preserve">Chapters 4–5</w:t>
            </w:r>
          </w:p>
        </w:tc>
      </w:tr>
      <w:tr>
        <w:trPr/>
        <w:tc>
          <w:tcPr>
            <w:tcW w:w="1245" w:type="dxa"/>
          </w:tcPr>
          <w:p>
            <w:pPr>
              <w:pStyle w:val="Compact"/>
              <w:jc w:val="left"/>
            </w:pPr>
            <w:r>
              <w:rPr>
                <w:b/>
                <w:bCs/>
                <w:sz w:val="18"/>
              </w:rPr>
              <w:t xml:space="preserve">Economics</w:t>
            </w:r>
          </w:p>
        </w:tc>
        <w:tc>
          <w:tcPr>
            <w:tcW w:w="3420" w:type="dxa"/>
          </w:tcPr>
          <w:p>
            <w:pPr>
              <w:pStyle w:val="Compact"/>
              <w:jc w:val="left"/>
            </w:pPr>
            <w:r>
              <w:rPr>
                <w:sz w:val="18"/>
              </w:rPr>
              <w:t xml:space="preserve">Reference-based pricing (mandatory, FY2027); global hospital budgets (FY2028–2030); AHEAD total cost of care accountability</w:t>
            </w:r>
          </w:p>
        </w:tc>
        <w:tc>
          <w:tcPr>
            <w:tcW w:w="3465" w:type="dxa"/>
          </w:tcPr>
          <w:p>
            <w:pPr>
              <w:pStyle w:val="Compact"/>
              <w:jc w:val="left"/>
            </w:pPr>
            <w:r>
              <w:rPr>
                <w:sz w:val="18"/>
              </w:rPr>
              <w:t xml:space="preserve">Act 68 hospital spending reduction (2.5%, FY2026); GMCB FY27 budget guidance (−1% commercial rate); Act 55 drug cap ($135M savings)</w:t>
            </w:r>
          </w:p>
        </w:tc>
        <w:tc>
          <w:tcPr>
            <w:tcW w:w="945" w:type="dxa"/>
          </w:tcPr>
          <w:p>
            <w:pPr>
              <w:pStyle w:val="Compact"/>
              <w:jc w:val="left"/>
            </w:pPr>
            <w:r>
              <w:rPr>
                <w:sz w:val="18"/>
              </w:rPr>
              <w:t xml:space="preserve">Chapters 6–7</w:t>
            </w:r>
          </w:p>
        </w:tc>
      </w:tr>
      <w:tr>
        <w:trPr/>
        <w:tc>
          <w:tcPr>
            <w:tcW w:w="1245" w:type="dxa"/>
          </w:tcPr>
          <w:p>
            <w:pPr>
              <w:pStyle w:val="Compact"/>
              <w:jc w:val="left"/>
            </w:pPr>
            <w:r>
              <w:rPr>
                <w:b/>
                <w:bCs/>
                <w:sz w:val="18"/>
              </w:rPr>
              <w:t xml:space="preserve">Clinical</w:t>
            </w:r>
          </w:p>
        </w:tc>
        <w:tc>
          <w:tcPr>
            <w:tcW w:w="3420" w:type="dxa"/>
          </w:tcPr>
          <w:p>
            <w:pPr>
              <w:pStyle w:val="Compact"/>
              <w:jc w:val="left"/>
            </w:pPr>
            <w:r>
              <w:rPr>
                <w:sz w:val="18"/>
              </w:rPr>
              <w:t xml:space="preserve">Blueprint for Health (all-payer PCMH + CHT); CoCM and MHI behavioral health integration; CCBHC expansion (5 entities by July 2026)</w:t>
            </w:r>
          </w:p>
        </w:tc>
        <w:tc>
          <w:tcPr>
            <w:tcW w:w="3465" w:type="dxa"/>
          </w:tcPr>
          <w:p>
            <w:pPr>
              <w:pStyle w:val="Compact"/>
              <w:jc w:val="left"/>
            </w:pPr>
            <w:r>
              <w:rPr>
                <w:sz w:val="18"/>
              </w:rPr>
              <w:t xml:space="preserve">Hub-and-Spoke SUD model; PACE program development; COE regionalization; dementia care infrastructure</w:t>
            </w:r>
          </w:p>
        </w:tc>
        <w:tc>
          <w:tcPr>
            <w:tcW w:w="945" w:type="dxa"/>
          </w:tcPr>
          <w:p>
            <w:pPr>
              <w:pStyle w:val="Compact"/>
              <w:jc w:val="left"/>
            </w:pPr>
            <w:r>
              <w:rPr>
                <w:sz w:val="18"/>
              </w:rPr>
              <w:t xml:space="preserve">Chapters 8–9</w:t>
            </w:r>
          </w:p>
        </w:tc>
      </w:tr>
      <w:tr>
        <w:trPr/>
        <w:tc>
          <w:tcPr>
            <w:tcW w:w="1245" w:type="dxa"/>
          </w:tcPr>
          <w:p>
            <w:pPr>
              <w:pStyle w:val="Compact"/>
              <w:jc w:val="left"/>
            </w:pPr>
            <w:r>
              <w:rPr>
                <w:b/>
                <w:bCs/>
                <w:sz w:val="18"/>
              </w:rPr>
              <w:t xml:space="preserve">Equity</w:t>
            </w:r>
          </w:p>
        </w:tc>
        <w:tc>
          <w:tcPr>
            <w:tcW w:w="3420" w:type="dxa"/>
          </w:tcPr>
          <w:p>
            <w:pPr>
              <w:pStyle w:val="Compact"/>
              <w:jc w:val="left"/>
            </w:pPr>
            <w:r>
              <w:rPr>
                <w:sz w:val="18"/>
              </w:rPr>
              <w:t xml:space="preserve">Geographic equity monitoring (HSA-level); SDOH integration through AHS HSA Coordinators; rural access preservation in RBP/global budget design</w:t>
            </w:r>
          </w:p>
        </w:tc>
        <w:tc>
          <w:tcPr>
            <w:tcW w:w="3465" w:type="dxa"/>
          </w:tcPr>
          <w:p>
            <w:pPr>
              <w:pStyle w:val="Compact"/>
              <w:jc w:val="left"/>
            </w:pPr>
            <w:r>
              <w:rPr>
                <w:sz w:val="18"/>
              </w:rPr>
              <w:t xml:space="preserve">HRSN universal screening (Blueprint); CCBHC access for all populations; Northeast Kingdom focus; GLP-1 access advocacy</w:t>
            </w:r>
          </w:p>
        </w:tc>
        <w:tc>
          <w:tcPr>
            <w:tcW w:w="945" w:type="dxa"/>
          </w:tcPr>
          <w:p>
            <w:pPr>
              <w:pStyle w:val="Compact"/>
              <w:jc w:val="left"/>
            </w:pPr>
            <w:r>
              <w:rPr>
                <w:sz w:val="18"/>
              </w:rPr>
              <w:t xml:space="preserve">Chapter 10</w:t>
            </w:r>
          </w:p>
        </w:tc>
      </w:tr>
      <w:tr>
        <w:trPr>
          <w:cantSplit/>
        </w:trPr>
        <w:tc>
          <w:tcPr>
            <w:tcW w:w="1245" w:type="dxa"/>
          </w:tcPr>
          <w:p>
            <w:pPr>
              <w:pStyle w:val="Compact"/>
              <w:jc w:val="left"/>
            </w:pPr>
            <w:r>
              <w:rPr>
                <w:b/>
                <w:bCs/>
                <w:sz w:val="18"/>
              </w:rPr>
              <w:t xml:space="preserve">Operations</w:t>
            </w:r>
          </w:p>
        </w:tc>
        <w:tc>
          <w:tcPr>
            <w:tcW w:w="3420" w:type="dxa"/>
          </w:tcPr>
          <w:p>
            <w:pPr>
              <w:pStyle w:val="Compact"/>
              <w:jc w:val="left"/>
            </w:pPr>
            <w:r>
              <w:rPr>
                <w:sz w:val="18"/>
              </w:rPr>
              <w:t xml:space="preserve">14-hospital transformation planning (RHRC + AHS); Vermont CIN shared services; Act 68 transformation grants ($2M); PMO establishment</w:t>
            </w:r>
          </w:p>
        </w:tc>
        <w:tc>
          <w:tcPr>
            <w:tcW w:w="3465" w:type="dxa"/>
          </w:tcPr>
          <w:p>
            <w:pPr>
              <w:pStyle w:val="Compact"/>
              <w:jc w:val="left"/>
            </w:pPr>
            <w:r>
              <w:rPr>
                <w:sz w:val="18"/>
              </w:rPr>
              <w:t xml:space="preserve">EMS regionalization; administrative simplification (CON, prior auth); AHS restructuring; Division of Planning and Effectiveness</w:t>
            </w:r>
          </w:p>
        </w:tc>
        <w:tc>
          <w:tcPr>
            <w:tcW w:w="945" w:type="dxa"/>
          </w:tcPr>
          <w:p>
            <w:pPr>
              <w:pStyle w:val="Compact"/>
              <w:jc w:val="left"/>
            </w:pPr>
            <w:r>
              <w:rPr>
                <w:sz w:val="18"/>
              </w:rPr>
              <w:t xml:space="preserve">Chapters 11, 16</w:t>
            </w:r>
          </w:p>
        </w:tc>
      </w:tr>
    </w:tbl>
    <w:p>
      <w:pPr>
        <w:pStyle w:val="Caption"/>
        <w:spacing w:before="120"/>
      </w:pPr>
      <w:r>
        <w:rPr>
          <w:i/>
          <w:iCs/>
        </w:rPr>
        <w:t xml:space="preserve">Figure 1.5 — Vermont’s six-pillar transformation map. Sources: Acts 167, 51, 55, 62, 68 of 2022–2025; AHEAD State Agreement; Vermont RHT Program Application; Oliver Wyman Act 167 Report.</w:t>
      </w:r>
    </w:p>
    <w:p>
      <w:pPr>
        <w:pStyle w:val="BodyText"/>
      </w:pPr>
      <w:r>
        <w:t xml:space="preserve">This table is not a comprehensive inventory of Vermont’s healthcare reform. It is a navigation map — a way of locating Vermont’s specific interventions within the analytical framework that the subsequent chapters develop. The framework gives every Vermont policy intervention a structural home and every analytical concept a Vermont application.</w:t>
      </w:r>
    </w:p>
    <w:p>
      <w:pPr>
        <w:pStyle w:val="Heading2"/>
        <w:pBdr>
          <w:top w:val="single" w:sz="6" w:space="10" w:color="C9D2DF"/>
        </w:pBdr>
      </w:pPr>
      <w:r>
        <w:rPr>
          <w:color w:val="161B22"/>
        </w:rPr>
        <w:t xml:space="preserve">1.8  </w:t>
      </w:r>
      <w:bookmarkStart w:id="1041" w:name="_Toc1040"/>
      <w:r>
        <w:rPr>
          <w:b/>
          <w:bCs/>
          <w:color w:val="161B22"/>
        </w:rPr>
        <w:t xml:space="preserve">From Framework to Sequence: Why Order Is Not Optional</w:t>
      </w:r>
      <w:bookmarkEnd w:id="1041"/>
    </w:p>
    <w:p>
      <w:pPr>
        <w:pStyle w:val="FirstParagraph"/>
      </w:pPr>
      <w:r>
        <w:t xml:space="preserve">Sections 1.3 through 1.7 established what the six pillars are and how they depend on one another. The dependencies establish something sharper still: that the pillars cannot be built in any order. A dependency is, by definition, a constraint on sequence — if Economics requires Technology, then Technology must come first. The rest of this chapter develops that argument, using Vermont’s OneCare failure as the case that proves what happens when the sequence is violated.</w:t>
      </w:r>
    </w:p>
    <w:p>
      <w:pPr>
        <w:pStyle w:val="Heading2"/>
        <w:pBdr>
          <w:top w:val="single" w:sz="6" w:space="10" w:color="C9D2DF"/>
        </w:pBdr>
      </w:pPr>
      <w:r>
        <w:rPr>
          <w:color w:val="161B22"/>
        </w:rPr>
        <w:t xml:space="preserve">1.9  </w:t>
      </w:r>
      <w:bookmarkStart w:id="1042" w:name="_Toc1041"/>
      <w:r>
        <w:rPr>
          <w:b/>
          <w:bCs/>
          <w:color w:val="161B22"/>
        </w:rPr>
        <w:t xml:space="preserve">The Core Argument: Dependency Logic Determines Sequence</w:t>
      </w:r>
      <w:bookmarkEnd w:id="1042"/>
    </w:p>
    <w:p>
      <w:pPr>
        <w:pStyle w:val="FirstParagraph"/>
      </w:pPr>
      <w:r>
        <w:t xml:space="preserve">Strip away the state names and the claim is this: any organization or system attempting to move all six pillars — Policy, Technology, Economics, Clinical, Equity,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pPr>
        <w:pStyle w:val="BodyText"/>
      </w:pPr>
      <w:r>
        <w:t xml:space="preserve">Vermont did not choose careful sequencing because it was disciplined. It was forced into it because it had the scars from earlier experiences and had run out of time to get it wrong.</w:t>
      </w:r>
    </w:p>
    <w:p>
      <w:pPr>
        <w:pStyle w:val="BodyText"/>
      </w:pPr>
      <w: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pPr>
        <w:pStyle w:val="BodyText"/>
      </w:pPr>
      <w: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w:t>
      </w:r>
    </w:p>
    <w:p>
      <w:pPr>
        <w:pStyle w:val="BodyText"/>
        <w:keepNext w:val="false"/>
      </w:pPr>
      <w:r>
        <w:t xml:space="preserve">The answer is not arbitrary, and it is not a matter of institutional preference or political opportunity. The execution sequence is determined by dependency logic — the structural reality that some things cannot produce value until other things are already in place. Getting the order wrong does not merely slow progress. It produces structural failures that are expensive to reverse, politically difficult to explain, and — as OneCare’s experience shows — sometimes impossible to correct from within the organization that made the error.</w:t>
      </w:r>
    </w:p>
    <w:p>
      <w:pPr>
        <w:pStyle w:val="BodyText"/>
        <w:keepNext w:val="false"/>
      </w:pPr>
      <w:r>
        <w:t xml:space="preserve">The correct sequence is: Policy → Technology → Economics → Clinical → Equity → Operations. The critical and counterintuitive placement is Technology before Economics. Most reform architects reverse this, for understandable reasons: payment reform feels like the lever, technology feels like the support function. OneCare’s failure is the proof that this instinct is wrong.</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Policy → Technology → Economics → Clinical → Equity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p>
        </w:tc>
      </w:tr>
    </w:tbl>
    <w:p>
      <w:pPr>
        <w:spacing w:after="120"/>
      </w:pPr>
    </w:p>
    <w:p>
      <w:pPr>
        <w:pStyle w:val="Heading2"/>
        <w:pBdr>
          <w:top w:val="single" w:sz="6" w:space="10" w:color="C9D2DF"/>
        </w:pBdr>
      </w:pPr>
      <w:r>
        <w:rPr>
          <w:color w:val="161B22"/>
        </w:rPr>
        <w:t xml:space="preserve">1.10  </w:t>
      </w:r>
      <w:bookmarkStart w:id="1043" w:name="_Toc1042"/>
      <w:r>
        <w:rPr>
          <w:b/>
          <w:bCs/>
          <w:color w:val="161B22"/>
        </w:rPr>
        <w:t xml:space="preserve">The Critics: Why Sequencing Logic Has Real Opponents</w:t>
      </w:r>
      <w:bookmarkEnd w:id="1043"/>
    </w:p>
    <w:p>
      <w:pPr>
        <w:pStyle w:val="FirstParagraph"/>
      </w:pPr>
      <w:r>
        <w:t xml:space="preserve">The sequencing argument presented in this chapter — and the OneCare autopsy in Section 1.2 that motivates it — has critics, who deserve direct engagement rather than dismissal.</w:t>
      </w:r>
    </w:p>
    <w:p>
      <w:pPr>
        <w:pStyle w:val="Heading3"/>
      </w:pPr>
      <w:r>
        <w:rPr>
          <w:color w:val="161B22"/>
        </w:rPr>
        <w:t xml:space="preserve">1.10.1  </w:t>
      </w:r>
      <w:bookmarkStart w:id="1044" w:name="_Toc1043"/>
      <w:r>
        <w:rPr>
          <w:b/>
          <w:bCs/>
          <w:color w:val="161B22"/>
        </w:rPr>
        <w:t xml:space="preserve">“Sequencing Is a Post-Hoc Rationalization”</w:t>
      </w:r>
      <w:bookmarkEnd w:id="1044"/>
    </w:p>
    <w:p>
      <w:pPr>
        <w:pStyle w:val="FirstParagraph"/>
      </w:pPr>
      <w: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w:t>
      </w:r>
      <w:r>
        <w:t xml:space="preserve"> </w:t>
      </w:r>
      <w:r>
        <w:t xml:space="preserve">“sequencing failure”</w:t>
      </w:r>
      <w:r>
        <w:t xml:space="preserve"> </w:t>
      </w:r>
      <w:r>
        <w:t xml:space="preserve">imposes a cleaner narrative than the evidence warrants.</w:t>
      </w:r>
    </w:p>
    <w:p>
      <w:pPr>
        <w:pStyle w:val="BodyText"/>
      </w:pPr>
      <w: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pPr>
        <w:pStyle w:val="Heading3"/>
      </w:pPr>
      <w:r>
        <w:rPr>
          <w:color w:val="161B22"/>
        </w:rPr>
        <w:t xml:space="preserve">1.10.2  </w:t>
      </w:r>
      <w:bookmarkStart w:id="1045" w:name="_Toc1044"/>
      <w:r>
        <w:rPr>
          <w:b/>
          <w:bCs/>
          <w:color w:val="161B22"/>
        </w:rPr>
        <w:t xml:space="preserve">“Mandatory Architecture Creates Provider Opposition That Delays Reform”</w:t>
      </w:r>
      <w:bookmarkEnd w:id="1045"/>
    </w:p>
    <w:p>
      <w:pPr>
        <w:pStyle w:val="FirstParagraph"/>
      </w:pPr>
      <w: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pPr>
        <w:pStyle w:val="BodyText"/>
      </w:pPr>
      <w:r>
        <w:t xml:space="preserve">The counterevidence is OneCare itself: a decade of voluntary reform produced modest results and left the financial crisis unaddressed.</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choice is not between a smooth voluntary process and a contentious mandatory one. It is between a process that produces structural change — contentiously — and one that produces durable accommodation of the status quo — smoothly.</w:t>
      </w:r>
    </w:p>
    <w:p>
      <w:pPr>
        <w:spacing w:before="0" w:after="0" w:line="160" w:lineRule="auto"/>
      </w:pPr>
    </w:p>
    <w:p>
      <w:pPr>
        <w:pStyle w:val="BodyText"/>
      </w:pPr>
      <w:r>
        <w:t xml:space="preserve">Vermont’s legislature chose structural change. Chapter 14 (Political Sustainability) analyzes what it takes to maintain that choice across election cycles.</w:t>
      </w:r>
    </w:p>
    <w:p>
      <w:pPr>
        <w:pStyle w:val="Heading3"/>
      </w:pPr>
      <w:r>
        <w:rPr>
          <w:color w:val="161B22"/>
        </w:rPr>
        <w:t xml:space="preserve">1.10.3  </w:t>
      </w:r>
      <w:bookmarkStart w:id="1046" w:name="_Toc1045"/>
      <w:r>
        <w:rPr>
          <w:b/>
          <w:bCs/>
          <w:color w:val="161B22"/>
        </w:rPr>
        <w:t xml:space="preserve">“Technology-First Is a Recipe for Expensive Shelfware”</w:t>
      </w:r>
      <w:bookmarkEnd w:id="1046"/>
    </w:p>
    <w:p>
      <w:pPr>
        <w:pStyle w:val="FirstParagraph"/>
      </w:pPr>
      <w: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in this chapter as an example of technology deployed without the surrounding incentive structure — exactly the outcome the technology-first argument is supposed to prevent.</w:t>
      </w:r>
    </w:p>
    <w:p>
      <w:pPr>
        <w:pStyle w:val="BodyText"/>
      </w:pPr>
      <w:r>
        <w:t xml:space="preserve">This critique identifies a real failure mode. The response is a distinction the framework makes explicitly: technology deployment must be coordinated with payment architecture design. Building VHCURES analytics capability in 2025–2026 while designing the AHEAD global budget methodology in parallel — so that the technology is built to serve a specific and known payment model — is different from building technology without a defined use case. The failure mode to avoid is not</w:t>
      </w:r>
      <w:r>
        <w:t xml:space="preserve"> </w:t>
      </w:r>
      <w:r>
        <w:t xml:space="preserve">“technology before economics”</w:t>
      </w:r>
      <w:r>
        <w:t xml:space="preserve"> </w:t>
      </w:r>
      <w:r>
        <w:t xml:space="preserve">but</w:t>
      </w:r>
      <w:r>
        <w:t xml:space="preserve"> </w:t>
      </w:r>
      <w:r>
        <w:t xml:space="preserve">“technology without economics.”</w:t>
      </w:r>
    </w:p>
    <w:p>
      <w:pPr>
        <w:pStyle w:val="Heading2"/>
        <w:pBdr>
          <w:top w:val="single" w:sz="6" w:space="10" w:color="C9D2DF"/>
        </w:pBdr>
      </w:pPr>
      <w:r>
        <w:rPr>
          <w:color w:val="161B22"/>
        </w:rPr>
        <w:t xml:space="preserve">1.11  </w:t>
      </w:r>
      <w:bookmarkStart w:id="1047" w:name="_Toc1046"/>
      <w:r>
        <w:rPr>
          <w:b/>
          <w:bCs/>
          <w:color w:val="161B22"/>
        </w:rPr>
        <w:t xml:space="preserve">The Six Stages: Resolved</w:t>
      </w:r>
      <w:bookmarkEnd w:id="1047"/>
    </w:p>
    <w:p>
      <w:pPr>
        <w:pStyle w:val="Heading3"/>
      </w:pPr>
      <w:r>
        <w:rPr>
          <w:color w:val="161B22"/>
        </w:rPr>
        <w:t xml:space="preserve">1.11.1  </w:t>
      </w:r>
      <w:bookmarkStart w:id="1048" w:name="_Toc1047"/>
      <w:r>
        <w:rPr>
          <w:b/>
          <w:bCs/>
          <w:color w:val="161B22"/>
        </w:rPr>
        <w:t xml:space="preserve">Stage 1: Policy — Mandate and Capital</w:t>
      </w:r>
      <w:bookmarkEnd w:id="1048"/>
    </w:p>
    <w:p>
      <w:pPr>
        <w:pStyle w:val="FirstParagraph"/>
      </w:pPr>
      <w:r>
        <w:t xml:space="preserve">Policy is the absolute precondition for everything that follows. Its two functions: it creates the mandatory architecture that prevents high-cost actors from opting out of reform, and it secures the transformation capital that funds the technology build.</w:t>
      </w:r>
    </w:p>
    <w:p>
      <w:pPr>
        <w:pStyle w:val="BodyText"/>
      </w:pPr>
      <w:r>
        <w:t xml:space="preserve">Vermont’s legislative progression illustrates both. Act 167 established the diagnostic foundation. Act 51 moved from diagnosis to planning, authorizing AHS to run transformation engagements with individual hospitals. Act 68 operationalized the mandate — converting voluntary reform into binding statutory requirements for global budgets and reference-based pricing. The AHEAD Model federal agreement layered in the federal funding that made the technology build financially feasible. The $195 million Rural Health Transformation award is a Policy-pillar outcome, not an Economics-pillar outcome. Transformation capital comes from policy and regulatory relationships, not from the payment model itself.</w:t>
      </w:r>
    </w:p>
    <w:p>
      <w:pPr>
        <w:pStyle w:val="Heading3"/>
      </w:pPr>
      <w:r>
        <w:rPr>
          <w:color w:val="161B22"/>
        </w:rPr>
        <w:t xml:space="preserve">1.11.2  </w:t>
      </w:r>
      <w:bookmarkStart w:id="1049" w:name="_Toc1048"/>
      <w:r>
        <w:rPr>
          <w:b/>
          <w:bCs/>
          <w:color w:val="161B22"/>
        </w:rPr>
        <w:t xml:space="preserve">Stage 2: Technology — Build the Substrate Before Assuming Risk</w:t>
      </w:r>
      <w:bookmarkEnd w:id="1049"/>
    </w:p>
    <w:p>
      <w:pPr>
        <w:pStyle w:val="FirstParagraph"/>
      </w:pPr>
      <w: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pPr>
        <w:pStyle w:val="BodyText"/>
      </w:pPr>
      <w: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pPr>
        <w:pStyle w:val="BodyText"/>
      </w:pPr>
      <w: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pPr>
        <w:pStyle w:val="Heading3"/>
      </w:pPr>
      <w:r>
        <w:rPr>
          <w:color w:val="161B22"/>
        </w:rPr>
        <w:t xml:space="preserve">1.11.3  </w:t>
      </w:r>
      <w:bookmarkStart w:id="1050" w:name="_Toc1049"/>
      <w:r>
        <w:rPr>
          <w:b/>
          <w:bCs/>
          <w:color w:val="161B22"/>
        </w:rPr>
        <w:t xml:space="preserve">Stage 3: Economics — Incentive Architecture on a Visible System</w:t>
      </w:r>
      <w:bookmarkEnd w:id="1050"/>
    </w:p>
    <w:p>
      <w:pPr>
        <w:pStyle w:val="FirstParagraph"/>
      </w:pPr>
      <w:r>
        <w:t xml:space="preserve">Economics is third because its management function requires the technology substrate to already be operational. Vermont’s economic architecture has two structural components. Reference-based pricing, targeted at 200% of Medicare rates or below,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pPr>
        <w:pStyle w:val="BodyText"/>
      </w:pPr>
      <w:r>
        <w:t xml:space="preserve">Together, reference-based pricing and global budgets break the fee-for-service trap that makes population health management economically punishing for providers. The AHEAD EAST Fund — up to $150 million annually in Medicare funds — operates alongside the incentive architecture as transformation capital for community health investment. This is the distinction between Incentive Architecture and Transformation Capital in practice: global budgets and reference-based pricing permanently restructure the payment environment; the EAST Fund provides time-limited bridge capital for the workforce development, telehealth infrastructure, and community health worker programs the transformed system requires.</w:t>
      </w:r>
    </w:p>
    <w:p>
      <w:pPr>
        <w:pStyle w:val="BodyText"/>
      </w:pPr>
      <w: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pPr>
        <w:pStyle w:val="Heading3"/>
      </w:pPr>
      <w:r>
        <w:rPr>
          <w:color w:val="161B22"/>
        </w:rPr>
        <w:t xml:space="preserve">1.11.4  </w:t>
      </w:r>
      <w:bookmarkStart w:id="1051" w:name="_Toc1050"/>
      <w:r>
        <w:rPr>
          <w:b/>
          <w:bCs/>
          <w:color w:val="161B22"/>
        </w:rPr>
        <w:t xml:space="preserve">Stage 4: Clinical — Redesigning Care on Aligned Incentives</w:t>
      </w:r>
      <w:bookmarkEnd w:id="1051"/>
    </w:p>
    <w:p>
      <w:pPr>
        <w:pStyle w:val="FirstParagraph"/>
      </w:pPr>
      <w: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generated a 5.8-to-1 return on investment from its primary care investment — among the most robust ROI findings in the value-based care literature.</w:t>
      </w:r>
    </w:p>
    <w:p>
      <w:pPr>
        <w:pStyle w:val="BodyText"/>
      </w:pPr>
      <w: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pPr>
        <w:pStyle w:val="Heading3"/>
      </w:pPr>
      <w:r>
        <w:rPr>
          <w:color w:val="161B22"/>
        </w:rPr>
        <w:t xml:space="preserve">1.11.5  </w:t>
      </w:r>
      <w:bookmarkStart w:id="1052" w:name="_Toc1051"/>
      <w:r>
        <w:rPr>
          <w:b/>
          <w:bCs/>
          <w:color w:val="161B22"/>
        </w:rPr>
        <w:t xml:space="preserve">Stage 5: Equity — Design Constraint and System Calibration</w:t>
      </w:r>
      <w:bookmarkEnd w:id="1052"/>
    </w:p>
    <w:p>
      <w:pPr>
        <w:pStyle w:val="FirstParagraph"/>
      </w:pPr>
      <w:r>
        <w:t xml:space="preserve">Equity is fifth in execution sequence but must be understood as a constraining dependency that runs through every preceding stage — not a final add-on applied to a finished system. Vermont’s 11-point primary care access gap between white and BIPOC residents is not closed by a Stage 5 audit. It is closed by Stages 3, 4, and 5 working in sequence: payment design that does not penalize safety-net providers, clinical redesign deploying Community Health Teams in underserved areas, and Stage 5 audit that measures whether those interventions are actually closing the gap.</w:t>
      </w:r>
    </w:p>
    <w:p>
      <w:pPr>
        <w:pStyle w:val="BodyText"/>
      </w:pPr>
      <w:r>
        <w:t xml:space="preserve">What Stage 5 adds is systematic, population-level measurement of whether the equity commitments embedded in earlier stages have produced equitable outcomes — and the corrective action, informed by real data from a functioning system, when they have not.</w:t>
      </w:r>
    </w:p>
    <w:p>
      <w:pPr>
        <w:pStyle w:val="Heading3"/>
      </w:pPr>
      <w:r>
        <w:rPr>
          <w:color w:val="161B22"/>
        </w:rPr>
        <w:t xml:space="preserve">1.11.6  </w:t>
      </w:r>
      <w:bookmarkStart w:id="1053" w:name="_Toc1052"/>
      <w:r>
        <w:rPr>
          <w:b/>
          <w:bCs/>
          <w:color w:val="161B22"/>
        </w:rPr>
        <w:t xml:space="preserve">Stage 6: Operations — Closing the Administrative Cost Gap</w:t>
      </w:r>
      <w:bookmarkEnd w:id="1053"/>
    </w:p>
    <w:p>
      <w:pPr>
        <w:pStyle w:val="FirstParagraph"/>
      </w:pPr>
      <w:r>
        <w:t xml:space="preserve">Operations is the execution layer that converts all prior-stage investments into organizational reality. Vermont’s critical-access and rural hospitals spend $2,730 per discharge on administration, compared to a national benchmark of $1,427. This $1,303 per-discharge gap represents the primary source of the $100 million or more in projected direct savings from shared services and administrative simplification.</w:t>
      </w:r>
    </w:p>
    <w:p>
      <w:pPr>
        <w:pStyle w:val="BodyText"/>
      </w:pPr>
      <w:r>
        <w:t xml:space="preserve">Operations is last not because it is least important, but because operational redesign requires the technology infrastructure, payment incentives, and clinical models of the preceding stages to already be in place.</w:t>
      </w:r>
    </w:p>
    <w:p>
      <w:pPr>
        <w:spacing w:before="0" w:after="0" w:line="160" w:lineRule="auto"/>
        <w:keepNext w:val="false"/>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keepNext w:val="false"/>
      </w:pPr>
      <w:r>
        <w:rPr>
          <w:rFonts w:ascii="Calibri" w:hAnsi="Calibri"/>
          <w:b/>
          <w:i w:val="0"/>
          <w:color w:val="1B3A6B"/>
          <w:sz w:val="22"/>
        </w:rPr>
        <w:t xml:space="preserve">A hospital that redesigns its administrative operations before its payment model is live will optimize for a fee-for-service world that the reform is designed to replace.</w:t>
      </w:r>
    </w:p>
    <w:tbl>
      <w:tblPr>
        <w:tblStyle w:val="HTRTable"/>
        <w:tblLook w:firstRow="1" w:lastRow="0" w:firstColumn="0" w:lastColumn="0" w:noHBand="0" w:noVBand="1" w:val="0020"/>
        <w:tblW w:w="9072" w:type="dxa"/>
        <w:tblLayout w:type="fixed"/>
      </w:tblPr>
      <w:tblGrid>
        <w:gridCol w:w="345"/>
        <w:gridCol w:w="1125"/>
        <w:gridCol w:w="2100"/>
        <w:gridCol w:w="3330"/>
        <w:gridCol w:w="2190"/>
      </w:tblGrid>
      <w:tr>
        <w:trPr>
          <w:tblHeader w:val="on"/>
          <w:cantSplit/>
        </w:trPr>
        <w:tc>
          <w:tcPr>
            <w:shd w:val="clear" w:color="auto" w:fill="1B3A6B"/>
            <w:tcW w:w="345" w:type="dxa"/>
          </w:tcPr>
          <w:p>
            <w:pPr>
              <w:pStyle w:val="Compact"/>
              <w:jc w:val="center"/>
            </w:pPr>
            <w:r>
              <w:rPr>
                <w:b/>
                <w:color w:val="FFFFFF"/>
                <w:sz w:val="18"/>
              </w:rPr>
              <w:t xml:space="preserve">#</w:t>
            </w:r>
          </w:p>
        </w:tc>
        <w:tc>
          <w:tcPr>
            <w:shd w:val="clear" w:color="auto" w:fill="1B3A6B"/>
            <w:tcW w:w="1125" w:type="dxa"/>
          </w:tcPr>
          <w:p>
            <w:pPr>
              <w:pStyle w:val="Compact"/>
              <w:jc w:val="left"/>
            </w:pPr>
            <w:r>
              <w:rPr>
                <w:b/>
                <w:color w:val="FFFFFF"/>
                <w:sz w:val="18"/>
              </w:rPr>
              <w:t xml:space="preserve">Pillar</w:t>
            </w:r>
          </w:p>
        </w:tc>
        <w:tc>
          <w:tcPr>
            <w:shd w:val="clear" w:color="auto" w:fill="1B3A6B"/>
            <w:tcW w:w="2100" w:type="dxa"/>
          </w:tcPr>
          <w:p>
            <w:pPr>
              <w:pStyle w:val="Compact"/>
              <w:jc w:val="left"/>
            </w:pPr>
            <w:r>
              <w:rPr>
                <w:b/>
                <w:color w:val="FFFFFF"/>
                <w:sz w:val="18"/>
              </w:rPr>
              <w:t xml:space="preserve">Key action</w:t>
            </w:r>
          </w:p>
        </w:tc>
        <w:tc>
          <w:tcPr>
            <w:shd w:val="clear" w:color="auto" w:fill="1B3A6B"/>
            <w:tcW w:w="3330" w:type="dxa"/>
          </w:tcPr>
          <w:p>
            <w:pPr>
              <w:pStyle w:val="Compact"/>
              <w:jc w:val="left"/>
            </w:pPr>
            <w:r>
              <w:rPr>
                <w:b/>
                <w:color w:val="FFFFFF"/>
                <w:sz w:val="18"/>
              </w:rPr>
              <w:t xml:space="preserve">Why this sequence</w:t>
            </w:r>
          </w:p>
        </w:tc>
        <w:tc>
          <w:tcPr>
            <w:shd w:val="clear" w:color="auto" w:fill="1B3A6B"/>
            <w:tcW w:w="2190" w:type="dxa"/>
          </w:tcPr>
          <w:p>
            <w:pPr>
              <w:pStyle w:val="Compact"/>
              <w:jc w:val="left"/>
            </w:pPr>
            <w:r>
              <w:rPr>
                <w:b/>
                <w:color w:val="FFFFFF"/>
                <w:sz w:val="18"/>
              </w:rPr>
              <w:t xml:space="preserve">Vermont anchor</w:t>
            </w:r>
          </w:p>
        </w:tc>
      </w:tr>
      <w:tr>
        <w:trPr>
          <w:cantSplit/>
        </w:trPr>
        <w:tc>
          <w:tcPr>
            <w:tcW w:w="345" w:type="dxa"/>
          </w:tcPr>
          <w:p>
            <w:pPr>
              <w:pStyle w:val="Compact"/>
              <w:jc w:val="center"/>
            </w:pPr>
            <w:r>
              <w:rPr>
                <w:sz w:val="18"/>
              </w:rPr>
              <w:t xml:space="preserve">1</w:t>
            </w:r>
          </w:p>
        </w:tc>
        <w:tc>
          <w:tcPr>
            <w:tcW w:w="1125" w:type="dxa"/>
          </w:tcPr>
          <w:p>
            <w:pPr>
              <w:pStyle w:val="Compact"/>
              <w:jc w:val="left"/>
            </w:pPr>
            <w:r>
              <w:rPr>
                <w:sz w:val="18"/>
              </w:rPr>
              <w:t xml:space="preserve">Policy</w:t>
            </w:r>
          </w:p>
        </w:tc>
        <w:tc>
          <w:tcPr>
            <w:tcW w:w="2100" w:type="dxa"/>
          </w:tcPr>
          <w:p>
            <w:pPr>
              <w:pStyle w:val="Compact"/>
              <w:jc w:val="left"/>
            </w:pPr>
            <w:r>
              <w:rPr>
                <w:sz w:val="18"/>
              </w:rPr>
              <w:t xml:space="preserve">Establish enforceable authority, mandate participation, secure transformation capital</w:t>
            </w:r>
          </w:p>
        </w:tc>
        <w:tc>
          <w:tcPr>
            <w:tcW w:w="3330" w:type="dxa"/>
          </w:tcPr>
          <w:p>
            <w:pPr>
              <w:pStyle w:val="Compact"/>
              <w:jc w:val="left"/>
            </w:pPr>
            <w:r>
              <w:rPr>
                <w:sz w:val="18"/>
              </w:rPr>
              <w:t xml:space="preserve">Nothing can be authorized, built, or funded without statutory permission. Mandatory architecture prevents high-cost actors from opting out.</w:t>
            </w:r>
          </w:p>
        </w:tc>
        <w:tc>
          <w:tcPr>
            <w:tcW w:w="2190" w:type="dxa"/>
          </w:tcPr>
          <w:p>
            <w:pPr>
              <w:pStyle w:val="Compact"/>
              <w:jc w:val="left"/>
            </w:pPr>
            <w:r>
              <w:rPr>
                <w:sz w:val="18"/>
              </w:rPr>
              <w:t xml:space="preserve">Acts 167, 51, 68; AHEAD State Agreement; $195M RHT award</w:t>
            </w:r>
          </w:p>
        </w:tc>
      </w:tr>
      <w:tr>
        <w:trPr/>
        <w:tc>
          <w:tcPr>
            <w:tcW w:w="345" w:type="dxa"/>
          </w:tcPr>
          <w:p>
            <w:pPr>
              <w:pStyle w:val="Compact"/>
              <w:jc w:val="center"/>
            </w:pPr>
            <w:r>
              <w:rPr>
                <w:sz w:val="18"/>
              </w:rPr>
              <w:t xml:space="preserve">2</w:t>
            </w:r>
          </w:p>
        </w:tc>
        <w:tc>
          <w:tcPr>
            <w:tcW w:w="1125" w:type="dxa"/>
          </w:tcPr>
          <w:p>
            <w:pPr>
              <w:pStyle w:val="Compact"/>
              <w:jc w:val="left"/>
            </w:pPr>
            <w:r>
              <w:rPr>
                <w:sz w:val="18"/>
              </w:rPr>
              <w:t xml:space="preserve">Technology</w:t>
            </w:r>
          </w:p>
        </w:tc>
        <w:tc>
          <w:tcPr>
            <w:tcW w:w="2100" w:type="dxa"/>
          </w:tcPr>
          <w:p>
            <w:pPr>
              <w:pStyle w:val="Compact"/>
              <w:jc w:val="left"/>
            </w:pPr>
            <w:r>
              <w:rPr>
                <w:sz w:val="18"/>
              </w:rPr>
              <w:t xml:space="preserve">Build integrated clinical + claims data infrastructure — real-time — before financial risk is assumed</w:t>
            </w:r>
          </w:p>
        </w:tc>
        <w:tc>
          <w:tcPr>
            <w:tcW w:w="3330" w:type="dxa"/>
          </w:tcPr>
          <w:p>
            <w:pPr>
              <w:pStyle w:val="Compact"/>
              <w:jc w:val="left"/>
            </w:pPr>
            <w:r>
              <w:rPr>
                <w:sz w:val="18"/>
              </w:rPr>
              <w:t xml:space="preserve">Technology is the operating system. Must be operational before Economics goes live.</w:t>
            </w:r>
            <w:r>
              <w:rPr>
                <w:sz w:val="18"/>
              </w:rPr>
              <w:t xml:space="preserve"> </w:t>
            </w:r>
            <w:r>
              <w:rPr>
                <w:sz w:val="18"/>
              </w:rPr>
              <w:t xml:space="preserve">“Managing Blind”</w:t>
            </w:r>
            <w:r>
              <w:rPr>
                <w:sz w:val="18"/>
              </w:rPr>
              <w:t xml:space="preserve"> </w:t>
            </w:r>
            <w:r>
              <w:rPr>
                <w:sz w:val="18"/>
              </w:rPr>
              <w:t xml:space="preserve">is the failure mode.</w:t>
            </w:r>
          </w:p>
        </w:tc>
        <w:tc>
          <w:tcPr>
            <w:tcW w:w="2190" w:type="dxa"/>
          </w:tcPr>
          <w:p>
            <w:pPr>
              <w:pStyle w:val="Compact"/>
              <w:jc w:val="left"/>
            </w:pPr>
            <w:r>
              <w:rPr>
                <w:sz w:val="18"/>
              </w:rPr>
              <w:t xml:space="preserve">VHCURES; VITL/VHIE; AHS-GMCB analytics capability; Vermont CIN</w:t>
            </w:r>
          </w:p>
        </w:tc>
      </w:tr>
      <w:tr>
        <w:trPr/>
        <w:tc>
          <w:tcPr>
            <w:tcW w:w="345" w:type="dxa"/>
          </w:tcPr>
          <w:p>
            <w:pPr>
              <w:pStyle w:val="Compact"/>
              <w:jc w:val="center"/>
            </w:pPr>
            <w:r>
              <w:rPr>
                <w:sz w:val="18"/>
              </w:rPr>
              <w:t xml:space="preserve">3</w:t>
            </w:r>
          </w:p>
        </w:tc>
        <w:tc>
          <w:tcPr>
            <w:tcW w:w="1125" w:type="dxa"/>
          </w:tcPr>
          <w:p>
            <w:pPr>
              <w:pStyle w:val="Compact"/>
              <w:jc w:val="left"/>
            </w:pPr>
            <w:r>
              <w:rPr>
                <w:sz w:val="18"/>
              </w:rPr>
              <w:t xml:space="preserve">Economics</w:t>
            </w:r>
          </w:p>
        </w:tc>
        <w:tc>
          <w:tcPr>
            <w:tcW w:w="2100" w:type="dxa"/>
          </w:tcPr>
          <w:p>
            <w:pPr>
              <w:pStyle w:val="Compact"/>
              <w:jc w:val="left"/>
            </w:pPr>
            <w:r>
              <w:rPr>
                <w:sz w:val="18"/>
              </w:rPr>
              <w:t xml:space="preserve">Deploy global budgets and RBP onto a system that can already see itself</w:t>
            </w:r>
          </w:p>
        </w:tc>
        <w:tc>
          <w:tcPr>
            <w:tcW w:w="3330" w:type="dxa"/>
          </w:tcPr>
          <w:p>
            <w:pPr>
              <w:pStyle w:val="Compact"/>
              <w:jc w:val="left"/>
            </w:pPr>
            <w:r>
              <w:rPr>
                <w:sz w:val="18"/>
              </w:rPr>
              <w:t xml:space="preserve">Economics-as-management requires the technology substrate. Payment design (Economics-as-design) happens in parallel during Stage 2.</w:t>
            </w:r>
          </w:p>
        </w:tc>
        <w:tc>
          <w:tcPr>
            <w:tcW w:w="2190" w:type="dxa"/>
          </w:tcPr>
          <w:p>
            <w:pPr>
              <w:pStyle w:val="Compact"/>
              <w:jc w:val="left"/>
            </w:pPr>
            <w:r>
              <w:rPr>
                <w:sz w:val="18"/>
              </w:rPr>
              <w:t xml:space="preserve">Global hospital budgets; RBP at ≤200% Medicare; EAST Fund up to $150M annually</w:t>
            </w:r>
          </w:p>
        </w:tc>
      </w:tr>
      <w:tr>
        <w:trPr/>
        <w:tc>
          <w:tcPr>
            <w:tcW w:w="345" w:type="dxa"/>
          </w:tcPr>
          <w:p>
            <w:pPr>
              <w:pStyle w:val="Compact"/>
              <w:jc w:val="center"/>
            </w:pPr>
            <w:r>
              <w:rPr>
                <w:sz w:val="18"/>
              </w:rPr>
              <w:t xml:space="preserve">4</w:t>
            </w:r>
          </w:p>
        </w:tc>
        <w:tc>
          <w:tcPr>
            <w:tcW w:w="1125" w:type="dxa"/>
          </w:tcPr>
          <w:p>
            <w:pPr>
              <w:pStyle w:val="Compact"/>
              <w:jc w:val="left"/>
            </w:pPr>
            <w:r>
              <w:rPr>
                <w:sz w:val="18"/>
              </w:rPr>
              <w:t xml:space="preserve">Clinical</w:t>
            </w:r>
          </w:p>
        </w:tc>
        <w:tc>
          <w:tcPr>
            <w:tcW w:w="2100" w:type="dxa"/>
          </w:tcPr>
          <w:p>
            <w:pPr>
              <w:pStyle w:val="Compact"/>
              <w:jc w:val="left"/>
            </w:pPr>
            <w:r>
              <w:rPr>
                <w:sz w:val="18"/>
              </w:rPr>
              <w:t xml:space="preserve">Redesign care on aligned incentives</w:t>
            </w:r>
          </w:p>
        </w:tc>
        <w:tc>
          <w:tcPr>
            <w:tcW w:w="3330" w:type="dxa"/>
          </w:tcPr>
          <w:p>
            <w:pPr>
              <w:pStyle w:val="Compact"/>
              <w:jc w:val="left"/>
            </w:pPr>
            <w:r>
              <w:rPr>
                <w:sz w:val="18"/>
              </w:rPr>
              <w:t xml:space="preserve">Clinical transformation is where ROI is realized — but only when payment incentives are live and technology identifies which patients need which interventions.</w:t>
            </w:r>
          </w:p>
        </w:tc>
        <w:tc>
          <w:tcPr>
            <w:tcW w:w="2190" w:type="dxa"/>
          </w:tcPr>
          <w:p>
            <w:pPr>
              <w:pStyle w:val="Compact"/>
              <w:jc w:val="left"/>
            </w:pPr>
            <w:r>
              <w:rPr>
                <w:sz w:val="18"/>
              </w:rPr>
              <w:t xml:space="preserve">PCMH transformation; CoCM; CCBHC expansion; Blueprint 5.8:1 ROI</w:t>
            </w:r>
          </w:p>
        </w:tc>
      </w:tr>
      <w:tr>
        <w:trPr/>
        <w:tc>
          <w:tcPr>
            <w:tcW w:w="345" w:type="dxa"/>
          </w:tcPr>
          <w:p>
            <w:pPr>
              <w:pStyle w:val="Compact"/>
              <w:jc w:val="center"/>
            </w:pPr>
            <w:r>
              <w:rPr>
                <w:sz w:val="18"/>
              </w:rPr>
              <w:t xml:space="preserve">5</w:t>
            </w:r>
          </w:p>
        </w:tc>
        <w:tc>
          <w:tcPr>
            <w:tcW w:w="1125" w:type="dxa"/>
          </w:tcPr>
          <w:p>
            <w:pPr>
              <w:pStyle w:val="Compact"/>
              <w:jc w:val="left"/>
            </w:pPr>
            <w:r>
              <w:rPr>
                <w:sz w:val="18"/>
              </w:rPr>
              <w:t xml:space="preserve">Equity</w:t>
            </w:r>
          </w:p>
        </w:tc>
        <w:tc>
          <w:tcPr>
            <w:tcW w:w="2100" w:type="dxa"/>
          </w:tcPr>
          <w:p>
            <w:pPr>
              <w:pStyle w:val="Compact"/>
              <w:jc w:val="left"/>
            </w:pPr>
            <w:r>
              <w:rPr>
                <w:sz w:val="18"/>
              </w:rPr>
              <w:t xml:space="preserve">Audit, calibrate, correct — with social risk adjustment embedded in payment design</w:t>
            </w:r>
          </w:p>
        </w:tc>
        <w:tc>
          <w:tcPr>
            <w:tcW w:w="3330" w:type="dxa"/>
          </w:tcPr>
          <w:p>
            <w:pPr>
              <w:pStyle w:val="Compact"/>
              <w:jc w:val="left"/>
            </w:pPr>
            <w:r>
              <w:rPr>
                <w:sz w:val="18"/>
              </w:rPr>
              <w:t xml:space="preserve">Equity is a constraining dependency throughout. Without social risk adjustment, global budgets penalize safety-net providers.</w:t>
            </w:r>
          </w:p>
        </w:tc>
        <w:tc>
          <w:tcPr>
            <w:tcW w:w="2190" w:type="dxa"/>
          </w:tcPr>
          <w:p>
            <w:pPr>
              <w:pStyle w:val="Compact"/>
              <w:jc w:val="left"/>
            </w:pPr>
            <w:r>
              <w:rPr>
                <w:sz w:val="18"/>
              </w:rPr>
              <w:t xml:space="preserve">HRSN screening; EAST Fund for SDOH; SRA in global budgets; REH model</w:t>
            </w:r>
          </w:p>
        </w:tc>
      </w:tr>
      <w:tr>
        <w:trPr>
          <w:cantSplit/>
        </w:trPr>
        <w:tc>
          <w:tcPr>
            <w:tcW w:w="345" w:type="dxa"/>
          </w:tcPr>
          <w:p>
            <w:pPr>
              <w:pStyle w:val="Compact"/>
              <w:jc w:val="center"/>
            </w:pPr>
            <w:r>
              <w:rPr>
                <w:sz w:val="18"/>
              </w:rPr>
              <w:t xml:space="preserve">6</w:t>
            </w:r>
          </w:p>
        </w:tc>
        <w:tc>
          <w:tcPr>
            <w:tcW w:w="1125" w:type="dxa"/>
          </w:tcPr>
          <w:p>
            <w:pPr>
              <w:pStyle w:val="Compact"/>
              <w:jc w:val="left"/>
            </w:pPr>
            <w:r>
              <w:rPr>
                <w:sz w:val="18"/>
              </w:rPr>
              <w:t xml:space="preserve">Operations</w:t>
            </w:r>
          </w:p>
        </w:tc>
        <w:tc>
          <w:tcPr>
            <w:tcW w:w="2100" w:type="dxa"/>
          </w:tcPr>
          <w:p>
            <w:pPr>
              <w:pStyle w:val="Compact"/>
              <w:jc w:val="left"/>
            </w:pPr>
            <w:r>
              <w:rPr>
                <w:sz w:val="18"/>
              </w:rPr>
              <w:t xml:space="preserve">Close the administrative cost gap and translate strategy into implemented programs</w:t>
            </w:r>
          </w:p>
        </w:tc>
        <w:tc>
          <w:tcPr>
            <w:tcW w:w="3330" w:type="dxa"/>
          </w:tcPr>
          <w:p>
            <w:pPr>
              <w:pStyle w:val="Compact"/>
              <w:jc w:val="left"/>
            </w:pPr>
            <w:r>
              <w:rPr>
                <w:sz w:val="18"/>
              </w:rPr>
              <w:t xml:space="preserve">Operations is the execution layer. Vermont’s $1,303 per-discharge administrative gap vs. national benchmark is the primary source of projected direct savings.</w:t>
            </w:r>
          </w:p>
        </w:tc>
        <w:tc>
          <w:tcPr>
            <w:tcW w:w="2190" w:type="dxa"/>
          </w:tcPr>
          <w:p>
            <w:pPr>
              <w:pStyle w:val="Compact"/>
              <w:jc w:val="left"/>
            </w:pPr>
            <w:r>
              <w:rPr>
                <w:sz w:val="18"/>
              </w:rPr>
              <w:t xml:space="preserve">RHRC methodology; shared services; 14-hospital transformation planning</w:t>
            </w:r>
          </w:p>
        </w:tc>
      </w:tr>
    </w:tbl>
    <w:p>
      <w:pPr>
        <w:pStyle w:val="Caption"/>
        <w:spacing w:before="120"/>
      </w:pPr>
      <w:r>
        <w:rPr>
          <w:i/>
          <w:iCs/>
        </w:rPr>
        <w:t xml:space="preserve">Figure 1.6 — The Six-Stage Execution Sequence. Source: HTR Analysis (2026).</w:t>
      </w:r>
    </w:p>
    <w:p>
      <w:pPr>
        <w:pStyle w:val="Heading2"/>
        <w:pBdr>
          <w:top w:val="single" w:sz="6" w:space="10" w:color="C9D2DF"/>
        </w:pBdr>
      </w:pPr>
      <w:r>
        <w:rPr>
          <w:color w:val="161B22"/>
        </w:rPr>
        <w:t xml:space="preserve">1.12  </w:t>
      </w:r>
      <w:bookmarkStart w:id="1054" w:name="_Toc1053"/>
      <w:r>
        <w:rPr>
          <w:b/>
          <w:bCs/>
          <w:color w:val="161B22"/>
        </w:rPr>
        <w:t xml:space="preserve">Three Sequencing Principles in Practice</w:t>
      </w:r>
      <w:bookmarkEnd w:id="1054"/>
    </w:p>
    <w:p>
      <w:pPr>
        <w:pStyle w:val="FirstParagraph"/>
      </w:pPr>
      <w:r>
        <w:t xml:space="preserve">Correctly applying the six-stage sequence to real investment decisions requires three operating principles — the rules a reform architect uses to decide what to fund now, what to fund in parallel, and what to hold until an upstream gate opens.</w:t>
      </w:r>
    </w:p>
    <w:p>
      <w:pPr>
        <w:pStyle w:val="Heading3"/>
      </w:pPr>
      <w:r>
        <w:rPr>
          <w:color w:val="161B22"/>
        </w:rPr>
        <w:t xml:space="preserve">1.12.1  </w:t>
      </w:r>
      <w:bookmarkStart w:id="1055" w:name="_Toc1054"/>
      <w:r>
        <w:rPr>
          <w:b/>
          <w:bCs/>
          <w:color w:val="161B22"/>
        </w:rPr>
        <w:t xml:space="preserve">Principle 1: The Critical Path Is Non-Negotiable</w:t>
      </w:r>
      <w:bookmarkEnd w:id="1055"/>
    </w:p>
    <w:p>
      <w:pPr>
        <w:pStyle w:val="FirstParagraph"/>
      </w:pPr>
      <w:r>
        <w:t xml:space="preserve">The six-pillar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pPr>
        <w:pStyle w:val="BodyText"/>
        <w:keepNext w:val="false"/>
      </w:pPr>
      <w:r>
        <w:t xml:space="preserve">Critical-path dependencies cannot be shortcut by allocating more resources to the downstream intervention. A hospital that signs a full-risk AHEAD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pPr>
        <w:pStyle w:val="BodyText"/>
        <w:keepNext w:val="false"/>
      </w:pPr>
      <w:r>
        <w:t xml:space="preserve">In practice, reading the critical path means identifying which investments are</w:t>
      </w:r>
      <w:r>
        <w:t xml:space="preserve"> </w:t>
      </w:r>
      <w:r>
        <w:rPr>
          <w:i/>
          <w:iCs/>
        </w:rPr>
        <w:t xml:space="preserve">gates</w:t>
      </w:r>
      <w:r>
        <w:t xml:space="preserv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WHAT A</w:t>
            </w:r>
            <w:r>
              <w:rPr>
                <w:b/>
                <w:bCs/>
                <w:sz w:val="21"/>
                <w:szCs w:val="21"/>
                <w:color w:val="2C3E55"/>
              </w:rPr>
              <w:t xml:space="preserve"> </w:t>
            </w:r>
            <w:r>
              <w:rPr>
                <w:b/>
                <w:bCs/>
                <w:sz w:val="21"/>
                <w:szCs w:val="21"/>
                <w:color w:val="2C3E55"/>
              </w:rPr>
              <w:t xml:space="preserve">“GATE”</w:t>
            </w:r>
            <w:r>
              <w:rPr>
                <w:b/>
                <w:bCs/>
                <w:sz w:val="21"/>
                <w:szCs w:val="21"/>
                <w:color w:val="2C3E55"/>
              </w:rPr>
              <w:t xml:space="preserve"> </w:t>
            </w:r>
            <w:r>
              <w:rPr>
                <w:b/>
                <w:bCs/>
                <w:sz w:val="21"/>
                <w:szCs w:val="21"/>
                <w:color w:val="2C3E55"/>
              </w:rPr>
              <w:t xml:space="preserve">MEANS IN THIS BOOK</w:t>
            </w:r>
          </w:p>
          <w:p>
            <w:pPr>
              <w:spacing w:after="60" w:line="264" w:lineRule="auto"/>
            </w:pPr>
            <w:r>
              <w:rPr>
                <w:sz w:val="20"/>
                <w:szCs w:val="20"/>
              </w:rPr>
              <w:t xml:space="preserve">Picture the pillars as a series of locked gates on a single road. A pillar’s gate is the work that pillar must complete before traffic can pass through to the pillar behind it.</w:t>
            </w:r>
          </w:p>
          <w:p>
            <w:pPr>
              <w:spacing w:after="60" w:line="264" w:lineRule="auto"/>
            </w:pPr>
            <w:r>
              <w:rPr>
                <w:b/>
                <w:bCs/>
                <w:sz w:val="20"/>
                <w:szCs w:val="20"/>
              </w:rPr>
              <w:t xml:space="preserve">A gate is OPEN when that pillar’s prerequisite work is finished</w:t>
            </w:r>
            <w:r>
              <w:rPr>
                <w:sz w:val="20"/>
                <w:szCs w:val="20"/>
              </w:rPr>
              <w:t xml:space="preserve"> </w:t>
            </w:r>
            <w:r>
              <w:rPr>
                <w:sz w:val="20"/>
                <w:szCs w:val="20"/>
              </w:rPr>
              <w:t xml:space="preserve">— the statute is enacted, the analytics are running, the contracts are signed. Downstream investment can now proceed and produce its intended value.</w:t>
            </w:r>
          </w:p>
          <w:p>
            <w:pPr>
              <w:spacing w:after="60" w:line="264" w:lineRule="auto"/>
            </w:pPr>
            <w:r>
              <w:rPr>
                <w:b/>
                <w:bCs/>
                <w:sz w:val="20"/>
                <w:szCs w:val="20"/>
              </w:rPr>
              <w:t xml:space="preserve">A gate is CLOSED when that work is unfinished.</w:t>
            </w:r>
            <w:r>
              <w:rPr>
                <w:sz w:val="20"/>
                <w:szCs w:val="20"/>
              </w:rPr>
              <w:t xml:space="preserve"> </w:t>
            </w:r>
            <w:r>
              <w:rPr>
                <w:sz w:val="20"/>
                <w:szCs w:val="20"/>
              </w:rPr>
              <w:t xml:space="preserve">Money spent downstream of a closed gate does not fail loudly; it fails quietly, producing results nobody can use until the gate opens. That is why the sequence cannot be bought past — see Principle 1.</w:t>
            </w:r>
          </w:p>
          <w:p>
            <w:pPr>
              <w:spacing w:after="60" w:line="264" w:lineRule="auto"/>
            </w:pPr>
            <w:r>
              <w:rPr>
                <w:b/>
                <w:bCs/>
                <w:sz w:val="20"/>
                <w:szCs w:val="20"/>
              </w:rPr>
              <w:t xml:space="preserve">You open a gate by completing the work, not by deciding to proceed.</w:t>
            </w:r>
            <w:r>
              <w:rPr>
                <w:sz w:val="20"/>
                <w:szCs w:val="20"/>
              </w:rPr>
              <w:t xml:space="preserve"> </w:t>
            </w:r>
            <w:r>
              <w:rPr>
                <w:sz w:val="20"/>
                <w:szCs w:val="20"/>
              </w:rPr>
              <w:t xml:space="preserve">A gate opens on evidence: the capability exists and is operating. Declaring a milestone met does not open it.</w:t>
            </w:r>
          </w:p>
          <w:p>
            <w:pPr>
              <w:spacing w:after="60" w:line="264" w:lineRule="auto"/>
            </w:pPr>
            <w:r>
              <w:rPr>
                <w:sz w:val="20"/>
                <w:szCs w:val="20"/>
              </w:rPr>
              <w:t xml:space="preserve">Throughout this chapter,</w:t>
            </w:r>
            <w:r>
              <w:rPr>
                <w:sz w:val="20"/>
                <w:szCs w:val="20"/>
              </w:rPr>
              <w:t xml:space="preserve"> </w:t>
            </w:r>
            <w:r>
              <w:rPr>
                <w:sz w:val="20"/>
                <w:szCs w:val="20"/>
              </w:rPr>
              <w:t xml:space="preserve">“open”</w:t>
            </w:r>
            <w:r>
              <w:rPr>
                <w:sz w:val="20"/>
                <w:szCs w:val="20"/>
              </w:rPr>
              <w:t xml:space="preserve"> </w:t>
            </w:r>
            <w:r>
              <w:rPr>
                <w:sz w:val="20"/>
                <w:szCs w:val="20"/>
              </w:rPr>
              <w:t xml:space="preserve">always means</w:t>
            </w:r>
            <w:r>
              <w:rPr>
                <w:sz w:val="20"/>
                <w:szCs w:val="20"/>
              </w:rPr>
              <w:t xml:space="preserve"> </w:t>
            </w:r>
            <w:r>
              <w:rPr>
                <w:i/>
                <w:iCs/>
                <w:sz w:val="20"/>
                <w:szCs w:val="20"/>
              </w:rPr>
              <w:t xml:space="preserve">passable — the work is done</w:t>
            </w:r>
            <w:r>
              <w:rPr>
                <w:sz w:val="20"/>
                <w:szCs w:val="20"/>
              </w:rPr>
              <w:t xml:space="preserve">, and</w:t>
            </w:r>
            <w:r>
              <w:rPr>
                <w:sz w:val="20"/>
                <w:szCs w:val="20"/>
              </w:rPr>
              <w:t xml:space="preserve"> </w:t>
            </w:r>
            <w:r>
              <w:rPr>
                <w:sz w:val="20"/>
                <w:szCs w:val="20"/>
              </w:rPr>
              <w:t xml:space="preserve">“closed”</w:t>
            </w:r>
            <w:r>
              <w:rPr>
                <w:sz w:val="20"/>
                <w:szCs w:val="20"/>
              </w:rPr>
              <w:t xml:space="preserve"> </w:t>
            </w:r>
            <w:r>
              <w:rPr>
                <w:sz w:val="20"/>
                <w:szCs w:val="20"/>
              </w:rPr>
              <w:t xml:space="preserve">always means</w:t>
            </w:r>
            <w:r>
              <w:rPr>
                <w:sz w:val="20"/>
                <w:szCs w:val="20"/>
              </w:rPr>
              <w:t xml:space="preserve"> </w:t>
            </w:r>
            <w:r>
              <w:rPr>
                <w:i/>
                <w:iCs/>
                <w:sz w:val="20"/>
                <w:szCs w:val="20"/>
              </w:rPr>
              <w:t xml:space="preserve">blocked — the work is not done yet</w:t>
            </w:r>
            <w:r>
              <w:rPr>
                <w:sz w:val="20"/>
                <w:szCs w:val="20"/>
              </w:rPr>
              <w:t xml:space="preserve">.</w:t>
            </w:r>
          </w:p>
        </w:tc>
      </w:tr>
    </w:tbl>
    <w:p>
      <w:pPr>
        <w:spacing w:after="120"/>
      </w:pPr>
    </w:p>
    <w:p>
      <w:pPr>
        <w:pStyle w:val="BodyText"/>
      </w:pPr>
      <w:r>
        <w:t xml:space="preserve">Vermont’s critical-path sequence for AHEAD implementation reads as four gates in order:</w:t>
      </w:r>
    </w:p>
    <w:p>
      <w:pPr>
        <w:pStyle w:val="Compact"/>
        <w:numPr>
          <w:ilvl w:val="0"/>
          <w:numId w:val="1002"/>
        </w:numPr>
        <w:keepLines w:val="true"/>
        <w:keepNext w:val="true"/>
      </w:pPr>
      <w:r>
        <w:rPr>
          <w:b/>
          <w:bCs/>
        </w:rPr>
        <w:t xml:space="preserve">The Policy gate — OPEN since June 2025.</w:t>
      </w:r>
      <w:r>
        <w:t xml:space="preserve"> </w:t>
      </w:r>
      <w:r>
        <w:t xml:space="preserve">Act 68 established mandatory RBP (FY2027) and global budgets (FY2028). All Vermont hospitals are now inside the mandatory architecture, so nothing downstream is waiting on statutory authority.</w:t>
      </w:r>
    </w:p>
    <w:p>
      <w:pPr>
        <w:pStyle w:val="Compact"/>
        <w:numPr>
          <w:ilvl w:val="0"/>
          <w:numId w:val="1002"/>
        </w:numPr>
        <w:keepLines w:val="true"/>
        <w:keepNext w:val="true"/>
      </w:pPr>
      <w:r>
        <w:rPr>
          <w:b/>
          <w:bCs/>
        </w:rPr>
        <w:t xml:space="preserve">The Technology gate — PARTIALLY OPEN; the current bottleneck.</w:t>
      </w:r>
      <w:r>
        <w:t xml:space="preserve"> </w:t>
      </w:r>
      <w:r>
        <w:t xml:space="preserve">VHCURES analytics, HCC gap closure and attribution modeling must all be operational before the January 2028 AHEAD performance year begins.</w:t>
      </w:r>
    </w:p>
    <w:p>
      <w:pPr>
        <w:pStyle w:val="Compact"/>
        <w:numPr>
          <w:ilvl w:val="0"/>
          <w:numId w:val="1002"/>
        </w:numPr>
        <w:keepLines w:val="true"/>
        <w:keepNext w:val="true"/>
      </w:pPr>
      <w:r>
        <w:rPr>
          <w:b/>
          <w:bCs/>
        </w:rPr>
        <w:t xml:space="preserve">The Economics gate — CLOSED until Technology opens.</w:t>
      </w:r>
      <w:r>
        <w:t xml:space="preserve"> </w:t>
      </w:r>
      <w:r>
        <w:t xml:space="preserve">The global budget contracts GMCB sets for FY2028 cannot be managed before the analytics that measure performance under them exist.</w:t>
      </w:r>
    </w:p>
    <w:p>
      <w:pPr>
        <w:pStyle w:val="Compact"/>
        <w:numPr>
          <w:ilvl w:val="0"/>
          <w:numId w:val="1002"/>
        </w:numPr>
        <w:keepLines w:val="true"/>
      </w:pPr>
      <w:r>
        <w:rPr>
          <w:b/>
          <w:bCs/>
        </w:rPr>
        <w:t xml:space="preserve">The Clinical gate — CLOSED until clinical programs reach scale.</w:t>
      </w:r>
      <w:r>
        <w:t xml:space="preserve"> </w:t>
      </w:r>
      <w:r>
        <w:t xml:space="preserve">Utilization reduction must be operating before the full financial accountability of global budgets takes effect.</w:t>
      </w:r>
    </w:p>
    <w:p>
      <w:pPr>
        <w:pStyle w:val="Heading3"/>
      </w:pPr>
      <w:r>
        <w:rPr>
          <w:color w:val="161B22"/>
        </w:rPr>
        <w:t xml:space="preserve">1.12.2  </w:t>
      </w:r>
      <w:bookmarkStart w:id="1056" w:name="_Toc1055"/>
      <w:r>
        <w:rPr>
          <w:b/>
          <w:bCs/>
          <w:color w:val="161B22"/>
        </w:rPr>
        <w:t xml:space="preserve">Principle 2: Parallel Work Is Possible — But Not on Critical-Path Dependencies</w:t>
      </w:r>
      <w:bookmarkEnd w:id="1056"/>
    </w:p>
    <w:p>
      <w:pPr>
        <w:pStyle w:val="FirstParagraph"/>
      </w:pPr>
      <w:r>
        <w:t xml:space="preserve">The critical path is sequential by definition. But the framework does not require that</w:t>
      </w:r>
      <w:r>
        <w:t xml:space="preserve"> </w:t>
      </w:r>
      <w:r>
        <w:rPr>
          <w:i/>
          <w:iCs/>
        </w:rPr>
        <w:t xml:space="preserve">all</w:t>
      </w:r>
      <w:r>
        <w:t xml:space="preserve"> </w:t>
      </w:r>
      <w:r>
        <w:t xml:space="preserve">work be sequential. Many investments can proceed in parallel, as long as none of the parallel tracks violates a critical-path dependency.</w:t>
      </w:r>
    </w:p>
    <w:p>
      <w:pPr>
        <w:pStyle w:val="BodyText"/>
      </w:pPr>
      <w: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pPr>
        <w:pStyle w:val="BodyText"/>
      </w:pPr>
      <w: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pPr>
        <w:pStyle w:val="BodyText"/>
      </w:pPr>
      <w:r>
        <w:t xml:space="preserve">The diagnostic question for any proposed parallel investment:</w:t>
      </w:r>
      <w:r>
        <w:t xml:space="preserve"> </w:t>
      </w:r>
      <w:r>
        <w:rPr>
          <w:i/>
          <w:iCs/>
        </w:rPr>
        <w:t xml:space="preserve">does this investment have an unmet upstream dependency?</w:t>
      </w:r>
      <w:r>
        <w:t xml:space="preserve"> </w:t>
      </w:r>
      <w:r>
        <w:t xml:space="preserve">If yes — if its effectiveness depends on a gate that is not yet open — it is not parallel work. It is premature work that will produce either wasted results or results that cannot be used until the upstream dependency is met.</w:t>
      </w:r>
    </w:p>
    <w:p>
      <w:pPr>
        <w:pStyle w:val="Heading3"/>
      </w:pPr>
      <w:r>
        <w:rPr>
          <w:color w:val="161B22"/>
        </w:rPr>
        <w:t xml:space="preserve">1.12.3  </w:t>
      </w:r>
      <w:bookmarkStart w:id="1057" w:name="_Toc1056"/>
      <w:r>
        <w:rPr>
          <w:b/>
          <w:bCs/>
          <w:color w:val="161B22"/>
        </w:rPr>
        <w:t xml:space="preserve">Principle 3: Equity Is a Design Constraint, Not a Downstream Filter</w:t>
      </w:r>
      <w:bookmarkEnd w:id="1057"/>
    </w:p>
    <w:p>
      <w:pPr>
        <w:pStyle w:val="FirstParagraph"/>
        <w:keepNext w:val="false"/>
      </w:pPr>
      <w:r>
        <w:t xml:space="preserve">The most common sequencing error organizations make with the Equity pillar is treating equity review as the last step before a decision is finalized rather than as a constraint embedded in the design process. Equity-as-last-step produces expensive redesigns at the approval stage. Equity-as-design-constraint asks the equity-implication question at the</w:t>
      </w:r>
      <w:r>
        <w:t xml:space="preserve"> </w:t>
      </w:r>
      <w:r>
        <w:rPr>
          <w:i/>
          <w:iCs/>
        </w:rPr>
        <w:t xml:space="preserve">beginning</w:t>
      </w:r>
      <w:r>
        <w:t xml:space="preserve"> </w:t>
      </w:r>
      <w:r>
        <w:t xml:space="preserve">of the design process — shaping the instrument rather than filtering it.</w:t>
      </w:r>
    </w:p>
    <w:p>
      <w:pPr>
        <w:pStyle w:val="BodyText"/>
        <w:keepNext w:val="false"/>
      </w:pPr>
      <w:r>
        <w:t xml:space="preserve">In practice, embedding equity as a design constraint requires two organizational changes: adding equity review to the</w:t>
      </w:r>
      <w:r>
        <w:t xml:space="preserve"> </w:t>
      </w:r>
      <w:r>
        <w:rPr>
          <w:i/>
          <w:iCs/>
        </w:rPr>
        <w:t xml:space="preserve">initiation</w:t>
      </w:r>
      <w:r>
        <w:t xml:space="preserve"> </w:t>
      </w:r>
      <w:r>
        <w:t xml:space="preserve">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TRY THIS — Test a critical-path violation.</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model an organization that funds a downstream pillar before its upstream gate is open — for example, high Economics ambition with a weak Technology score. Watch the composite readiness collapse. Then 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to see which pillar is your binding constraint. The principle is simpler to feel in the tool than to argue on the page: no amount of downstream funding opens an upstream gate. Spending more on the payment model does not make the missing analytics appear.</w:t>
            </w:r>
          </w:p>
        </w:tc>
      </w:tr>
    </w:tbl>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GO DEEPER — HTR Academy</w:t>
            </w:r>
          </w:p>
          <w:p>
            <w:pPr>
              <w:spacing w:after="60" w:line="264" w:lineRule="auto"/>
            </w:pPr>
            <w:r>
              <w:rPr>
                <w:sz w:val="20"/>
                <w:szCs w:val="20"/>
              </w:rPr>
              <w:t xml:space="preserve">The dependency mechanics behind these three principles — how payment incentives drive care redesign, why VBC contracts require data infrastructure first — are developed hands-on in the</w:t>
            </w:r>
            <w:r>
              <w:rPr>
                <w:sz w:val="20"/>
                <w:szCs w:val="20"/>
              </w:rPr>
              <w:t xml:space="preserve"> </w:t>
            </w:r>
            <w:hyperlink r:id="rId22">
              <w:r>
                <w:rPr>
                  <w:rStyle w:val="Hyperlink"/>
                </w:rPr>
                <w:t xml:space="preserve">Academy’s</w:t>
              </w:r>
            </w:hyperlink>
            <w:r>
              <w:rPr>
                <w:sz w:val="20"/>
                <w:szCs w:val="20"/>
              </w:rPr>
              <w:t xml:space="preserve"> </w:t>
            </w:r>
            <w:r>
              <w:rPr>
                <w:b/>
                <w:bCs/>
                <w:sz w:val="20"/>
                <w:szCs w:val="20"/>
              </w:rPr>
              <w:t xml:space="preserve">Value-Based Care</w:t>
            </w:r>
            <w:r>
              <w:rPr>
                <w:sz w:val="20"/>
                <w:szCs w:val="20"/>
              </w:rPr>
              <w:t xml:space="preserve"> </w:t>
            </w:r>
            <w:r>
              <w:rPr>
                <w:sz w:val="20"/>
                <w:szCs w:val="20"/>
              </w:rPr>
              <w:t xml:space="preserve">course. Readers new to APM risk and total-cost-of-care accountability should start there before applying the sequencing framework to a live contract.</w:t>
            </w:r>
          </w:p>
        </w:tc>
      </w:tr>
    </w:tbl>
    <w:p>
      <w:pPr>
        <w:spacing w:after="120"/>
      </w:pPr>
    </w:p>
    <w:p>
      <w:pPr>
        <w:pStyle w:val="Heading2"/>
        <w:pBdr>
          <w:top w:val="single" w:sz="6" w:space="10" w:color="C9D2DF"/>
        </w:pBdr>
        <w:keepNext w:val="false"/>
      </w:pPr>
      <w:r>
        <w:rPr>
          <w:color w:val="161B22"/>
        </w:rPr>
        <w:t xml:space="preserve">1.13  </w:t>
      </w:r>
      <w:bookmarkStart w:id="1058" w:name="_Toc1057"/>
      <w:r>
        <w:rPr>
          <w:b/>
          <w:bCs/>
          <w:color w:val="161B22"/>
        </w:rPr>
        <w:t xml:space="preserve">Five Sequencing Decisions That Organizations Get Wrong</w:t>
      </w:r>
      <w:bookmarkEnd w:id="1058"/>
    </w:p>
    <w:p>
      <w:pPr>
        <w:pStyle w:val="FirstParagraph"/>
        <w:keepNext w:val="false"/>
      </w:pPr>
      <w:r>
        <w:t xml:space="preserve">The OneCare autopsy in Section 1.2 is the fully documented case. The same errors recur, in generalizable form, across every transformation effort.</w:t>
      </w:r>
      <w:r>
        <w:t xml:space="preserve"> </w:t>
      </w:r>
      <w:r>
        <w:rPr>
          <w:b/>
          <w:bCs/>
        </w:rPr>
        <w:t xml:space="preserve">Figure 1.7</w:t>
      </w:r>
      <w:r>
        <w:t xml:space="preserve"> </w:t>
      </w:r>
      <w:r>
        <w:t xml:space="preserve">is the diagnostic version — the pattern to recognize, the early-warning signals that reveal it before it fully cascades, and the correction — so a reform architect can catch a sequencing error in their own system while it is still cheap to reverse.</w:t>
      </w:r>
    </w:p>
    <w:tbl>
      <w:tblPr>
        <w:tblStyle w:val="HTRTable"/>
        <w:tblLook w:firstRow="1" w:lastRow="0" w:firstColumn="0" w:lastColumn="0" w:noHBand="0" w:noVBand="1" w:val="0020"/>
        <w:tblW w:w="9072" w:type="dxa"/>
        <w:tblLayout w:type="fixed"/>
      </w:tblPr>
      <w:tblGrid>
        <w:gridCol w:w="1995"/>
        <w:gridCol w:w="2280"/>
        <w:gridCol w:w="2925"/>
        <w:gridCol w:w="1860"/>
      </w:tblGrid>
      <w:tr>
        <w:trPr>
          <w:tblHeader w:val="on"/>
          <w:cantSplit/>
        </w:trPr>
        <w:tc>
          <w:tcPr>
            <w:shd w:val="clear" w:color="auto" w:fill="1B3A6B"/>
            <w:tcW w:w="1995" w:type="dxa"/>
          </w:tcPr>
          <w:p>
            <w:pPr>
              <w:pStyle w:val="Compact"/>
              <w:jc w:val="left"/>
            </w:pPr>
            <w:r>
              <w:rPr>
                <w:b/>
                <w:color w:val="FFFFFF"/>
                <w:sz w:val="18"/>
              </w:rPr>
              <w:t xml:space="preserve">Sequencing error</w:t>
            </w:r>
          </w:p>
        </w:tc>
        <w:tc>
          <w:tcPr>
            <w:shd w:val="clear" w:color="auto" w:fill="1B3A6B"/>
            <w:tcW w:w="2280" w:type="dxa"/>
          </w:tcPr>
          <w:p>
            <w:pPr>
              <w:pStyle w:val="Compact"/>
              <w:jc w:val="left"/>
            </w:pPr>
            <w:r>
              <w:rPr>
                <w:b/>
                <w:color w:val="FFFFFF"/>
                <w:sz w:val="18"/>
              </w:rPr>
              <w:t xml:space="preserve">Early-warning signals</w:t>
            </w:r>
          </w:p>
        </w:tc>
        <w:tc>
          <w:tcPr>
            <w:shd w:val="clear" w:color="auto" w:fill="1B3A6B"/>
            <w:tcW w:w="2925" w:type="dxa"/>
          </w:tcPr>
          <w:p>
            <w:pPr>
              <w:pStyle w:val="Compact"/>
              <w:jc w:val="left"/>
            </w:pPr>
            <w:r>
              <w:rPr>
                <w:b/>
                <w:color w:val="FFFFFF"/>
                <w:sz w:val="18"/>
              </w:rPr>
              <w:t xml:space="preserve">Vermont evidence</w:t>
            </w:r>
          </w:p>
        </w:tc>
        <w:tc>
          <w:tcPr>
            <w:shd w:val="clear" w:color="auto" w:fill="1B3A6B"/>
            <w:tcW w:w="1860" w:type="dxa"/>
          </w:tcPr>
          <w:p>
            <w:pPr>
              <w:pStyle w:val="Compact"/>
              <w:jc w:val="left"/>
            </w:pPr>
            <w:r>
              <w:rPr>
                <w:b/>
                <w:color w:val="FFFFFF"/>
                <w:sz w:val="18"/>
              </w:rPr>
              <w:t xml:space="preserve">Correction</w:t>
            </w:r>
          </w:p>
        </w:tc>
      </w:tr>
      <w:tr>
        <w:trPr>
          <w:cantSplit/>
        </w:trPr>
        <w:tc>
          <w:tcPr>
            <w:tcW w:w="1995" w:type="dxa"/>
          </w:tcPr>
          <w:p>
            <w:pPr>
              <w:pStyle w:val="Compact"/>
              <w:jc w:val="left"/>
            </w:pPr>
            <w:r>
              <w:rPr>
                <w:b/>
                <w:bCs/>
                <w:sz w:val="18"/>
              </w:rPr>
              <w:t xml:space="preserve">Economics without Policy readiness</w:t>
            </w:r>
            <w:r>
              <w:rPr>
                <w:sz w:val="18"/>
              </w:rPr>
              <w:t xml:space="preserve"> </w:t>
            </w:r>
            <w:r>
              <w:rPr>
                <w:sz w:val="18"/>
              </w:rPr>
              <w:t xml:space="preserve">— payment reform launched without mandatory participation</w:t>
            </w:r>
          </w:p>
        </w:tc>
        <w:tc>
          <w:tcPr>
            <w:tcW w:w="2280" w:type="dxa"/>
          </w:tcPr>
          <w:p>
            <w:pPr>
              <w:pStyle w:val="Compact"/>
              <w:jc w:val="left"/>
            </w:pPr>
            <w:r>
              <w:rPr>
                <w:sz w:val="18"/>
              </w:rPr>
              <w:t xml:space="preserve">Voluntary participation below 80%; highest-cost providers stay out; redesigns driven by adverse selection</w:t>
            </w:r>
          </w:p>
        </w:tc>
        <w:tc>
          <w:tcPr>
            <w:tcW w:w="2925" w:type="dxa"/>
          </w:tcPr>
          <w:p>
            <w:pPr>
              <w:pStyle w:val="Compact"/>
              <w:jc w:val="left"/>
            </w:pPr>
            <w:r>
              <w:rPr>
                <w:sz w:val="18"/>
              </w:rPr>
              <w:t xml:space="preserve">OneCare Vermont (voluntary architecture normalized over a decade, making the later transition to mandatory reform more disruptive than it would have been at the outset)</w:t>
            </w:r>
          </w:p>
        </w:tc>
        <w:tc>
          <w:tcPr>
            <w:tcW w:w="1860" w:type="dxa"/>
          </w:tcPr>
          <w:p>
            <w:pPr>
              <w:pStyle w:val="Compact"/>
              <w:jc w:val="left"/>
            </w:pPr>
            <w:r>
              <w:rPr>
                <w:sz w:val="18"/>
              </w:rPr>
              <w:t xml:space="preserve">Act 68 mandatory RBP + global budgets</w:t>
            </w:r>
          </w:p>
        </w:tc>
      </w:tr>
      <w:tr>
        <w:trPr/>
        <w:tc>
          <w:tcPr>
            <w:tcW w:w="1995" w:type="dxa"/>
          </w:tcPr>
          <w:p>
            <w:pPr>
              <w:pStyle w:val="Compact"/>
              <w:jc w:val="left"/>
            </w:pPr>
            <w:r>
              <w:rPr>
                <w:b/>
                <w:bCs/>
                <w:sz w:val="18"/>
              </w:rPr>
              <w:t xml:space="preserve">Technology without Operations readiness</w:t>
            </w:r>
            <w:r>
              <w:rPr>
                <w:sz w:val="18"/>
              </w:rPr>
              <w:t xml:space="preserve"> </w:t>
            </w:r>
            <w:r>
              <w:rPr>
                <w:sz w:val="18"/>
              </w:rPr>
              <w:t xml:space="preserve">— platform deployed to an org that cannot use it</w:t>
            </w:r>
          </w:p>
        </w:tc>
        <w:tc>
          <w:tcPr>
            <w:tcW w:w="2280" w:type="dxa"/>
          </w:tcPr>
          <w:p>
            <w:pPr>
              <w:pStyle w:val="Compact"/>
              <w:jc w:val="left"/>
            </w:pPr>
            <w:r>
              <w:rPr>
                <w:sz w:val="18"/>
              </w:rPr>
              <w:t xml:space="preserve">Adoption below 30% six months post-deployment; continued manual processes; staff workarounds</w:t>
            </w:r>
          </w:p>
        </w:tc>
        <w:tc>
          <w:tcPr>
            <w:tcW w:w="2925" w:type="dxa"/>
          </w:tcPr>
          <w:p>
            <w:pPr>
              <w:pStyle w:val="Compact"/>
              <w:jc w:val="left"/>
            </w:pPr>
            <w:r>
              <w:rPr>
                <w:sz w:val="18"/>
              </w:rPr>
              <w:t xml:space="preserve">VITL: sound platform, incomplete adoption among smaller providers for lack of Operations-pillar support to connect and train them</w:t>
            </w:r>
          </w:p>
        </w:tc>
        <w:tc>
          <w:tcPr>
            <w:tcW w:w="1860" w:type="dxa"/>
          </w:tcPr>
          <w:p>
            <w:pPr>
              <w:pStyle w:val="Compact"/>
              <w:jc w:val="left"/>
            </w:pPr>
            <w:r>
              <w:rPr>
                <w:sz w:val="18"/>
              </w:rPr>
              <w:t xml:space="preserve">Vermont CIN shared-services model</w:t>
            </w:r>
          </w:p>
        </w:tc>
      </w:tr>
      <w:tr>
        <w:trPr/>
        <w:tc>
          <w:tcPr>
            <w:tcW w:w="1995" w:type="dxa"/>
          </w:tcPr>
          <w:p>
            <w:pPr>
              <w:pStyle w:val="Compact"/>
              <w:jc w:val="left"/>
            </w:pPr>
            <w:r>
              <w:rPr>
                <w:b/>
                <w:bCs/>
                <w:sz w:val="18"/>
              </w:rPr>
              <w:t xml:space="preserve">Clinical without financial alignment</w:t>
            </w:r>
            <w:r>
              <w:rPr>
                <w:sz w:val="18"/>
              </w:rPr>
              <w:t xml:space="preserve"> </w:t>
            </w:r>
            <w:r>
              <w:rPr>
                <w:sz w:val="18"/>
              </w:rPr>
              <w:t xml:space="preserve">— high-quality program run under fee-for-service</w:t>
            </w:r>
          </w:p>
        </w:tc>
        <w:tc>
          <w:tcPr>
            <w:tcW w:w="2280" w:type="dxa"/>
          </w:tcPr>
          <w:p>
            <w:pPr>
              <w:pStyle w:val="Compact"/>
              <w:jc w:val="left"/>
            </w:pPr>
            <w:r>
              <w:rPr>
                <w:sz w:val="18"/>
              </w:rPr>
              <w:t xml:space="preserve">Program running at a loss absorbed by cross-subsidy; support contingent on that cross-subsidy; perpetual budget-cut risk</w:t>
            </w:r>
          </w:p>
        </w:tc>
        <w:tc>
          <w:tcPr>
            <w:tcW w:w="2925" w:type="dxa"/>
          </w:tcPr>
          <w:p>
            <w:pPr>
              <w:pStyle w:val="Compact"/>
              <w:jc w:val="left"/>
            </w:pPr>
            <w:r>
              <w:rPr>
                <w:sz w:val="18"/>
              </w:rPr>
              <w:t xml:space="preserve">Blueprint PCMHs produce the 5.8:1 ROI, but under FFS most of it accrues to payers, not the practices generating it</w:t>
            </w:r>
          </w:p>
        </w:tc>
        <w:tc>
          <w:tcPr>
            <w:tcW w:w="1860" w:type="dxa"/>
          </w:tcPr>
          <w:p>
            <w:pPr>
              <w:pStyle w:val="Compact"/>
              <w:jc w:val="left"/>
            </w:pPr>
            <w:r>
              <w:rPr>
                <w:sz w:val="18"/>
              </w:rPr>
              <w:t xml:space="preserve">AHEAD global budgets align incentives with clinical investment</w:t>
            </w:r>
          </w:p>
        </w:tc>
      </w:tr>
      <w:tr>
        <w:trPr/>
        <w:tc>
          <w:tcPr>
            <w:tcW w:w="1995" w:type="dxa"/>
          </w:tcPr>
          <w:p>
            <w:pPr>
              <w:pStyle w:val="Compact"/>
              <w:jc w:val="left"/>
            </w:pPr>
            <w:r>
              <w:rPr>
                <w:b/>
                <w:bCs/>
                <w:sz w:val="18"/>
              </w:rPr>
              <w:t xml:space="preserve">Equity review at the end, not the beginning</w:t>
            </w:r>
            <w:r>
              <w:rPr>
                <w:sz w:val="18"/>
              </w:rPr>
              <w:t xml:space="preserve"> </w:t>
            </w:r>
            <w:r>
              <w:rPr>
                <w:sz w:val="18"/>
              </w:rPr>
              <w:t xml:space="preserve">— methodology finished, then sent for equity review</w:t>
            </w:r>
          </w:p>
        </w:tc>
        <w:tc>
          <w:tcPr>
            <w:tcW w:w="2280" w:type="dxa"/>
          </w:tcPr>
          <w:p>
            <w:pPr>
              <w:pStyle w:val="Compact"/>
              <w:jc w:val="left"/>
            </w:pPr>
            <w:r>
              <w:rPr>
                <w:sz w:val="18"/>
              </w:rPr>
              <w:t xml:space="preserve">Equity staff flagging the same structural problems in finalized designs; high rate of equity modifications at approval stage</w:t>
            </w:r>
          </w:p>
        </w:tc>
        <w:tc>
          <w:tcPr>
            <w:tcW w:w="2925" w:type="dxa"/>
          </w:tcPr>
          <w:p>
            <w:pPr>
              <w:pStyle w:val="Compact"/>
              <w:jc w:val="left"/>
            </w:pPr>
            <w:r>
              <w:rPr>
                <w:sz w:val="18"/>
              </w:rPr>
              <w:t xml:space="preserve">RBP methodology design is the live test case: preserving rural access and not defunding high-Medicaid hospitals is a design question, not a post-hoc correction</w:t>
            </w:r>
          </w:p>
        </w:tc>
        <w:tc>
          <w:tcPr>
            <w:tcW w:w="1860" w:type="dxa"/>
          </w:tcPr>
          <w:p>
            <w:pPr>
              <w:pStyle w:val="Compact"/>
              <w:jc w:val="left"/>
            </w:pPr>
            <w:r>
              <w:rPr>
                <w:sz w:val="18"/>
              </w:rPr>
              <w:t xml:space="preserve">Health Equity Advisory Commission consulted at design stage, not comment stage</w:t>
            </w:r>
          </w:p>
        </w:tc>
      </w:tr>
      <w:tr>
        <w:trPr>
          <w:cantSplit/>
        </w:trPr>
        <w:tc>
          <w:tcPr>
            <w:tcW w:w="1995" w:type="dxa"/>
          </w:tcPr>
          <w:p>
            <w:pPr>
              <w:pStyle w:val="Compact"/>
              <w:jc w:val="left"/>
            </w:pPr>
            <w:r>
              <w:rPr>
                <w:b/>
                <w:bCs/>
                <w:sz w:val="18"/>
              </w:rPr>
              <w:t xml:space="preserve">Operations execution without adequate capacity</w:t>
            </w:r>
            <w:r>
              <w:rPr>
                <w:sz w:val="18"/>
              </w:rPr>
              <w:t xml:space="preserve"> </w:t>
            </w:r>
            <w:r>
              <w:rPr>
                <w:sz w:val="18"/>
              </w:rPr>
              <w:t xml:space="preserve">— mandate outpaces organizational capacity</w:t>
            </w:r>
          </w:p>
        </w:tc>
        <w:tc>
          <w:tcPr>
            <w:tcW w:w="2280" w:type="dxa"/>
          </w:tcPr>
          <w:p>
            <w:pPr>
              <w:pStyle w:val="Compact"/>
              <w:jc w:val="left"/>
            </w:pPr>
            <w:r>
              <w:rPr>
                <w:sz w:val="18"/>
              </w:rPr>
              <w:t xml:space="preserve">Statutory deadlines extended or waived; deliverables perpetually</w:t>
            </w:r>
            <w:r>
              <w:rPr>
                <w:sz w:val="18"/>
              </w:rPr>
              <w:t xml:space="preserve"> </w:t>
            </w:r>
            <w:r>
              <w:rPr>
                <w:sz w:val="18"/>
              </w:rPr>
              <w:t xml:space="preserve">“in progress”</w:t>
            </w:r>
            <w:r>
              <w:rPr>
                <w:sz w:val="18"/>
              </w:rPr>
              <w:t xml:space="preserve">; governance that convenes but does not decide</w:t>
            </w:r>
          </w:p>
        </w:tc>
        <w:tc>
          <w:tcPr>
            <w:tcW w:w="2925" w:type="dxa"/>
          </w:tcPr>
          <w:p>
            <w:pPr>
              <w:pStyle w:val="Compact"/>
              <w:jc w:val="left"/>
            </w:pPr>
            <w:r>
              <w:rPr>
                <w:sz w:val="18"/>
              </w:rPr>
              <w:t xml:space="preserve">AHS must run 14 hospital transformation processes, AHEAD support, RBP finalization, and the Strategic Plan at once — capacity Oliver Wyman flagged as insufficient</w:t>
            </w:r>
          </w:p>
        </w:tc>
        <w:tc>
          <w:tcPr>
            <w:tcW w:w="1860" w:type="dxa"/>
          </w:tcPr>
          <w:p>
            <w:pPr>
              <w:pStyle w:val="Compact"/>
              <w:jc w:val="left"/>
            </w:pPr>
            <w:r>
              <w:rPr>
                <w:sz w:val="18"/>
              </w:rPr>
              <w:t xml:space="preserve">RHRC builds hospital-level capacity before AHEAD accountability takes full effect</w:t>
            </w:r>
          </w:p>
        </w:tc>
      </w:tr>
    </w:tbl>
    <w:p>
      <w:pPr>
        <w:pStyle w:val="Caption"/>
        <w:spacing w:before="120"/>
      </w:pPr>
      <w:r>
        <w:rPr>
          <w:i/>
          <w:iCs/>
        </w:rPr>
        <w:t xml:space="preserve">Figure 1.7 — Five sequencing errors: the diagnostic pattern, early-warning signals, and correction for each. Source: HTR analysis; Vermont experience; Oliver Wyman Act 167 Report.</w:t>
      </w:r>
    </w:p>
    <w:p>
      <w:pPr>
        <w:pStyle w:val="Heading2"/>
        <w:pBdr>
          <w:top w:val="single" w:sz="6" w:space="10" w:color="C9D2DF"/>
        </w:pBdr>
        <w:keepNext w:val="false"/>
      </w:pPr>
      <w:r>
        <w:rPr>
          <w:color w:val="161B22"/>
        </w:rPr>
        <w:t xml:space="preserve">1.14  </w:t>
      </w:r>
      <w:bookmarkStart w:id="1059" w:name="_Toc1058"/>
      <w:r>
        <w:rPr>
          <w:b/>
          <w:bCs/>
          <w:color w:val="161B22"/>
        </w:rPr>
        <w:t xml:space="preserve">Vermont’s Implementation Timeline: Reading the Sequence in Statutory Deadlines</w:t>
      </w:r>
      <w:bookmarkEnd w:id="1059"/>
    </w:p>
    <w:p>
      <w:pPr>
        <w:pStyle w:val="FirstParagraph"/>
        <w:keepNext w:val="false"/>
      </w:pPr>
      <w: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HTRTable"/>
        <w:tblLook w:firstRow="1" w:lastRow="0" w:firstColumn="0" w:lastColumn="0" w:noHBand="0" w:noVBand="1" w:val="0020"/>
        <w:tblW w:w="9072" w:type="dxa"/>
        <w:tblLayout w:type="fixed"/>
      </w:tblPr>
      <w:tblGrid>
        <w:gridCol w:w="1245"/>
        <w:gridCol w:w="1980"/>
        <w:gridCol w:w="5850"/>
      </w:tblGrid>
      <w:tr>
        <w:trPr>
          <w:tblHeader w:val="on"/>
          <w:cantSplit/>
        </w:trPr>
        <w:tc>
          <w:tcPr>
            <w:shd w:val="clear" w:color="auto" w:fill="1B3A6B"/>
            <w:tcW w:w="1245" w:type="dxa"/>
          </w:tcPr>
          <w:p>
            <w:pPr>
              <w:pStyle w:val="Compact"/>
              <w:jc w:val="left"/>
            </w:pPr>
            <w:r>
              <w:rPr>
                <w:b/>
                <w:color w:val="FFFFFF"/>
                <w:sz w:val="18"/>
              </w:rPr>
              <w:t xml:space="preserve">Pillar</w:t>
            </w:r>
          </w:p>
        </w:tc>
        <w:tc>
          <w:tcPr>
            <w:shd w:val="clear" w:color="auto" w:fill="1B3A6B"/>
            <w:tcW w:w="1980" w:type="dxa"/>
          </w:tcPr>
          <w:p>
            <w:pPr>
              <w:pStyle w:val="Compact"/>
              <w:jc w:val="left"/>
            </w:pPr>
            <w:r>
              <w:rPr>
                <w:b/>
                <w:color w:val="FFFFFF"/>
                <w:sz w:val="18"/>
              </w:rPr>
              <w:t xml:space="preserve">Status (timeframe)</w:t>
            </w:r>
          </w:p>
        </w:tc>
        <w:tc>
          <w:tcPr>
            <w:shd w:val="clear" w:color="auto" w:fill="1B3A6B"/>
            <w:tcW w:w="5850" w:type="dxa"/>
          </w:tcPr>
          <w:p>
            <w:pPr>
              <w:pStyle w:val="Compact"/>
              <w:jc w:val="left"/>
            </w:pPr>
            <w:r>
              <w:rPr>
                <w:b/>
                <w:color w:val="FFFFFF"/>
                <w:sz w:val="18"/>
              </w:rPr>
              <w:t xml:space="preserve">Where it stands</w:t>
            </w:r>
          </w:p>
        </w:tc>
      </w:tr>
      <w:tr>
        <w:trPr>
          <w:cantSplit/>
        </w:trPr>
        <w:tc>
          <w:tcPr>
            <w:tcW w:w="1245" w:type="dxa"/>
          </w:tcPr>
          <w:p>
            <w:pPr>
              <w:pStyle w:val="Compact"/>
              <w:jc w:val="left"/>
            </w:pPr>
            <w:r>
              <w:rPr>
                <w:b/>
                <w:bCs/>
                <w:sz w:val="18"/>
              </w:rPr>
              <w:t xml:space="preserve">Policy</w:t>
            </w:r>
          </w:p>
        </w:tc>
        <w:tc>
          <w:tcPr>
            <w:tcW w:w="1980" w:type="dxa"/>
          </w:tcPr>
          <w:p>
            <w:pPr>
              <w:pStyle w:val="Compact"/>
              <w:jc w:val="left"/>
            </w:pPr>
            <w:r>
              <w:rPr>
                <w:sz w:val="18"/>
              </w:rPr>
              <w:t xml:space="preserve">Completed (2022–2025)</w:t>
            </w:r>
          </w:p>
        </w:tc>
        <w:tc>
          <w:tcPr>
            <w:tcW w:w="5850" w:type="dxa"/>
          </w:tcPr>
          <w:p>
            <w:pPr>
              <w:pStyle w:val="Compact"/>
              <w:jc w:val="left"/>
            </w:pPr>
            <w:r>
              <w:rPr>
                <w:sz w:val="18"/>
              </w:rPr>
              <w:t xml:space="preserve">Acts 167, 51, and 68 establish the mandatory architecture. Federal RHT award provides capital. AHEAD State Agreement signed January 2025. The Policy gate is fully open — the statutory architecture is complete, so nothing downstream is waiting on it.</w:t>
            </w:r>
          </w:p>
        </w:tc>
      </w:tr>
      <w:tr>
        <w:trPr/>
        <w:tc>
          <w:tcPr>
            <w:tcW w:w="1245" w:type="dxa"/>
          </w:tcPr>
          <w:p>
            <w:pPr>
              <w:pStyle w:val="Compact"/>
              <w:jc w:val="left"/>
            </w:pPr>
            <w:r>
              <w:rPr>
                <w:b/>
                <w:bCs/>
                <w:sz w:val="18"/>
              </w:rPr>
              <w:t xml:space="preserve">Technology</w:t>
            </w:r>
          </w:p>
        </w:tc>
        <w:tc>
          <w:tcPr>
            <w:tcW w:w="1980" w:type="dxa"/>
          </w:tcPr>
          <w:p>
            <w:pPr>
              <w:pStyle w:val="Compact"/>
              <w:jc w:val="left"/>
            </w:pPr>
            <w:r>
              <w:rPr>
                <w:sz w:val="18"/>
              </w:rPr>
              <w:t xml:space="preserve">In progress (2025–2026)</w:t>
            </w:r>
          </w:p>
        </w:tc>
        <w:tc>
          <w:tcPr>
            <w:tcW w:w="5850" w:type="dxa"/>
          </w:tcPr>
          <w:p>
            <w:pPr>
              <w:pStyle w:val="Compact"/>
              <w:jc w:val="left"/>
            </w:pPr>
            <w:r>
              <w:rPr>
                <w:sz w:val="18"/>
              </w:rPr>
              <w:t xml:space="preserve">AHS-GMCB analytics capability being stood up. Vermont CIN under development. VHCURES attribution modeling in progress. AI scribe and RPM grants deployed. The current critical bottleneck. The Technology gate is partially open: some capability is running, but not enough for the Economics gate behind it to open.</w:t>
            </w:r>
          </w:p>
        </w:tc>
      </w:tr>
      <w:tr>
        <w:trPr/>
        <w:tc>
          <w:tcPr>
            <w:tcW w:w="1245" w:type="dxa"/>
          </w:tcPr>
          <w:p>
            <w:pPr>
              <w:pStyle w:val="Compact"/>
              <w:jc w:val="left"/>
            </w:pPr>
            <w:r>
              <w:rPr>
                <w:b/>
                <w:bCs/>
                <w:sz w:val="18"/>
              </w:rPr>
              <w:t xml:space="preserve">Economics</w:t>
            </w:r>
          </w:p>
        </w:tc>
        <w:tc>
          <w:tcPr>
            <w:tcW w:w="1980" w:type="dxa"/>
          </w:tcPr>
          <w:p>
            <w:pPr>
              <w:pStyle w:val="Compact"/>
              <w:jc w:val="left"/>
            </w:pPr>
            <w:r>
              <w:rPr>
                <w:sz w:val="18"/>
              </w:rPr>
              <w:t xml:space="preserve">Staged (2027–2028)</w:t>
            </w:r>
          </w:p>
        </w:tc>
        <w:tc>
          <w:tcPr>
            <w:tcW w:w="5850" w:type="dxa"/>
          </w:tcPr>
          <w:p>
            <w:pPr>
              <w:pStyle w:val="Compact"/>
              <w:jc w:val="left"/>
            </w:pPr>
            <w:r>
              <w:rPr>
                <w:sz w:val="18"/>
              </w:rPr>
              <w:t xml:space="preserve">RBP mandatory beginning FY2027, global budgets mandatory beginning FY2028. The sequence is correct: mandatory payment reform follows mandatory policy authority and follows the technology build in design.</w:t>
            </w:r>
          </w:p>
        </w:tc>
      </w:tr>
      <w:tr>
        <w:trPr/>
        <w:tc>
          <w:tcPr>
            <w:tcW w:w="1245" w:type="dxa"/>
          </w:tcPr>
          <w:p>
            <w:pPr>
              <w:pStyle w:val="Compact"/>
              <w:jc w:val="left"/>
            </w:pPr>
            <w:r>
              <w:rPr>
                <w:b/>
                <w:bCs/>
                <w:sz w:val="18"/>
              </w:rPr>
              <w:t xml:space="preserve">Clinical</w:t>
            </w:r>
          </w:p>
        </w:tc>
        <w:tc>
          <w:tcPr>
            <w:tcW w:w="1980" w:type="dxa"/>
          </w:tcPr>
          <w:p>
            <w:pPr>
              <w:pStyle w:val="Compact"/>
              <w:jc w:val="left"/>
            </w:pPr>
            <w:r>
              <w:rPr>
                <w:sz w:val="18"/>
              </w:rPr>
              <w:t xml:space="preserve">Parallel (2024–2028)</w:t>
            </w:r>
          </w:p>
        </w:tc>
        <w:tc>
          <w:tcPr>
            <w:tcW w:w="5850" w:type="dxa"/>
          </w:tcPr>
          <w:p>
            <w:pPr>
              <w:pStyle w:val="Compact"/>
              <w:jc w:val="left"/>
            </w:pPr>
            <w:r>
              <w:rPr>
                <w:sz w:val="18"/>
              </w:rPr>
              <w:t xml:space="preserve">Blueprint PCMH expansion, CCBHC certifications, CoCM deployment proceed in parallel with Technology work — correctly, because they produce their value regardless of whether the Technology and Economics gates have opened yet.</w:t>
            </w:r>
          </w:p>
        </w:tc>
      </w:tr>
      <w:tr>
        <w:trPr/>
        <w:tc>
          <w:tcPr>
            <w:tcW w:w="1245" w:type="dxa"/>
          </w:tcPr>
          <w:p>
            <w:pPr>
              <w:pStyle w:val="Compact"/>
              <w:jc w:val="left"/>
            </w:pPr>
            <w:r>
              <w:rPr>
                <w:b/>
                <w:bCs/>
                <w:sz w:val="18"/>
              </w:rPr>
              <w:t xml:space="preserve">Operations</w:t>
            </w:r>
          </w:p>
        </w:tc>
        <w:tc>
          <w:tcPr>
            <w:tcW w:w="1980" w:type="dxa"/>
          </w:tcPr>
          <w:p>
            <w:pPr>
              <w:pStyle w:val="Compact"/>
              <w:jc w:val="left"/>
            </w:pPr>
            <w:r>
              <w:rPr>
                <w:sz w:val="18"/>
              </w:rPr>
              <w:t xml:space="preserve">Building (2025–2028)</w:t>
            </w:r>
          </w:p>
        </w:tc>
        <w:tc>
          <w:tcPr>
            <w:tcW w:w="5850" w:type="dxa"/>
          </w:tcPr>
          <w:p>
            <w:pPr>
              <w:pStyle w:val="Compact"/>
              <w:jc w:val="left"/>
            </w:pPr>
            <w:r>
              <w:rPr>
                <w:sz w:val="18"/>
              </w:rPr>
              <w:t xml:space="preserve">RHRC engagement, AHS HSA Coordinator model, Division of Planning and Effectiveness, PMO structure — correctly sequenced to precede the peak execution demand of FY2027–2028.</w:t>
            </w:r>
          </w:p>
        </w:tc>
      </w:tr>
      <w:tr>
        <w:trPr>
          <w:cantSplit/>
        </w:trPr>
        <w:tc>
          <w:tcPr>
            <w:tcW w:w="1245" w:type="dxa"/>
          </w:tcPr>
          <w:p>
            <w:pPr>
              <w:pStyle w:val="Compact"/>
              <w:jc w:val="left"/>
            </w:pPr>
            <w:r>
              <w:rPr>
                <w:b/>
                <w:bCs/>
                <w:sz w:val="18"/>
              </w:rPr>
              <w:t xml:space="preserve">Equity</w:t>
            </w:r>
          </w:p>
        </w:tc>
        <w:tc>
          <w:tcPr>
            <w:tcW w:w="1980" w:type="dxa"/>
          </w:tcPr>
          <w:p>
            <w:pPr>
              <w:pStyle w:val="Compact"/>
              <w:jc w:val="left"/>
            </w:pPr>
            <w:r>
              <w:rPr>
                <w:sz w:val="18"/>
              </w:rPr>
              <w:t xml:space="preserve">Throughout (2025–2028)</w:t>
            </w:r>
          </w:p>
        </w:tc>
        <w:tc>
          <w:tcPr>
            <w:tcW w:w="5850" w:type="dxa"/>
          </w:tcPr>
          <w:p>
            <w:pPr>
              <w:pStyle w:val="Compact"/>
              <w:jc w:val="left"/>
            </w:pPr>
            <w:r>
              <w:rPr>
                <w:sz w:val="18"/>
              </w:rPr>
              <w:t xml:space="preserve">Social risk adjustment methodology, HEROI scoring, geographic equity monitoring — correctly treated as a parallel design constraint rather than a final review.</w:t>
            </w:r>
          </w:p>
        </w:tc>
      </w:tr>
    </w:tbl>
    <w:p>
      <w:pPr>
        <w:pStyle w:val="Caption"/>
        <w:spacing w:before="120"/>
      </w:pPr>
      <w:r>
        <w:rPr>
          <w:i/>
          <w:iCs/>
        </w:rPr>
        <w:t xml:space="preserve">Figure 1.8 — Vermont’s transformation timeline, by pillar. Source: HTR Analysis (2026); Act 68 of 2025; AHEAD State Agreement.</w:t>
      </w:r>
    </w:p>
    <w:p>
      <w:pPr>
        <w:pStyle w:val="Heading3"/>
      </w:pPr>
      <w:r>
        <w:rPr>
          <w:color w:val="161B22"/>
        </w:rPr>
        <w:t xml:space="preserve">1.14.1  </w:t>
      </w:r>
      <w:bookmarkStart w:id="1060" w:name="_Toc1059"/>
      <w:r>
        <w:rPr>
          <w:b/>
          <w:bCs/>
          <w:color w:val="161B22"/>
        </w:rPr>
        <w:t xml:space="preserve">The Current Vulnerability: The Technology-Economics Race</w:t>
      </w:r>
      <w:bookmarkEnd w:id="1060"/>
    </w:p>
    <w:p>
      <w:pPr>
        <w:pStyle w:val="FirstParagraph"/>
      </w:pPr>
      <w:r>
        <w:t xml:space="preserve">Vermont’s most significant current sequencing risk is the gap between AHEAD’s performance year start and the analytics capability deployment timeline. Vermont hospitals will begin accumulating AHEAD financial accountability in January 2028 — updated per CMS’s September 2025 announcement moving the Cohort 2 start from 2027 to 2028. If the AHS-GMCB analytics capability is not fully operational by that date, hospitals will be making financial management decisions based on incomplete or lagged data for the first year of full AHEAD accountability.</w:t>
      </w:r>
    </w:p>
    <w:p>
      <w:pPr>
        <w:pStyle w:val="BodyText"/>
      </w:pPr>
      <w: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does not merely delay one program: it delays the financial management capability for AHEAD, the equity measurement capability for the Statewide Strategic Plan, and the risk stratification capability for Blueprint’s CCBHC expansion. Three dependencies converge on this single Technology pillar investment.</w:t>
      </w:r>
    </w:p>
    <w:p>
      <w:pPr>
        <w:pStyle w:val="Heading2"/>
        <w:pBdr>
          <w:top w:val="single" w:sz="6" w:space="10" w:color="C9D2DF"/>
        </w:pBdr>
        <w:keepNext w:val="false"/>
      </w:pPr>
      <w:r>
        <w:rPr>
          <w:color w:val="161B22"/>
        </w:rPr>
        <w:t xml:space="preserve">1.15  </w:t>
      </w:r>
      <w:bookmarkStart w:id="1061" w:name="_Toc1060"/>
      <w:r>
        <w:rPr>
          <w:b/>
          <w:bCs/>
          <w:color w:val="161B22"/>
        </w:rPr>
        <w:t xml:space="preserve">Work This Chapter on the Platform</w:t>
      </w:r>
      <w:bookmarkEnd w:id="1061"/>
    </w:p>
    <w:p>
      <w:pPr>
        <w:pStyle w:val="FirstParagraph"/>
        <w:keepNext w:val="false"/>
      </w:pPr>
      <w:r>
        <w:t xml:space="preserve">The execution-sequence argument is best understood by manipulating it, not just reading it. The</w:t>
      </w:r>
      <w:r>
        <w:t xml:space="preserve"> </w:t>
      </w:r>
      <w:hyperlink r:id="rId23">
        <w:r>
          <w:rPr>
            <w:rStyle w:val="Hyperlink"/>
          </w:rPr>
          <w:t xml:space="preserve">HTR platform</w:t>
        </w:r>
      </w:hyperlink>
      <w:r>
        <w:t xml:space="preserve"> </w:t>
      </w:r>
      <w:r>
        <w:t xml:space="preserve">turns this chapter’s three core claims — that the pillars are interdependent, that order is non-negotiable, and that getting the order wrong produces a measurable failure cascade — into tools you can run against your own organization or state.</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Trace the 15 dependency relationships between the six pillars and see which downstream pillars a given gap disables</w:t>
            </w:r>
          </w:p>
        </w:tc>
        <w:tc>
          <w:tcPr>
            <w:tcW w:w="947" w:type="dxa"/>
          </w:tcPr>
          <w:p>
            <w:pPr>
              <w:pStyle w:val="Compact"/>
              <w:jc w:val="left"/>
            </w:pPr>
            <w:r>
              <w:rPr>
                <w:b/>
                <w:bCs/>
                <w:sz w:val="18"/>
              </w:rPr>
              <w:t xml:space="preserve">Six-Pillar Map</w:t>
            </w:r>
            <w:r>
              <w:rPr>
                <w:sz w:val="18"/>
              </w:rPr>
              <w:t xml:space="preserve"> </w:t>
            </w:r>
            <w:r>
              <w:rPr>
                <w:sz w:val="18"/>
              </w:rPr>
              <w:t xml:space="preserve">—</w:t>
            </w:r>
            <w:r>
              <w:rPr>
                <w:sz w:val="18"/>
              </w:rPr>
              <w:t xml:space="preserve"> </w:t>
            </w:r>
            <w:r>
              <w:rPr>
                <w:rStyle w:val="VerbatimChar"/>
                <w:sz w:val="18"/>
              </w:rPr>
              <w:t xml:space="preserve">/about/framework</w:t>
            </w:r>
          </w:p>
        </w:tc>
        <w:tc>
          <w:tcPr>
            <w:tcW w:w="4062" w:type="dxa"/>
          </w:tcPr>
          <w:p>
            <w:pPr>
              <w:pStyle w:val="Compact"/>
              <w:jc w:val="left"/>
            </w:pPr>
            <w:r>
              <w:rPr>
                <w:sz w:val="18"/>
              </w:rPr>
              <w:t xml:space="preserve">Click any pillar to highlight what it enables and what it depends on. Confirm visually why Technology sits upstream of Economics.</w:t>
            </w:r>
          </w:p>
        </w:tc>
      </w:tr>
      <w:tr>
        <w:trPr/>
        <w:tc>
          <w:tcPr>
            <w:tcW w:w="4062" w:type="dxa"/>
          </w:tcPr>
          <w:p>
            <w:pPr>
              <w:pStyle w:val="Compact"/>
              <w:jc w:val="left"/>
            </w:pPr>
            <w:r>
              <w:rPr>
                <w:sz w:val="18"/>
              </w:rPr>
              <w:t xml:space="preserve">Score a real organization or state across all six pillars and watch the composite readiness number respond</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Drop one pillar’s score to zero and observe the cascade — the simulator penalizes downstream readiness, reproducing the OneCare logic in Figure 1.1.</w:t>
            </w:r>
          </w:p>
        </w:tc>
      </w:tr>
      <w:tr>
        <w:trPr/>
        <w:tc>
          <w:tcPr>
            <w:tcW w:w="4062" w:type="dxa"/>
          </w:tcPr>
          <w:p>
            <w:pPr>
              <w:pStyle w:val="Compact"/>
              <w:jc w:val="left"/>
            </w:pPr>
            <w:r>
              <w:rPr>
                <w:sz w:val="18"/>
              </w:rPr>
              <w:t xml:space="preserve">Quantify where reform is losing momentum and which pillar is the binding constraint</w:t>
            </w:r>
          </w:p>
        </w:tc>
        <w:tc>
          <w:tcPr>
            <w:tcW w:w="947" w:type="dxa"/>
          </w:tcPr>
          <w:p>
            <w:pPr>
              <w:pStyle w:val="Compact"/>
              <w:jc w:val="left"/>
            </w:pPr>
            <w:hyperlink r:id="rId89">
              <w:r>
                <w:rPr>
                  <w:rStyle w:val="Hyperlink"/>
                  <w:b/>
                  <w:bCs/>
                </w:rPr>
                <w:t xml:space="preserve">Transformation Friction Index</w:t>
              </w:r>
            </w:hyperlink>
          </w:p>
        </w:tc>
        <w:tc>
          <w:tcPr>
            <w:tcW w:w="4062" w:type="dxa"/>
          </w:tcPr>
          <w:p>
            <w:pPr>
              <w:pStyle w:val="Compact"/>
              <w:jc w:val="left"/>
            </w:pPr>
            <w:r>
              <w:rPr>
                <w:sz w:val="18"/>
              </w:rPr>
              <w:t xml:space="preserve">Identify your own</w:t>
            </w:r>
            <w:r>
              <w:rPr>
                <w:sz w:val="18"/>
              </w:rPr>
              <w:t xml:space="preserve"> </w:t>
            </w:r>
            <w:r>
              <w:rPr>
                <w:sz w:val="18"/>
              </w:rPr>
              <w:t xml:space="preserve">“Technology gate”</w:t>
            </w:r>
            <w:r>
              <w:rPr>
                <w:sz w:val="18"/>
              </w:rPr>
              <w:t xml:space="preserve"> </w:t>
            </w:r>
            <w:r>
              <w:rPr>
                <w:sz w:val="18"/>
              </w:rPr>
              <w:t xml:space="preserve">bottleneck — the chapter’s central Vermont vulnerability — before it becomes a financial one.</w:t>
            </w:r>
          </w:p>
        </w:tc>
      </w:tr>
      <w:tr>
        <w:trPr>
          <w:cantSplit/>
        </w:trPr>
        <w:tc>
          <w:tcPr>
            <w:tcW w:w="4062" w:type="dxa"/>
          </w:tcPr>
          <w:p>
            <w:pPr>
              <w:pStyle w:val="Compact"/>
              <w:jc w:val="left"/>
            </w:pPr>
            <w:r>
              <w:rPr>
                <w:sz w:val="18"/>
              </w:rPr>
              <w:t xml:space="preserve">Model how one pillar’s shortfall propagates through the other five over time</w:t>
            </w:r>
          </w:p>
        </w:tc>
        <w:tc>
          <w:tcPr>
            <w:tcW w:w="947" w:type="dxa"/>
          </w:tcPr>
          <w:p>
            <w:pPr>
              <w:pStyle w:val="Compact"/>
              <w:jc w:val="left"/>
            </w:pPr>
            <w:r>
              <w:rPr>
                <w:b/>
                <w:bCs/>
                <w:sz w:val="18"/>
              </w:rPr>
              <w:t xml:space="preserve">Impact Simulation</w:t>
            </w:r>
            <w:r>
              <w:rPr>
                <w:sz w:val="18"/>
              </w:rPr>
              <w:t xml:space="preserve"> </w:t>
            </w:r>
            <w:r>
              <w:rPr>
                <w:sz w:val="18"/>
              </w:rPr>
              <w:t xml:space="preserve">—</w:t>
            </w:r>
            <w:r>
              <w:rPr>
                <w:sz w:val="18"/>
              </w:rPr>
              <w:t xml:space="preserve"> </w:t>
            </w:r>
            <w:r>
              <w:rPr>
                <w:rStyle w:val="VerbatimChar"/>
                <w:sz w:val="18"/>
              </w:rPr>
              <w:t xml:space="preserve">/impact-simulation</w:t>
            </w:r>
          </w:p>
        </w:tc>
        <w:tc>
          <w:tcPr>
            <w:tcW w:w="4062" w:type="dxa"/>
          </w:tcPr>
          <w:p>
            <w:pPr>
              <w:pStyle w:val="Compact"/>
              <w:jc w:val="left"/>
            </w:pPr>
            <w:r>
              <w:rPr>
                <w:sz w:val="18"/>
              </w:rPr>
              <w:t xml:space="preserve">The lag: a Technology gap shows up in Economics results a year later, which is why it is missed.</w:t>
            </w:r>
          </w:p>
        </w:tc>
      </w:tr>
    </w:tbl>
    <w:p>
      <w:pPr>
        <w:pStyle w:val="Caption"/>
        <w:keepNext/>
        <w:spacing w:before="120"/>
      </w:pPr>
      <w:r>
        <w:rPr>
          <w:i/>
          <w:iCs/>
        </w:rPr>
        <w:t xml:space="preserve">Figure 1.H — Hands-on platform tools for Chapter 1: working the execution-sequence argument on the HTR platform.</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TRY THIS — Reproduce the OneCare cascade.</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w:t>
            </w:r>
            <w:r>
              <w:rPr>
                <w:sz w:val="20"/>
                <w:szCs w:val="20"/>
              </w:rPr>
              <w:t xml:space="preserve"> </w:t>
            </w:r>
            <w:r>
              <w:rPr>
                <w:i/>
                <w:iCs/>
                <w:sz w:val="20"/>
                <w:szCs w:val="20"/>
              </w:rPr>
              <w:t xml:space="preserve">is</w:t>
            </w:r>
            <w:r>
              <w:rPr>
                <w:sz w:val="20"/>
                <w:szCs w:val="20"/>
              </w:rPr>
              <w:t xml:space="preserve"> </w:t>
            </w:r>
            <w:r>
              <w:rPr>
                <w:sz w:val="20"/>
                <w:szCs w:val="20"/>
              </w:rPr>
              <w:t xml:space="preserve">the argument of this chapter.</w:t>
            </w:r>
          </w:p>
        </w:tc>
      </w:tr>
    </w:tbl>
    <w:p>
      <w:pPr>
        <w:spacing w:after="120"/>
      </w:pPr>
    </w:p>
    <w:p>
      <w:pPr>
        <w:pStyle w:val="Heading2"/>
        <w:pBdr>
          <w:top w:val="single" w:sz="6" w:space="10" w:color="C9D2DF"/>
        </w:pBdr>
      </w:pPr>
      <w:r>
        <w:rPr>
          <w:color w:val="161B22"/>
        </w:rPr>
        <w:t xml:space="preserve">1.16  </w:t>
      </w:r>
      <w:bookmarkStart w:id="1062" w:name="_Toc1061"/>
      <w:r>
        <w:rPr>
          <w:b/>
          <w:bCs/>
          <w:color w:val="161B22"/>
        </w:rPr>
        <w:t xml:space="preserve">Implications for You</w:t>
      </w:r>
      <w:bookmarkEnd w:id="1062"/>
    </w:p>
    <w:p>
      <w:pPr>
        <w:pStyle w:val="FirstParagraph"/>
      </w:pPr>
      <w:r>
        <w:t xml:space="preserve">If you are a Vermont hospital executive: The most important action you can take before AHEAD’s performance year begins in January 2028 is completing HCC gap closure for your full Medicare-attributed population. This single Technology pillar investment improves risk adjustment accuracy, produces a more defensible global budget benchmark, and prevents the</w:t>
      </w:r>
      <w:r>
        <w:t xml:space="preserve"> </w:t>
      </w:r>
      <w:r>
        <w:t xml:space="preserve">“Managing Blind”</w:t>
      </w:r>
      <w:r>
        <w:t xml:space="preserve"> </w:t>
      </w:r>
      <w:r>
        <w:t xml:space="preserve">failure mode in your first AHEAD performance year. Do not wait for the AHS-GMCB analytics capability to complete this work. Start with VHCURES direct access and your current analytics resources now.</w:t>
      </w:r>
    </w:p>
    <w:p>
      <w:pPr>
        <w:pStyle w:val="BodyText"/>
      </w:pPr>
      <w:r>
        <w:t xml:space="preserve">If you are an AHS or GMCB official: The Technology gate is your critical bottleneck, and it has a hard deadline — analytics capability must be operational before January 2028 AHEAD financial accountability begins. The three-dependency convergence — AHEAD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pPr>
        <w:pStyle w:val="BodyText"/>
      </w:pPr>
      <w: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AHEAD’s clinical accountability requirements? These three questions will determine whether Act 68’s mandates produce the transformation they were designed for.</w:t>
      </w:r>
    </w:p>
    <w:p>
      <w:pPr>
        <w:pStyle w:val="BodyText"/>
      </w:pPr>
      <w:r>
        <w:t xml:space="preserve">If you are a national health policy professional: Vermont’s OneCare failure is the most precisely documented sequencing failure in recent American health policy.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 The answers predict outcome more reliably than any other design feature of the model.</w:t>
      </w:r>
    </w:p>
    <w:p>
      <w:pPr>
        <w:pStyle w:val="Heading2"/>
        <w:pBdr>
          <w:top w:val="single" w:sz="6" w:space="10" w:color="C9D2DF"/>
        </w:pBdr>
      </w:pPr>
      <w:r>
        <w:rPr>
          <w:color w:val="161B22"/>
        </w:rPr>
        <w:t xml:space="preserve">1.17  </w:t>
      </w:r>
      <w:bookmarkStart w:id="1063" w:name="_Toc1062"/>
      <w:r>
        <w:rPr>
          <w:b/>
          <w:bCs/>
          <w:color w:val="161B22"/>
        </w:rPr>
        <w:t xml:space="preserve">Key Concepts in This Chapter</w:t>
      </w:r>
      <w:bookmarkEnd w:id="1063"/>
    </w:p>
    <w:p>
      <w:pPr>
        <w:pStyle w:val="FirstParagraph"/>
        <w:spacing w:before="160" w:after="120"/>
      </w:pPr>
      <w:r>
        <w:rPr>
          <w:rFonts w:ascii="Calibri" w:hAnsi="Calibri"/>
          <w:b/>
          <w:bCs/>
          <w:color w:val="2E74B5"/>
          <w:sz w:val="20"/>
        </w:rPr>
        <w:t xml:space="preserve">Dependency logic</w:t>
      </w:r>
      <w:r>
        <w:rPr>
          <w:rFonts w:ascii="Calibri" w:hAnsi="Calibri"/>
          <w:color w:val="000000"/>
          <w:sz w:val="18"/>
        </w:rPr>
        <w:br/>
      </w:r>
      <w:r>
        <w:rPr>
          <w:rFonts w:ascii="Calibri" w:hAnsi="Calibri"/>
          <w:color w:val="000000"/>
          <w:sz w:val="18"/>
        </w:rPr>
        <w:t xml:space="preserve">The principle that some pillar investments cannot produce results until upstream enabling investments are in place. Determines the execution sequence.</w:t>
      </w:r>
    </w:p>
    <w:p>
      <w:pPr>
        <w:pStyle w:val="BodyText"/>
        <w:spacing w:before="160" w:after="120"/>
      </w:pPr>
      <w:r>
        <w:rPr>
          <w:rFonts w:ascii="Calibri" w:hAnsi="Calibri"/>
          <w:b/>
          <w:bCs/>
          <w:color w:val="2E74B5"/>
          <w:sz w:val="20"/>
        </w:rPr>
        <w:t xml:space="preserve">Execution sequence</w:t>
      </w:r>
      <w:r>
        <w:rPr>
          <w:rFonts w:ascii="Calibri" w:hAnsi="Calibri"/>
          <w:color w:val="000000"/>
          <w:sz w:val="18"/>
        </w:rPr>
        <w:br/>
      </w:r>
      <w:r>
        <w:rPr>
          <w:rFonts w:ascii="Calibri" w:hAnsi="Calibri"/>
          <w:color w:val="000000"/>
          <w:sz w:val="18"/>
        </w:rPr>
        <w:t xml:space="preserve">The order in which the six pillars must be built: Policy, Technology, Economics, Clinical, Equity, Operations. Determined by structural dependency, not by the relative importance of each pillar.</w:t>
      </w:r>
    </w:p>
    <w:p>
      <w:pPr>
        <w:pStyle w:val="BodyText"/>
        <w:spacing w:before="160" w:after="120"/>
      </w:pPr>
      <w:r>
        <w:rPr>
          <w:rFonts w:ascii="Calibri" w:hAnsi="Calibri"/>
          <w:b/>
          <w:bCs/>
          <w:color w:val="2E74B5"/>
          <w:sz w:val="20"/>
        </w:rPr>
        <w:t xml:space="preserve">Critical path gate</w:t>
      </w:r>
      <w:r>
        <w:rPr>
          <w:rFonts w:ascii="Calibri" w:hAnsi="Calibri"/>
          <w:color w:val="000000"/>
          <w:sz w:val="18"/>
        </w:rPr>
        <w:br/>
      </w:r>
      <w:r>
        <w:rPr>
          <w:rFonts w:ascii="Calibri" w:hAnsi="Calibri"/>
          <w:color w:val="000000"/>
          <w:sz w:val="18"/>
        </w:rPr>
        <w:t xml:space="preserve">A prerequisite investment that must be in place before a downstream pillar investment can be productive. A gate is</w:t>
      </w:r>
      <w:r>
        <w:rPr>
          <w:rFonts w:ascii="Calibri" w:hAnsi="Calibri"/>
          <w:color w:val="000000"/>
          <w:sz w:val="18"/>
        </w:rPr>
        <w:t xml:space="preserve"> </w:t>
      </w:r>
      <w:r>
        <w:rPr>
          <w:rFonts w:ascii="Calibri" w:hAnsi="Calibri"/>
          <w:i/>
          <w:iCs/>
          <w:color w:val="000000"/>
          <w:sz w:val="18"/>
        </w:rPr>
        <w:t xml:space="preserve">open</w:t>
      </w:r>
      <w:r>
        <w:rPr>
          <w:rFonts w:ascii="Calibri" w:hAnsi="Calibri"/>
          <w:color w:val="000000"/>
          <w:sz w:val="18"/>
        </w:rPr>
        <w:t xml:space="preserve"> </w:t>
      </w:r>
      <w:r>
        <w:rPr>
          <w:rFonts w:ascii="Calibri" w:hAnsi="Calibri"/>
          <w:color w:val="000000"/>
          <w:sz w:val="18"/>
        </w:rPr>
        <w:t xml:space="preserve">when that work is finished and</w:t>
      </w:r>
      <w:r>
        <w:rPr>
          <w:rFonts w:ascii="Calibri" w:hAnsi="Calibri"/>
          <w:color w:val="000000"/>
          <w:sz w:val="18"/>
        </w:rPr>
        <w:t xml:space="preserve"> </w:t>
      </w:r>
      <w:r>
        <w:rPr>
          <w:rFonts w:ascii="Calibri" w:hAnsi="Calibri"/>
          <w:i/>
          <w:iCs/>
          <w:color w:val="000000"/>
          <w:sz w:val="18"/>
        </w:rPr>
        <w:t xml:space="preserve">closed</w:t>
      </w:r>
      <w:r>
        <w:rPr>
          <w:rFonts w:ascii="Calibri" w:hAnsi="Calibri"/>
          <w:color w:val="000000"/>
          <w:sz w:val="18"/>
        </w:rPr>
        <w:t xml:space="preserve"> </w:t>
      </w:r>
      <w:r>
        <w:rPr>
          <w:rFonts w:ascii="Calibri" w:hAnsi="Calibri"/>
          <w:color w:val="000000"/>
          <w:sz w:val="18"/>
        </w:rPr>
        <w:t xml:space="preserve">while it is unfinished; it is opened by completing the work, never by deciding to proceed. Cannot be bypassed by allocating more resources downstream.</w:t>
      </w:r>
    </w:p>
    <w:p>
      <w:pPr>
        <w:pStyle w:val="BodyText"/>
        <w:spacing w:before="160" w:after="120"/>
      </w:pPr>
      <w:r>
        <w:rPr>
          <w:rFonts w:ascii="Calibri" w:hAnsi="Calibri"/>
          <w:b/>
          <w:bCs/>
          <w:color w:val="2E74B5"/>
          <w:sz w:val="20"/>
        </w:rPr>
        <w:t xml:space="preserve">“Managing Blind”</w:t>
      </w:r>
      <w:r>
        <w:rPr>
          <w:rFonts w:ascii="Calibri" w:hAnsi="Calibri"/>
          <w:b/>
          <w:bCs/>
          <w:color w:val="2E74B5"/>
          <w:sz w:val="20"/>
        </w:rPr>
        <w:t xml:space="preserve"> </w:t>
      </w:r>
      <w:r>
        <w:rPr>
          <w:rFonts w:ascii="Calibri" w:hAnsi="Calibri"/>
          <w:b/>
          <w:bCs/>
          <w:color w:val="2E74B5"/>
          <w:sz w:val="20"/>
        </w:rPr>
        <w:t xml:space="preserve">failure mode</w:t>
      </w:r>
      <w:r>
        <w:rPr>
          <w:rFonts w:ascii="Calibri" w:hAnsi="Calibri"/>
          <w:color w:val="000000"/>
          <w:sz w:val="18"/>
        </w:rPr>
        <w:br/>
      </w:r>
      <w:r>
        <w:rPr>
          <w:rFonts w:ascii="Calibri" w:hAnsi="Calibri"/>
          <w:color w:val="000000"/>
          <w:sz w:val="18"/>
        </w:rPr>
        <w:t xml:space="preserve">Assuming downside financial risk under a value-based payment model without the analytics infrastructure to track total cost of care in real time. Produces unexpected, unexplainable losses.</w:t>
      </w:r>
    </w:p>
    <w:p>
      <w:pPr>
        <w:pStyle w:val="BodyText"/>
        <w:spacing w:before="160" w:after="120"/>
      </w:pPr>
      <w:r>
        <w:rPr>
          <w:rFonts w:ascii="Calibri" w:hAnsi="Calibri"/>
          <w:b/>
          <w:bCs/>
          <w:color w:val="2E74B5"/>
          <w:sz w:val="20"/>
        </w:rPr>
        <w:t xml:space="preserve">Sequencing failure</w:t>
      </w:r>
      <w:r>
        <w:rPr>
          <w:rFonts w:ascii="Calibri" w:hAnsi="Calibri"/>
          <w:color w:val="000000"/>
          <w:sz w:val="18"/>
        </w:rPr>
        <w:br/>
      </w:r>
      <w:r>
        <w:rPr>
          <w:rFonts w:ascii="Calibri" w:hAnsi="Calibri"/>
          <w:color w:val="000000"/>
          <w:sz w:val="18"/>
        </w:rPr>
        <w:t xml:space="preserve">Deploying a downstream pillar before the upstream enabling investment is in place. OneCare Vermont is canonical: Economics (voluntary ACO) deployed without Policy mandate and Technology substrate.</w:t>
      </w:r>
    </w:p>
    <w:p>
      <w:pPr>
        <w:pStyle w:val="BodyText"/>
        <w:spacing w:before="160" w:after="120"/>
      </w:pPr>
      <w:r>
        <w:rPr>
          <w:rFonts w:ascii="Calibri" w:hAnsi="Calibri"/>
          <w:b/>
          <w:bCs/>
          <w:color w:val="2E74B5"/>
          <w:sz w:val="20"/>
        </w:rPr>
        <w:t xml:space="preserve">Voluntary vs. mandatory architecture</w:t>
      </w:r>
      <w:r>
        <w:rPr>
          <w:rFonts w:ascii="Calibri" w:hAnsi="Calibri"/>
          <w:color w:val="000000"/>
          <w:sz w:val="18"/>
        </w:rPr>
        <w:br/>
      </w:r>
      <w:r>
        <w:rPr>
          <w:rFonts w:ascii="Calibri" w:hAnsi="Calibri"/>
          <w:color w:val="000000"/>
          <w:sz w:val="18"/>
        </w:rPr>
        <w:t xml:space="preserve">The distinction between reform programs actors can opt out of and those they cannot. Act 68 establishes mandatory RBP and global budgets — eliminating voluntary opt-out.</w:t>
      </w:r>
    </w:p>
    <w:p>
      <w:pPr>
        <w:pStyle w:val="BodyText"/>
        <w:spacing w:before="160" w:after="120"/>
      </w:pPr>
      <w:r>
        <w:rPr>
          <w:rFonts w:ascii="Calibri" w:hAnsi="Calibri"/>
          <w:b/>
          <w:bCs/>
          <w:color w:val="2E74B5"/>
          <w:sz w:val="20"/>
        </w:rPr>
        <w:t xml:space="preserve">Economics-as-design vs. Economics-as-management</w:t>
      </w:r>
      <w:r>
        <w:rPr>
          <w:rFonts w:ascii="Calibri" w:hAnsi="Calibri"/>
          <w:color w:val="000000"/>
          <w:sz w:val="18"/>
        </w:rPr>
        <w:br/>
      </w:r>
      <w:r>
        <w:rPr>
          <w:rFonts w:ascii="Calibri" w:hAnsi="Calibri"/>
          <w:color w:val="000000"/>
          <w:sz w:val="18"/>
        </w:rPr>
        <w:t xml:space="preserve">Design (defining the payment architecture) can proceed in parallel with the technology build. Management (operating the model) requires the technology substrate to be operational first.</w:t>
      </w:r>
    </w:p>
    <w:p>
      <w:pPr>
        <w:pStyle w:val="BodyText"/>
        <w:spacing w:before="160" w:after="120"/>
      </w:pPr>
      <w:r>
        <w:rPr>
          <w:rFonts w:ascii="Calibri" w:hAnsi="Calibri"/>
          <w:b/>
          <w:bCs/>
          <w:color w:val="2E74B5"/>
          <w:sz w:val="20"/>
        </w:rPr>
        <w:t xml:space="preserve">Transformation capital vs. incentive architecture</w:t>
      </w:r>
      <w:r>
        <w:rPr>
          <w:rFonts w:ascii="Calibri" w:hAnsi="Calibri"/>
          <w:color w:val="000000"/>
          <w:sz w:val="18"/>
        </w:rPr>
        <w:br/>
      </w:r>
      <w:r>
        <w:rPr>
          <w:rFonts w:ascii="Calibri" w:hAnsi="Calibri"/>
          <w:color w:val="000000"/>
          <w:sz w:val="18"/>
        </w:rPr>
        <w:t xml:space="preserve">Transformation capital (RHT award, EAST Fund) is time-limited bridge funding for infrastructure. Incentive architecture (global budgets, RBP) is permanent structural change to the payment environment. Confusing the two produces unsustainable programs.</w:t>
      </w:r>
    </w:p>
    <w:p>
      <w:pPr>
        <w:pStyle w:val="BodyText"/>
        <w:spacing w:before="160" w:after="120"/>
      </w:pPr>
      <w:r>
        <w:rPr>
          <w:rFonts w:ascii="Calibri" w:hAnsi="Calibri"/>
          <w:b/>
          <w:bCs/>
          <w:color w:val="2E74B5"/>
          <w:sz w:val="20"/>
        </w:rPr>
        <w:t xml:space="preserve">Reform cascade</w:t>
      </w:r>
      <w:r>
        <w:rPr>
          <w:rFonts w:ascii="Calibri" w:hAnsi="Calibri"/>
          <w:color w:val="000000"/>
          <w:sz w:val="18"/>
        </w:rPr>
        <w:br/>
      </w:r>
      <w:r>
        <w:rPr>
          <w:rFonts w:ascii="Calibri" w:hAnsi="Calibri"/>
          <w:color w:val="000000"/>
          <w:sz w:val="18"/>
        </w:rPr>
        <w:t xml:space="preserve">A legislatively structured sequence where each intervention creates capacity and legitimacy for the next. Vermont’s Act 167 → Act 51 → Act 68 is the prototype.</w:t>
      </w:r>
    </w:p>
    <w:p>
      <w:pPr>
        <w:pStyle w:val="BodyText"/>
        <w:spacing w:before="160" w:after="120"/>
      </w:pPr>
      <w:r>
        <w:rPr>
          <w:rFonts w:ascii="Calibri" w:hAnsi="Calibri"/>
          <w:b/>
          <w:bCs/>
          <w:color w:val="2E74B5"/>
          <w:sz w:val="20"/>
        </w:rPr>
        <w:t xml:space="preserve">HCC gap closure</w:t>
      </w:r>
      <w:r>
        <w:rPr>
          <w:rFonts w:ascii="Calibri" w:hAnsi="Calibri"/>
          <w:color w:val="000000"/>
          <w:sz w:val="18"/>
        </w:rPr>
        <w:br/>
      </w:r>
      <w:r>
        <w:rPr>
          <w:rFonts w:ascii="Calibri" w:hAnsi="Calibri"/>
          <w:color w:val="000000"/>
          <w:sz w:val="18"/>
        </w:rPr>
        <w:t xml:space="preserve">The highest-ROI pre-AHEAD-launch analytics investment: completing hierarchical condition category documentation for all Medicare-attributed patients before the performance year begins. Improves risk adjustment accuracy and produces a more defensible global budget benchmark.</w:t>
      </w:r>
    </w:p>
    <w:p>
      <w:pPr>
        <w:pStyle w:val="BodyText"/>
        <w:spacing w:before="160" w:after="120"/>
      </w:pPr>
      <w:r>
        <w:rPr>
          <w:rFonts w:ascii="Calibri" w:hAnsi="Calibri"/>
          <w:b/>
          <w:bCs/>
          <w:color w:val="2E74B5"/>
          <w:sz w:val="20"/>
        </w:rPr>
        <w:t xml:space="preserve">Parallel work</w:t>
      </w:r>
      <w:r>
        <w:rPr>
          <w:rFonts w:ascii="Calibri" w:hAnsi="Calibri"/>
          <w:color w:val="000000"/>
          <w:sz w:val="18"/>
        </w:rPr>
        <w:br/>
      </w:r>
      <w:r>
        <w:rPr>
          <w:rFonts w:ascii="Calibri" w:hAnsi="Calibri"/>
          <w:color w:val="000000"/>
          <w:sz w:val="18"/>
        </w:rPr>
        <w:t xml:space="preserve">Investment that proceeds simultaneously with critical path work because it sits behind no closed gate. Test: could this investment produce its full intended value today, with upstream pillars in their current state?</w:t>
      </w:r>
    </w:p>
    <w:p>
      <w:pPr>
        <w:pStyle w:val="BodyText"/>
        <w:spacing w:before="160" w:after="120"/>
      </w:pPr>
      <w:r>
        <w:rPr>
          <w:rFonts w:ascii="Calibri" w:hAnsi="Calibri"/>
          <w:b/>
          <w:bCs/>
          <w:color w:val="2E74B5"/>
          <w:sz w:val="20"/>
        </w:rPr>
        <w:t xml:space="preserve">Premature investment</w:t>
      </w:r>
      <w:r>
        <w:rPr>
          <w:rFonts w:ascii="Calibri" w:hAnsi="Calibri"/>
          <w:color w:val="000000"/>
          <w:sz w:val="18"/>
        </w:rPr>
        <w:br/>
      </w:r>
      <w:r>
        <w:rPr>
          <w:rFonts w:ascii="Calibri" w:hAnsi="Calibri"/>
          <w:color w:val="000000"/>
          <w:sz w:val="18"/>
        </w:rPr>
        <w:t xml:space="preserve">An investment in a downstream pillar that proceeds before the upstream enabling investment is in place. Most common forms: Technology deployment without Operations readiness; Economics contracts without Technology analytics readiness.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Maryland HSCRC Total Cost of Care Model data; GMCB FY25 and FY26 Hospital Budget Orders.</w:t>
      </w:r>
    </w:p>
    <w:p>
      <w:r>
        <w:br w:type="page"/>
      </w:r>
    </w:p>
    <w:p>
      <w:pPr>
        <w:pStyle w:val="Heading1"/>
      </w:pPr>
      <w:bookmarkStart w:id="1064" w:name="_Toc1063"/>
      <w:r>
        <w:rPr>
          <w:b/>
          <w:bCs/>
          <w:color w:val="161B22"/>
        </w:rPr>
        <w:t xml:space="preserve">Chapter 2: The Policy Pillar — Legislative Architecture for Structural Reform</w:t>
      </w:r>
      <w:bookmarkEnd w:id="106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Acts 167, 51, and 68 constitute the most comprehensive state-level healthcare reform mandate in the United States since Maryland’s all-payer model in the 1970s.</w:t>
      </w:r>
    </w:p>
    <w:p>
      <w:pPr>
        <w:pStyle w:val="BodyText"/>
        <w:keepNext w:val="false"/>
      </w:pPr>
      <w: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six-pillar sequence. Vermont’s Acts 167, 51, and 68 are presented in detail in this chapter because they show, with unusual legislative specificity, what it actually takes to convert that aspiration into something binding — the diagnostic mandate, the operational mandate, and the enforcement architecture that connects them.</w:t>
      </w:r>
    </w:p>
    <w:p>
      <w:pPr>
        <w:pStyle w:val="Heading2"/>
        <w:pBdr>
          <w:top w:val="single" w:sz="6" w:space="10" w:color="C9D2DF"/>
        </w:pBdr>
        <w:keepNext w:val="false"/>
      </w:pPr>
      <w:r>
        <w:rPr>
          <w:color w:val="161B22"/>
        </w:rPr>
        <w:t xml:space="preserve">2.1  </w:t>
      </w:r>
      <w:bookmarkStart w:id="1065" w:name="_Toc1064"/>
      <w:r>
        <w:rPr>
          <w:b/>
          <w:bCs/>
          <w:color w:val="161B22"/>
        </w:rPr>
        <w:t xml:space="preserve">The Anatomy of a System-Level Reform Mandate</w:t>
      </w:r>
      <w:bookmarkEnd w:id="1065"/>
    </w:p>
    <w:tbl>
      <w:tblPr>
        <w:tblStyle w:val="HTRTable"/>
        <w:tblLook w:firstRow="1" w:lastRow="0" w:firstColumn="0" w:lastColumn="0" w:noHBand="0" w:noVBand="1" w:val="0020"/>
        <w:tblW w:w="9072" w:type="dxa"/>
        <w:tblLayout w:type="fixed"/>
      </w:tblPr>
      <w:tblGrid>
        <w:gridCol w:w="1063"/>
        <w:gridCol w:w="2752"/>
        <w:gridCol w:w="1501"/>
        <w:gridCol w:w="3754"/>
      </w:tblGrid>
      <w:tr>
        <w:trPr>
          <w:tblHeader w:val="on"/>
          <w:cantSplit/>
        </w:trPr>
        <w:tc>
          <w:tcPr>
            <w:shd w:val="clear" w:color="auto" w:fill="1B3A6B"/>
            <w:tcW w:w="1063" w:type="dxa"/>
          </w:tcPr>
          <w:p>
            <w:pPr>
              <w:pStyle w:val="Compact"/>
              <w:jc w:val="left"/>
            </w:pPr>
            <w:r>
              <w:rPr>
                <w:b/>
                <w:color w:val="FFFFFF"/>
                <w:sz w:val="18"/>
              </w:rPr>
              <w:t xml:space="preserve">Year</w:t>
            </w:r>
          </w:p>
        </w:tc>
        <w:tc>
          <w:tcPr>
            <w:shd w:val="clear" w:color="auto" w:fill="1B3A6B"/>
            <w:tcW w:w="2752" w:type="dxa"/>
          </w:tcPr>
          <w:p>
            <w:pPr>
              <w:pStyle w:val="Compact"/>
              <w:jc w:val="left"/>
            </w:pPr>
            <w:r>
              <w:rPr>
                <w:b/>
                <w:color w:val="FFFFFF"/>
                <w:sz w:val="18"/>
              </w:rPr>
              <w:t xml:space="preserve">Milestone</w:t>
            </w:r>
          </w:p>
        </w:tc>
        <w:tc>
          <w:tcPr>
            <w:shd w:val="clear" w:color="auto" w:fill="1B3A6B"/>
            <w:tcW w:w="1501" w:type="dxa"/>
          </w:tcPr>
          <w:p>
            <w:pPr>
              <w:pStyle w:val="Compact"/>
              <w:jc w:val="left"/>
            </w:pPr>
            <w:r>
              <w:rPr>
                <w:b/>
                <w:color w:val="FFFFFF"/>
                <w:sz w:val="18"/>
              </w:rPr>
              <w:t xml:space="preserve">Pillar</w:t>
            </w:r>
          </w:p>
        </w:tc>
        <w:tc>
          <w:tcPr>
            <w:shd w:val="clear" w:color="auto" w:fill="1B3A6B"/>
            <w:tcW w:w="3754" w:type="dxa"/>
          </w:tcPr>
          <w:p>
            <w:pPr>
              <w:pStyle w:val="Compact"/>
              <w:jc w:val="left"/>
            </w:pPr>
            <w:r>
              <w:rPr>
                <w:b/>
                <w:color w:val="FFFFFF"/>
                <w:sz w:val="18"/>
              </w:rPr>
              <w:t xml:space="preserve">Significance</w:t>
            </w:r>
          </w:p>
        </w:tc>
      </w:tr>
      <w:tr>
        <w:trPr>
          <w:cantSplit/>
        </w:trPr>
        <w:tc>
          <w:tcPr>
            <w:tcW w:w="1063" w:type="dxa"/>
          </w:tcPr>
          <w:p>
            <w:pPr>
              <w:pStyle w:val="Compact"/>
              <w:jc w:val="left"/>
            </w:pPr>
            <w:r>
              <w:rPr>
                <w:sz w:val="18"/>
              </w:rPr>
              <w:t xml:space="preserve">2022</w:t>
            </w:r>
          </w:p>
        </w:tc>
        <w:tc>
          <w:tcPr>
            <w:tcW w:w="2752" w:type="dxa"/>
          </w:tcPr>
          <w:p>
            <w:pPr>
              <w:pStyle w:val="Compact"/>
              <w:jc w:val="left"/>
            </w:pPr>
            <w:r>
              <w:rPr>
                <w:sz w:val="18"/>
              </w:rPr>
              <w:t xml:space="preserve">Act 167 of 2022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Commissioned Oliver Wyman analysis; mandated system-wide diagnostic</w:t>
            </w:r>
          </w:p>
        </w:tc>
      </w:tr>
      <w:tr>
        <w:trPr/>
        <w:tc>
          <w:tcPr>
            <w:tcW w:w="1063" w:type="dxa"/>
          </w:tcPr>
          <w:p>
            <w:pPr>
              <w:pStyle w:val="Compact"/>
              <w:jc w:val="left"/>
            </w:pPr>
            <w:r>
              <w:rPr>
                <w:sz w:val="18"/>
              </w:rPr>
              <w:t xml:space="preserve">Aug 2024</w:t>
            </w:r>
          </w:p>
        </w:tc>
        <w:tc>
          <w:tcPr>
            <w:tcW w:w="2752" w:type="dxa"/>
          </w:tcPr>
          <w:p>
            <w:pPr>
              <w:pStyle w:val="Compact"/>
              <w:jc w:val="left"/>
            </w:pPr>
            <w:r>
              <w:rPr>
                <w:sz w:val="18"/>
              </w:rPr>
              <w:t xml:space="preserve">Oliver Wyman Act 167 Report</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Documented 9/14 hospitals in losses; $2.4B 5-year deficit projection; triggered legislative action</w:t>
            </w:r>
          </w:p>
        </w:tc>
      </w:tr>
      <w:tr>
        <w:trPr/>
        <w:tc>
          <w:tcPr>
            <w:tcW w:w="1063" w:type="dxa"/>
          </w:tcPr>
          <w:p>
            <w:pPr>
              <w:pStyle w:val="Compact"/>
              <w:jc w:val="left"/>
            </w:pPr>
            <w:r>
              <w:rPr>
                <w:sz w:val="18"/>
              </w:rPr>
              <w:t xml:space="preserve">Sept 2024</w:t>
            </w:r>
          </w:p>
        </w:tc>
        <w:tc>
          <w:tcPr>
            <w:tcW w:w="2752" w:type="dxa"/>
          </w:tcPr>
          <w:p>
            <w:pPr>
              <w:pStyle w:val="Compact"/>
              <w:jc w:val="left"/>
            </w:pPr>
            <w:r>
              <w:rPr>
                <w:sz w:val="18"/>
              </w:rPr>
              <w:t xml:space="preserve">Oliver Wyman presentation to GMCB</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Room full of stakeholders; financial trajectory confirmed publicly; political inflection point</w:t>
            </w:r>
          </w:p>
        </w:tc>
      </w:tr>
      <w:tr>
        <w:trPr/>
        <w:tc>
          <w:tcPr>
            <w:tcW w:w="1063" w:type="dxa"/>
          </w:tcPr>
          <w:p>
            <w:pPr>
              <w:pStyle w:val="Compact"/>
              <w:jc w:val="left"/>
            </w:pPr>
            <w:r>
              <w:rPr>
                <w:sz w:val="18"/>
              </w:rPr>
              <w:t xml:space="preserve">2023</w:t>
            </w:r>
          </w:p>
        </w:tc>
        <w:tc>
          <w:tcPr>
            <w:tcW w:w="2752" w:type="dxa"/>
          </w:tcPr>
          <w:p>
            <w:pPr>
              <w:pStyle w:val="Compact"/>
              <w:jc w:val="left"/>
            </w:pPr>
            <w:r>
              <w:rPr>
                <w:sz w:val="18"/>
              </w:rPr>
              <w:t xml:space="preserve">Act 51 of 2023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Authorized AHS hospital transformation planning pilots with up to four hospitals (amending Act 167); Medicaid and DVHA program changes</w:t>
            </w:r>
          </w:p>
        </w:tc>
      </w:tr>
      <w:tr>
        <w:trPr/>
        <w:tc>
          <w:tcPr>
            <w:tcW w:w="1063" w:type="dxa"/>
          </w:tcPr>
          <w:p>
            <w:pPr>
              <w:pStyle w:val="Compact"/>
              <w:jc w:val="left"/>
            </w:pPr>
            <w:r>
              <w:rPr>
                <w:sz w:val="18"/>
              </w:rPr>
              <w:t xml:space="preserve">2025</w:t>
            </w:r>
          </w:p>
        </w:tc>
        <w:tc>
          <w:tcPr>
            <w:tcW w:w="2752" w:type="dxa"/>
          </w:tcPr>
          <w:p>
            <w:pPr>
              <w:pStyle w:val="Compact"/>
              <w:jc w:val="left"/>
            </w:pPr>
            <w:r>
              <w:rPr>
                <w:sz w:val="18"/>
              </w:rPr>
              <w:t xml:space="preserve">Act 68 of 2025 enacted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Mandatory RBP (FY2027), global budgets (FY2028), Dec 2028 Strategic Plan deadline</w:t>
            </w:r>
          </w:p>
        </w:tc>
      </w:tr>
      <w:tr>
        <w:trPr/>
        <w:tc>
          <w:tcPr>
            <w:tcW w:w="1063" w:type="dxa"/>
          </w:tcPr>
          <w:p>
            <w:pPr>
              <w:pStyle w:val="Compact"/>
              <w:jc w:val="left"/>
            </w:pPr>
            <w:r>
              <w:rPr>
                <w:sz w:val="18"/>
              </w:rPr>
              <w:t xml:space="preserve">Jan 2025</w:t>
            </w:r>
          </w:p>
        </w:tc>
        <w:tc>
          <w:tcPr>
            <w:tcW w:w="2752" w:type="dxa"/>
          </w:tcPr>
          <w:p>
            <w:pPr>
              <w:pStyle w:val="Compact"/>
              <w:jc w:val="left"/>
            </w:pPr>
            <w:r>
              <w:rPr>
                <w:sz w:val="18"/>
              </w:rPr>
              <w:t xml:space="preserve">Vermont AHEAD State Agreement signed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Committed Vermont to Cohort 2; up to $150M/year EAST Fund; 8-year performance period</w:t>
            </w:r>
          </w:p>
        </w:tc>
      </w:tr>
      <w:tr>
        <w:trPr/>
        <w:tc>
          <w:tcPr>
            <w:tcW w:w="1063" w:type="dxa"/>
          </w:tcPr>
          <w:p>
            <w:pPr>
              <w:pStyle w:val="Compact"/>
              <w:jc w:val="left"/>
            </w:pPr>
            <w:r>
              <w:rPr>
                <w:sz w:val="18"/>
              </w:rPr>
              <w:t xml:space="preserve">Nov 2025</w:t>
            </w:r>
          </w:p>
        </w:tc>
        <w:tc>
          <w:tcPr>
            <w:tcW w:w="2752" w:type="dxa"/>
          </w:tcPr>
          <w:p>
            <w:pPr>
              <w:pStyle w:val="Compact"/>
              <w:jc w:val="left"/>
            </w:pPr>
            <w:r>
              <w:rPr>
                <w:sz w:val="18"/>
              </w:rPr>
              <w:t xml:space="preserve">Vermont RHT Program Application submitted</w:t>
            </w:r>
          </w:p>
        </w:tc>
        <w:tc>
          <w:tcPr>
            <w:tcW w:w="1501" w:type="dxa"/>
          </w:tcPr>
          <w:p>
            <w:pPr>
              <w:pStyle w:val="Compact"/>
              <w:jc w:val="left"/>
            </w:pPr>
            <w:r>
              <w:rPr>
                <w:sz w:val="18"/>
              </w:rPr>
              <w:t xml:space="preserve">Policy / Operations</w:t>
            </w:r>
          </w:p>
        </w:tc>
        <w:tc>
          <w:tcPr>
            <w:tcW w:w="3754" w:type="dxa"/>
          </w:tcPr>
          <w:p>
            <w:pPr>
              <w:pStyle w:val="Compact"/>
              <w:jc w:val="left"/>
            </w:pPr>
            <w:r>
              <w:rPr>
                <w:sz w:val="18"/>
              </w:rPr>
              <w:t xml:space="preserve">$195M award application; 19 HTR tools; 370-FTE workforce plan</w:t>
            </w:r>
          </w:p>
        </w:tc>
      </w:tr>
      <w:tr>
        <w:trPr/>
        <w:tc>
          <w:tcPr>
            <w:tcW w:w="1063" w:type="dxa"/>
          </w:tcPr>
          <w:p>
            <w:pPr>
              <w:pStyle w:val="Compact"/>
              <w:jc w:val="left"/>
            </w:pPr>
            <w:r>
              <w:rPr>
                <w:sz w:val="18"/>
              </w:rPr>
              <w:t xml:space="preserve">Dec 2025</w:t>
            </w:r>
          </w:p>
        </w:tc>
        <w:tc>
          <w:tcPr>
            <w:tcW w:w="2752" w:type="dxa"/>
          </w:tcPr>
          <w:p>
            <w:pPr>
              <w:pStyle w:val="Compact"/>
              <w:jc w:val="left"/>
            </w:pPr>
            <w:r>
              <w:rPr>
                <w:sz w:val="18"/>
              </w:rPr>
              <w:t xml:space="preserve">CMS BALANCE Model announced</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GLP-1 coverage at negotiated prices; Vermont DVHA opt-in decision pending</w:t>
            </w:r>
          </w:p>
        </w:tc>
      </w:tr>
      <w:tr>
        <w:trPr/>
        <w:tc>
          <w:tcPr>
            <w:tcW w:w="1063" w:type="dxa"/>
          </w:tcPr>
          <w:p>
            <w:pPr>
              <w:pStyle w:val="Compact"/>
              <w:jc w:val="left"/>
            </w:pPr>
            <w:r>
              <w:rPr>
                <w:sz w:val="18"/>
              </w:rPr>
              <w:t xml:space="preserve">Dec 29, 2025</w:t>
            </w:r>
          </w:p>
        </w:tc>
        <w:tc>
          <w:tcPr>
            <w:tcW w:w="2752" w:type="dxa"/>
          </w:tcPr>
          <w:p>
            <w:pPr>
              <w:pStyle w:val="Compact"/>
              <w:jc w:val="left"/>
            </w:pPr>
            <w:r>
              <w:rPr>
                <w:sz w:val="18"/>
              </w:rPr>
              <w:t xml:space="preserve">Vermont receives $195M RHT award</w:t>
            </w:r>
          </w:p>
        </w:tc>
        <w:tc>
          <w:tcPr>
            <w:tcW w:w="1501" w:type="dxa"/>
          </w:tcPr>
          <w:p>
            <w:pPr>
              <w:pStyle w:val="Compact"/>
              <w:jc w:val="left"/>
            </w:pPr>
            <w:r>
              <w:rPr>
                <w:sz w:val="18"/>
              </w:rPr>
              <w:t xml:space="preserve">Policy / Technology</w:t>
            </w:r>
          </w:p>
        </w:tc>
        <w:tc>
          <w:tcPr>
            <w:tcW w:w="3754" w:type="dxa"/>
          </w:tcPr>
          <w:p>
            <w:pPr>
              <w:pStyle w:val="Compact"/>
              <w:jc w:val="left"/>
            </w:pPr>
            <w:r>
              <w:rPr>
                <w:sz w:val="18"/>
              </w:rPr>
              <w:t xml:space="preserve">Largest per-capita rural transformation award; funds CIN, telehealth, workforce</w:t>
            </w:r>
          </w:p>
        </w:tc>
      </w:tr>
      <w:tr>
        <w:trPr/>
        <w:tc>
          <w:tcPr>
            <w:tcW w:w="1063" w:type="dxa"/>
          </w:tcPr>
          <w:p>
            <w:pPr>
              <w:pStyle w:val="Compact"/>
              <w:jc w:val="left"/>
            </w:pPr>
            <w:r>
              <w:rPr>
                <w:sz w:val="18"/>
              </w:rPr>
              <w:t xml:space="preserve">Jul 4, 2025</w:t>
            </w:r>
          </w:p>
        </w:tc>
        <w:tc>
          <w:tcPr>
            <w:tcW w:w="2752" w:type="dxa"/>
          </w:tcPr>
          <w:p>
            <w:pPr>
              <w:pStyle w:val="Compact"/>
              <w:jc w:val="left"/>
            </w:pPr>
            <w:r>
              <w:rPr>
                <w:sz w:val="18"/>
              </w:rPr>
              <w:t xml:space="preserve">H.R. 1 signed (One Big Beautiful Bill Act)</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$911B Medicaid cuts over 10 years; work requirements; 10M additional uninsured by 2034</w:t>
            </w:r>
          </w:p>
        </w:tc>
      </w:tr>
      <w:tr>
        <w:trPr/>
        <w:tc>
          <w:tcPr>
            <w:tcW w:w="1063" w:type="dxa"/>
          </w:tcPr>
          <w:p>
            <w:pPr>
              <w:pStyle w:val="Compact"/>
              <w:jc w:val="left"/>
            </w:pPr>
            <w:r>
              <w:rPr>
                <w:sz w:val="18"/>
              </w:rPr>
              <w:t xml:space="preserve">FY2027 (Oct 2026)</w:t>
            </w:r>
          </w:p>
        </w:tc>
        <w:tc>
          <w:tcPr>
            <w:tcW w:w="2752" w:type="dxa"/>
          </w:tcPr>
          <w:p>
            <w:pPr>
              <w:pStyle w:val="Compact"/>
              <w:jc w:val="left"/>
            </w:pPr>
            <w:r>
              <w:rPr>
                <w:sz w:val="18"/>
              </w:rPr>
              <w:t xml:space="preserve">RBP mandatory for all Vermont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First mandatory all-payer price cap in modern Vermont history; ≤200% Medicare target</w:t>
            </w:r>
          </w:p>
        </w:tc>
      </w:tr>
      <w:tr>
        <w:trPr/>
        <w:tc>
          <w:tcPr>
            <w:tcW w:w="1063" w:type="dxa"/>
          </w:tcPr>
          <w:p>
            <w:pPr>
              <w:pStyle w:val="Compact"/>
              <w:jc w:val="left"/>
            </w:pPr>
            <w:r>
              <w:rPr>
                <w:sz w:val="18"/>
              </w:rPr>
              <w:t xml:space="preserve">FY2028 (Oct 2027)</w:t>
            </w:r>
          </w:p>
        </w:tc>
        <w:tc>
          <w:tcPr>
            <w:tcW w:w="2752" w:type="dxa"/>
          </w:tcPr>
          <w:p>
            <w:pPr>
              <w:pStyle w:val="Compact"/>
              <w:jc w:val="left"/>
            </w:pPr>
            <w:r>
              <w:rPr>
                <w:sz w:val="18"/>
              </w:rPr>
              <w:t xml:space="preserve">Global budgets mandatory (non-CAH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Fixed revenue envelopes; transforms financial incentive from volume to population health</w:t>
            </w:r>
          </w:p>
        </w:tc>
      </w:tr>
      <w:tr>
        <w:trPr/>
        <w:tc>
          <w:tcPr>
            <w:tcW w:w="1063" w:type="dxa"/>
          </w:tcPr>
          <w:p>
            <w:pPr>
              <w:pStyle w:val="Compact"/>
              <w:jc w:val="left"/>
            </w:pPr>
            <w:r>
              <w:rPr>
                <w:sz w:val="18"/>
              </w:rPr>
              <w:t xml:space="preserve">Jan 2028</w:t>
            </w:r>
          </w:p>
        </w:tc>
        <w:tc>
          <w:tcPr>
            <w:tcW w:w="2752" w:type="dxa"/>
          </w:tcPr>
          <w:p>
            <w:pPr>
              <w:pStyle w:val="Compact"/>
              <w:jc w:val="left"/>
            </w:pPr>
            <w:r>
              <w:rPr>
                <w:sz w:val="18"/>
              </w:rPr>
              <w:t xml:space="preserve">AHEAD Cohort 2 performance year begins</w:t>
            </w:r>
          </w:p>
        </w:tc>
        <w:tc>
          <w:tcPr>
            <w:tcW w:w="1501" w:type="dxa"/>
          </w:tcPr>
          <w:p>
            <w:pPr>
              <w:pStyle w:val="Compact"/>
              <w:jc w:val="left"/>
            </w:pPr>
            <w:r>
              <w:rPr>
                <w:sz w:val="18"/>
              </w:rPr>
              <w:t xml:space="preserve">Economics / Technology</w:t>
            </w:r>
          </w:p>
        </w:tc>
        <w:tc>
          <w:tcPr>
            <w:tcW w:w="3754" w:type="dxa"/>
          </w:tcPr>
          <w:p>
            <w:pPr>
              <w:pStyle w:val="Compact"/>
              <w:jc w:val="left"/>
            </w:pPr>
            <w:r>
              <w:rPr>
                <w:sz w:val="18"/>
              </w:rPr>
              <w:t xml:space="preserve">Updated per CMS Sept 2025; Vermont hospitals begin AHEAD financial accountability</w:t>
            </w:r>
          </w:p>
        </w:tc>
      </w:tr>
      <w:tr>
        <w:trPr/>
        <w:tc>
          <w:tcPr>
            <w:tcW w:w="1063" w:type="dxa"/>
          </w:tcPr>
          <w:p>
            <w:pPr>
              <w:pStyle w:val="Compact"/>
              <w:jc w:val="left"/>
            </w:pPr>
            <w:r>
              <w:rPr>
                <w:sz w:val="18"/>
              </w:rPr>
              <w:t xml:space="preserve">Dec 2028</w:t>
            </w:r>
          </w:p>
        </w:tc>
        <w:tc>
          <w:tcPr>
            <w:tcW w:w="2752" w:type="dxa"/>
          </w:tcPr>
          <w:p>
            <w:pPr>
              <w:pStyle w:val="Compact"/>
              <w:jc w:val="left"/>
            </w:pPr>
            <w:r>
              <w:rPr>
                <w:sz w:val="18"/>
              </w:rPr>
              <w:t xml:space="preserve">Statewide Strategic Plan due to legislature</w:t>
            </w:r>
          </w:p>
        </w:tc>
        <w:tc>
          <w:tcPr>
            <w:tcW w:w="1501" w:type="dxa"/>
          </w:tcPr>
          <w:p>
            <w:pPr>
              <w:pStyle w:val="Compact"/>
              <w:jc w:val="left"/>
            </w:pPr>
            <w:r>
              <w:rPr>
                <w:sz w:val="18"/>
              </w:rPr>
              <w:t xml:space="preserve">Operations / All pillars</w:t>
            </w:r>
          </w:p>
        </w:tc>
        <w:tc>
          <w:tcPr>
            <w:tcW w:w="3754" w:type="dxa"/>
          </w:tcPr>
          <w:p>
            <w:pPr>
              <w:pStyle w:val="Compact"/>
              <w:jc w:val="left"/>
            </w:pPr>
            <w:r>
              <w:rPr>
                <w:sz w:val="18"/>
              </w:rPr>
              <w:t xml:space="preserve">Act 68 binding deadline; must commit to specific targets, timelines, accountable owners</w:t>
            </w:r>
          </w:p>
        </w:tc>
      </w:tr>
      <w:tr>
        <w:trPr/>
        <w:tc>
          <w:tcPr>
            <w:tcW w:w="1063" w:type="dxa"/>
          </w:tcPr>
          <w:p>
            <w:pPr>
              <w:pStyle w:val="Compact"/>
              <w:jc w:val="left"/>
            </w:pPr>
            <w:r>
              <w:rPr>
                <w:sz w:val="18"/>
              </w:rPr>
              <w:t xml:space="preserve">FY2030 (Oct 2029)</w:t>
            </w:r>
          </w:p>
        </w:tc>
        <w:tc>
          <w:tcPr>
            <w:tcW w:w="2752" w:type="dxa"/>
          </w:tcPr>
          <w:p>
            <w:pPr>
              <w:pStyle w:val="Compact"/>
              <w:jc w:val="left"/>
            </w:pPr>
            <w:r>
              <w:rPr>
                <w:sz w:val="18"/>
              </w:rPr>
              <w:t xml:space="preserve">Global budgets mandatory — all 14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Full all-payer global budget coverage; complete transition from fee-for-service signal</w:t>
            </w:r>
          </w:p>
        </w:tc>
      </w:tr>
      <w:tr>
        <w:trPr>
          <w:cantSplit/>
        </w:trPr>
        <w:tc>
          <w:tcPr>
            <w:tcW w:w="1063" w:type="dxa"/>
          </w:tcPr>
          <w:p>
            <w:pPr>
              <w:pStyle w:val="Compact"/>
              <w:jc w:val="left"/>
            </w:pPr>
            <w:r>
              <w:rPr>
                <w:sz w:val="18"/>
              </w:rPr>
              <w:t xml:space="preserve">2030-2035</w:t>
            </w:r>
          </w:p>
        </w:tc>
        <w:tc>
          <w:tcPr>
            <w:tcW w:w="2752" w:type="dxa"/>
          </w:tcPr>
          <w:p>
            <w:pPr>
              <w:pStyle w:val="Compact"/>
              <w:jc w:val="left"/>
            </w:pPr>
            <w:r>
              <w:rPr>
                <w:sz w:val="18"/>
              </w:rPr>
              <w:t xml:space="preserve">AHEAD performance period continues</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CMS evaluation of Vermont total cost of care; evidence base for national replication</w:t>
            </w:r>
          </w:p>
        </w:tc>
      </w:tr>
    </w:tbl>
    <w:p>
      <w:pPr>
        <w:pStyle w:val="Caption"/>
        <w:spacing w:before="280"/>
      </w:pPr>
      <w:r>
        <w:rPr>
          <w:i/>
          <w:iCs/>
        </w:rPr>
        <w:t xml:space="preserve">Figure T.1 — Vermont Healthcare Transformation Timeline: 2022–2035. Sources: Vermont Legislature, CMS, AHS, GMCB.</w:t>
      </w:r>
    </w:p>
    <w:p>
      <w:pPr>
        <w:pStyle w:val="BodyText"/>
      </w:pPr>
      <w: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the most comprehensive statewide healthcare restructuring attempted by any U.S. state since Maryland’s all-payer model in the 1970s. Understanding this sequence — its logic, its mechanisms, and its unresolved tensions — is essential preparation for any healthcare leader operating in an environment of payment and delivery system transformation.</w:t>
      </w:r>
    </w:p>
    <w:p>
      <w:pPr>
        <w:pStyle w:val="BodyText"/>
      </w:pPr>
      <w: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with real consequences for non-compliance. Each act built on the evidence and institutional capacity developed by its predecessor. The whole sequence constitutes what policy scholars call a reform cascade: a legislatively structured process in which each intervention creates the conditions for the next.</w:t>
      </w:r>
    </w:p>
    <w:p>
      <w:pPr>
        <w:pStyle w:val="BodyText"/>
        <w:keepNext w:val="false"/>
      </w:pPr>
      <w:r>
        <w:t xml:space="preserve">This chapter section examines each act, the analytical infrastructure it created, and the six-pillar implications for organizations navigating comparable reform environments. It draws heavily on the Oliver Wyman Act 167 Community Engagement: Recommendations report — the most comprehensive independent public diagnosis of a state hospital system in recent American health policy history — which must be read as the intellectual foundation for everything Vermont’s legislature did in 2025 and everything AHS is mandated to deliver by 2028.</w:t>
      </w:r>
    </w:p>
    <w:p>
      <w:pPr>
        <w:pStyle w:val="Heading2"/>
        <w:pBdr>
          <w:top w:val="single" w:sz="6" w:space="10" w:color="C9D2DF"/>
        </w:pBdr>
        <w:keepNext w:val="false"/>
      </w:pPr>
      <w:r>
        <w:rPr>
          <w:color w:val="161B22"/>
        </w:rPr>
        <w:t xml:space="preserve">2.2  </w:t>
      </w:r>
      <w:bookmarkStart w:id="1066" w:name="_Toc1065"/>
      <w:r>
        <w:rPr>
          <w:b/>
          <w:bCs/>
          <w:color w:val="161B22"/>
        </w:rPr>
        <w:t xml:space="preserve">The Three Imperatives: Oliver Wyman’s Central Finding</w:t>
      </w:r>
      <w:bookmarkEnd w:id="1066"/>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9 of 14</w:t>
            </w:r>
          </w:p>
          <w:p>
            <w:pPr>
              <w:jc w:val="center"/>
              <w:spacing w:after="40"/>
            </w:pPr>
            <w:r>
              <w:rPr>
                <w:rFonts w:ascii="Calibri" w:hAnsi="Calibri"/>
                <w:b/>
                <w:sz w:val="16"/>
                <w:color w:val="1B3A6B"/>
              </w:rPr>
              <w:t>Hospitals in Loss FY2023</w:t>
            </w:r>
          </w:p>
        </w:tc>
        <w:tc>
          <w:tcPr>
            <w:tcW w:w="2268" w:type="dxa"/>
            <w:shd w:val="clear" w:color="auto" w:fill="E8F0FB"/>
            <w:vAlign w:val="center"/>
          </w:tcPr>
          <w:p>
            <w:pPr>
              <w:jc w:val="center"/>
              <w:spacing w:after="20" w:before="40"/>
            </w:pPr>
            <w:r>
              <w:rPr>
                <w:rFonts w:ascii="Calibri" w:hAnsi="Calibri"/>
                <w:b/>
                <w:sz w:val="16"/>
                <w:color w:val="1B3A6B"/>
              </w:rPr>
              <w:t>$2.4B</w:t>
            </w:r>
          </w:p>
          <w:p>
            <w:pPr>
              <w:jc w:val="center"/>
              <w:spacing w:after="40"/>
            </w:pPr>
            <w:r>
              <w:rPr>
                <w:rFonts w:ascii="Calibri" w:hAnsi="Calibri"/>
                <w:b/>
                <w:sz w:val="16"/>
                <w:color w:val="1B3A6B"/>
              </w:rPr>
              <w:t>5-Year Deficit Projection</w:t>
            </w:r>
          </w:p>
        </w:tc>
        <w:tc>
          <w:tcPr>
            <w:tcW w:w="2268" w:type="dxa"/>
            <w:shd w:val="clear" w:color="auto" w:fill="E8F0FB"/>
            <w:vAlign w:val="center"/>
          </w:tcPr>
          <w:p>
            <w:pPr>
              <w:jc w:val="center"/>
              <w:spacing w:after="20" w:before="40"/>
            </w:pPr>
            <w:r>
              <w:rPr>
                <w:rFonts w:ascii="Calibri" w:hAnsi="Calibri"/>
                <w:b/>
                <w:sz w:val="16"/>
                <w:color w:val="1B3A6B"/>
              </w:rPr>
              <w:t>108%</w:t>
            </w:r>
          </w:p>
          <w:p>
            <w:pPr>
              <w:jc w:val="center"/>
              <w:spacing w:after="40"/>
            </w:pPr>
            <w:r>
              <w:rPr>
                <w:rFonts w:ascii="Calibri" w:hAnsi="Calibri"/>
                <w:b/>
                <w:sz w:val="16"/>
                <w:color w:val="1B3A6B"/>
              </w:rPr>
              <w:t>Premium Increase 2018-2024</w:t>
            </w:r>
          </w:p>
        </w:tc>
        <w:tc>
          <w:tcPr>
            <w:tcW w:w="2268" w:type="dxa"/>
            <w:shd w:val="clear" w:color="auto" w:fill="E8F0FB"/>
            <w:vAlign w:val="center"/>
          </w:tcPr>
          <w:p>
            <w:pPr>
              <w:jc w:val="center"/>
              <w:spacing w:after="20" w:before="40"/>
            </w:pPr>
            <w:r>
              <w:rPr>
                <w:rFonts w:ascii="Calibri" w:hAnsi="Calibri"/>
                <w:b/>
                <w:sz w:val="16"/>
                <w:color w:val="1B3A6B"/>
              </w:rPr>
              <w:t>57%</w:t>
            </w:r>
          </w:p>
          <w:p>
            <w:pPr>
              <w:jc w:val="center"/>
              <w:spacing w:after="40"/>
            </w:pPr>
            <w:r>
              <w:rPr>
                <w:rFonts w:ascii="Calibri" w:hAnsi="Calibri"/>
                <w:b/>
                <w:sz w:val="16"/>
                <w:color w:val="1B3A6B"/>
              </w:rPr>
              <w:t>Growth in 65+ by 2040</w:t>
            </w:r>
          </w:p>
        </w:tc>
      </w:tr>
    </w:tbl>
    <w:p>
      <w:pPr>
        <w:spacing w:after="120"/>
        <w:keepNext w:val="false"/>
      </w:pPr>
    </w:p>
    <w:p>
      <w:pPr>
        <w:pStyle w:val="BodyText"/>
        <w:keepNext w:val="false"/>
      </w:pPr>
      <w:r>
        <w:t xml:space="preserve">Before examining the legislative sequence, it is worth stating plainly what the Oliver Wyman analysis concluded at the highest level of abstraction. After 230 meetings across Vermont’s 14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OLIVER WYMAN’S THREE IMPERATIVES</w:t>
            </w:r>
          </w:p>
          <w:p>
            <w:pPr>
              <w:spacing w:after="60" w:line="264" w:lineRule="auto"/>
            </w:pPr>
            <w:r>
              <w:rPr>
                <w:b/>
                <w:bCs/>
                <w:sz w:val="20"/>
                <w:szCs w:val="20"/>
              </w:rPr>
              <w:t xml:space="preserve">1. Fix the upstream drivers</w:t>
            </w:r>
            <w:r>
              <w:rPr>
                <w:sz w:val="20"/>
                <w:szCs w:val="20"/>
              </w:rPr>
              <w:t xml:space="preserve"> </w:t>
            </w:r>
            <w:r>
              <w:rPr>
                <w:sz w:val="20"/>
                <w:szCs w:val="20"/>
              </w:rPr>
              <w:t xml:space="preserve">— build housing and other facilities and fix transportation.</w:t>
            </w:r>
          </w:p>
          <w:p>
            <w:pPr>
              <w:spacing w:after="60" w:line="264" w:lineRule="auto"/>
            </w:pPr>
            <w:r>
              <w:rPr>
                <w:b/>
                <w:bCs/>
                <w:sz w:val="20"/>
                <w:szCs w:val="20"/>
              </w:rPr>
              <w:t xml:space="preserve">2. Fix the price and budget architecture</w:t>
            </w:r>
            <w:r>
              <w:rPr>
                <w:sz w:val="20"/>
                <w:szCs w:val="20"/>
              </w:rPr>
              <w:t xml:space="preserve"> </w:t>
            </w:r>
            <w:r>
              <w:rPr>
                <w:sz w:val="20"/>
                <w:szCs w:val="20"/>
              </w:rPr>
              <w:t xml:space="preserve">— pay PPS hospitals with reference-based pricing and move to global budgets/capitation for all when conditions for success are met.</w:t>
            </w:r>
          </w:p>
          <w:p>
            <w:pPr>
              <w:spacing w:after="60" w:line="264" w:lineRule="auto"/>
            </w:pPr>
            <w:r>
              <w:rPr>
                <w:b/>
                <w:bCs/>
                <w:sz w:val="20"/>
                <w:szCs w:val="20"/>
              </w:rPr>
              <w:t xml:space="preserve">3. Shift the locus of care</w:t>
            </w:r>
            <w:r>
              <w:rPr>
                <w:sz w:val="20"/>
                <w:szCs w:val="20"/>
              </w:rPr>
              <w:t xml:space="preserve"> </w:t>
            </w:r>
            <w:r>
              <w:rPr>
                <w:sz w:val="20"/>
                <w:szCs w:val="20"/>
              </w:rPr>
              <w:t xml:space="preserve">— move all care possible out of hospitals.</w:t>
            </w:r>
          </w:p>
        </w:tc>
      </w:tr>
    </w:tbl>
    <w:p>
      <w:pPr>
        <w:spacing w:after="120"/>
      </w:pPr>
    </w:p>
    <w:p>
      <w:pPr>
        <w:pStyle w:val="BodyText"/>
        <w:keepNext w:val="false"/>
      </w:pPr>
      <w:r>
        <w:t xml:space="preserve">These three imperatives are not a wish list. They are the analytically derived conclusion of a year-long process that examined every dimension of Vermont’s system. Each imperative maps directly onto the six-pillar framework: the housing and transportation imperative is an Equity and Operations pillar challenge;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six pillars — which is precisely why it is analytically instructive for any organization facing comparable pressures.</w:t>
      </w:r>
    </w:p>
    <w:p>
      <w:pPr>
        <w:pStyle w:val="BodyText"/>
        <w:keepNext w:val="false"/>
      </w:pPr>
      <w: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“More funding without structural change”</w:t>
            </w:r>
            <w:r>
              <w:rPr>
                <w:sz w:val="20"/>
                <w:szCs w:val="20"/>
              </w:rPr>
              <w:t xml:space="preserve"> </w:t>
            </w:r>
            <w:r>
              <w:rPr>
                <w:sz w:val="20"/>
                <w:szCs w:val="20"/>
              </w:rPr>
              <w:t xml:space="preserve">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p>
        </w:tc>
      </w:tr>
    </w:tbl>
    <w:p>
      <w:pPr>
        <w:spacing w:after="120"/>
      </w:pPr>
    </w:p>
    <w:p>
      <w:pPr>
        <w:pStyle w:val="Heading2"/>
        <w:pBdr>
          <w:top w:val="single" w:sz="6" w:space="10" w:color="C9D2DF"/>
        </w:pBdr>
      </w:pPr>
      <w:r>
        <w:rPr>
          <w:color w:val="161B22"/>
        </w:rPr>
        <w:t xml:space="preserve">2.3  </w:t>
      </w:r>
      <w:bookmarkStart w:id="1067" w:name="_Toc1066"/>
      <w:r>
        <w:rPr>
          <w:b/>
          <w:bCs/>
          <w:color w:val="161B22"/>
        </w:rPr>
        <w:t xml:space="preserve">The Platform for Change: Vermont’s System in Crisis</w:t>
      </w:r>
      <w:bookmarkEnd w:id="1067"/>
    </w:p>
    <w:p>
      <w:pPr>
        <w:pStyle w:val="FirstParagraph"/>
      </w:pPr>
      <w:r>
        <w:t xml:space="preserve">The Oliver Wyman report documented five interconnected challenge domains that constitute what it called the Platform for Change — the evidence base that makes transformation not just desirable but unavoidable. Each domain has precise, quantified data that the book’s previous draft understated. The full picture is considerably more alarming than most public discussion of Vermont healthcare acknowledges.</w:t>
      </w:r>
    </w:p>
    <w:p>
      <w:pPr>
        <w:pStyle w:val="Heading3"/>
      </w:pPr>
      <w:r>
        <w:rPr>
          <w:color w:val="161B22"/>
        </w:rPr>
        <w:t xml:space="preserve">2.3.1  </w:t>
      </w:r>
      <w:bookmarkStart w:id="1068" w:name="_Toc1067"/>
      <w:r>
        <w:rPr>
          <w:b/>
          <w:bCs/>
          <w:color w:val="161B22"/>
        </w:rPr>
        <w:t xml:space="preserve">Decreasing Affordability</w:t>
      </w:r>
      <w:bookmarkEnd w:id="1068"/>
    </w:p>
    <w:p>
      <w:pPr>
        <w:pStyle w:val="FirstParagraph"/>
      </w:pPr>
      <w:r>
        <w:t xml:space="preserve">Vermont’s healthcare cost trajectory has been disconnecting from household income for at least six years, with no natural correction mechanism in sight. Oliver Wyman documented that average premiums for silver exchange plans reached $985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grew 38% over the same period, compared to income growth of 22%. The gap is structural: hospital price growth has been running at two to three times income growth, and there is no market mechanism that closes this gap without regulatory intervention.</w:t>
      </w:r>
    </w:p>
    <w:p>
      <w:pPr>
        <w:pStyle w:val="BodyText"/>
      </w:pPr>
      <w:r>
        <w:t xml:space="preserve">The premium data from Vermont Blue Cross Blue Shield confirms and extends this picture. Average annual per-member-per-month medical and pharmacy costs rose from $481 in 2020 to $812 in 2024 for local claims — a 69% increase in four years. Out-of-pocket maximums doubled in five years. A 2025 state survey found that many Vermonters, even those with insurance, delay care due to fears of medical debt. The affordability crisis is no longer a risk on the horizon; it is a current condition affecting clinical behavior.</w:t>
      </w:r>
    </w:p>
    <w:p>
      <w:pPr>
        <w:pStyle w:val="Heading3"/>
      </w:pPr>
      <w:r>
        <w:rPr>
          <w:color w:val="161B22"/>
        </w:rPr>
        <w:t xml:space="preserve">2.3.2  </w:t>
      </w:r>
      <w:bookmarkStart w:id="1069" w:name="_Toc1068"/>
      <w:r>
        <w:rPr>
          <w:b/>
          <w:bCs/>
          <w:color w:val="161B22"/>
        </w:rPr>
        <w:t xml:space="preserve">Deteriorating Hospital Financial Sustainability</w:t>
      </w:r>
      <w:bookmarkEnd w:id="1069"/>
    </w:p>
    <w:p>
      <w:pPr>
        <w:pStyle w:val="FirstParagraph"/>
      </w:pPr>
      <w:r>
        <w:t xml:space="preserve">The financial projections in the Oliver Wyman report are the most important data in the entire Vermont reform story, and they need to be stated with the precision Oliver Wyman provided, not rounded down to reassuring generalities.</w:t>
      </w:r>
    </w:p>
    <w:p>
      <w:pPr>
        <w:pStyle w:val="BodyText"/>
      </w:pPr>
      <w: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This is before accounting for the fact that Vermont hospitals collectively requested $285 million in budget increases for FY25 versus FY24 alone, suggesting the conservative scenario may already be understated.</w:t>
      </w:r>
    </w:p>
    <w:p>
      <w:pPr>
        <w:pStyle w:val="BodyText"/>
        <w:keepNext w:val="false"/>
      </w:pPr>
      <w:r>
        <w:t xml:space="preserve">Under the more realistic scenario — accounting for 10% annual expense growth on non-physician labor, 7-8% growth on other operating expenses, and constrained revenue — the 5-year cumulative deficit reaches $2.4 billion against break-even, or $3.1 billion against a 3% operating margin. This is approximately $3,700 to $4,800 per Vermont resident over five years. The UVM Health Network, which accounts for more than half the state’s hospital capacity, faces $1.5 billion in cumulative deficits over five years in the high-expense scenario.</w:t>
      </w:r>
    </w:p>
    <w:p>
      <w:pPr>
        <w:pStyle w:val="BodyText"/>
        <w:keepNext w:val="false"/>
      </w:pPr>
      <w: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Hospital Financial Crisis by the Numbers</w:t>
            </w:r>
          </w:p>
          <w:p>
            <w:pPr>
              <w:spacing w:after="60" w:line="264" w:lineRule="auto"/>
            </w:pPr>
            <w:r>
              <w:rPr>
                <w:sz w:val="20"/>
                <w:szCs w:val="20"/>
              </w:rPr>
              <w:t xml:space="preserve">Oliver Wyman’s financial modeling established the quantitative case for urgent intervention. The key data points every healthcare leader and policymaker should know:</w:t>
            </w:r>
          </w:p>
          <w:p>
            <w:pPr>
              <w:numPr>
                <w:ilvl w:val="0"/>
                <w:numId w:val="1003"/>
              </w:numPr>
              <w:spacing w:after="60" w:line="264" w:lineRule="auto"/>
            </w:pPr>
            <w:r>
              <w:rPr>
                <w:sz w:val="20"/>
                <w:szCs w:val="20"/>
              </w:rPr>
              <w:t xml:space="preserve">9 of 14 Vermont hospitals reported operating losses in FY2023, with losses reaching -8.9%</w:t>
            </w:r>
          </w:p>
          <w:p>
            <w:pPr>
              <w:numPr>
                <w:ilvl w:val="0"/>
                <w:numId w:val="1003"/>
              </w:numPr>
              <w:spacing w:after="60" w:line="264" w:lineRule="auto"/>
            </w:pPr>
            <w:r>
              <w:rPr>
                <w:sz w:val="20"/>
                <w:szCs w:val="20"/>
              </w:rPr>
              <w:t xml:space="preserve">Under conservative assumptions (3.5% revenue growth, 5% expense growth): 13 of 14 hospitals report losses by 2028; $700M cumulative 5-year system deficit</w:t>
            </w:r>
          </w:p>
          <w:p>
            <w:pPr>
              <w:numPr>
                <w:ilvl w:val="0"/>
                <w:numId w:val="1003"/>
              </w:numPr>
              <w:spacing w:after="60" w:line="264" w:lineRule="auto"/>
            </w:pPr>
            <w:r>
              <w:rPr>
                <w:sz w:val="20"/>
                <w:szCs w:val="20"/>
              </w:rPr>
              <w:t xml:space="preserve">Under realistic assumptions (7-8% expense growth): $2.4B cumulative 5-year system deficit against break-even; $3.1B against 3% operating margin</w:t>
            </w:r>
          </w:p>
          <w:p>
            <w:pPr>
              <w:numPr>
                <w:ilvl w:val="0"/>
                <w:numId w:val="1003"/>
              </w:numPr>
              <w:spacing w:after="60" w:line="264" w:lineRule="auto"/>
            </w:pPr>
            <w:r>
              <w:rPr>
                <w:sz w:val="20"/>
                <w:szCs w:val="20"/>
              </w:rPr>
              <w:t xml:space="preserve">Vermont hospitals requested $285M in budget increases for FY25 vs. FY24 — suggesting the conservative scenario is already understated</w:t>
            </w:r>
          </w:p>
          <w:p>
            <w:pPr>
              <w:numPr>
                <w:ilvl w:val="0"/>
                <w:numId w:val="1003"/>
              </w:numPr>
              <w:spacing w:after="60" w:line="264" w:lineRule="auto"/>
            </w:pPr>
            <w:r>
              <w:rPr>
                <w:sz w:val="20"/>
                <w:szCs w:val="20"/>
              </w:rPr>
              <w:t xml:space="preserve">UVM Health Network alone faces $1.5B cumulative deficit over 5 years under the high-expense scenario</w:t>
            </w:r>
          </w:p>
          <w:p>
            <w:pPr>
              <w:numPr>
                <w:ilvl w:val="0"/>
                <w:numId w:val="1003"/>
              </w:numPr>
              <w:spacing w:after="60" w:line="264" w:lineRule="auto"/>
            </w:pPr>
            <w:r>
              <w:rPr>
                <w:sz w:val="20"/>
                <w:szCs w:val="20"/>
              </w:rPr>
              <w:t xml:space="preserve">Average silver exchange plan premium reached $985 in 2024 — a 108% increase in 6 years</w:t>
            </w:r>
          </w:p>
          <w:p>
            <w:pPr>
              <w:numPr>
                <w:ilvl w:val="0"/>
                <w:numId w:val="1003"/>
              </w:numPr>
              <w:spacing w:after="60" w:line="264" w:lineRule="auto"/>
            </w:pPr>
            <w:r>
              <w:rPr>
                <w:sz w:val="20"/>
                <w:szCs w:val="20"/>
              </w:rPr>
              <w:t xml:space="preserve">Out-of-pocket maximums more than doubled in 5 years</w:t>
            </w:r>
          </w:p>
          <w:p>
            <w:pPr>
              <w:numPr>
                <w:ilvl w:val="0"/>
                <w:numId w:val="1003"/>
              </w:numPr>
              <w:spacing w:after="60" w:line="264" w:lineRule="auto"/>
            </w:pPr>
            <w:r>
              <w:rPr>
                <w:sz w:val="20"/>
                <w:szCs w:val="20"/>
              </w:rPr>
              <w:t xml:space="preserve">Hospital charges grew 38% since 2018; median household income grew only 22%</w:t>
            </w:r>
          </w:p>
          <w:p>
            <w:pPr>
              <w:spacing w:after="60" w:line="264" w:lineRule="auto"/>
            </w:pPr>
            <w:r>
              <w:rPr>
                <w:sz w:val="20"/>
                <w:szCs w:val="20"/>
              </w:rPr>
              <w:t xml:space="preserve">These are not projections of modest stress. They are projections of systemic collapse without intervention. The entire Vermont legislative reform agenda from 2022 to 2025 is a response to this specific data.</w:t>
            </w:r>
          </w:p>
        </w:tc>
      </w:tr>
    </w:tbl>
    <w:p>
      <w:pPr>
        <w:spacing w:after="120"/>
      </w:pPr>
    </w:p>
    <w:p>
      <w:pPr>
        <w:pStyle w:val="Heading3"/>
      </w:pPr>
      <w:r>
        <w:rPr>
          <w:color w:val="161B22"/>
        </w:rPr>
        <w:t xml:space="preserve">2.3.3  </w:t>
      </w:r>
      <w:bookmarkStart w:id="1070" w:name="_Toc1069"/>
      <w:r>
        <w:rPr>
          <w:b/>
          <w:bCs/>
          <w:color w:val="161B22"/>
        </w:rPr>
        <w:t xml:space="preserve">The Demographic Trap</w:t>
      </w:r>
      <w:bookmarkEnd w:id="1070"/>
    </w:p>
    <w:p>
      <w:pPr>
        <w:pStyle w:val="FirstParagraph"/>
      </w:pPr>
      <w:r>
        <w:t xml:space="preserve">Vermont’s population dynamics create what Oliver Wyman called a demographic trap — a self-reinforcing cycle from which conventional market responses provide no escape. Vermont’s population is aging and shrinking simultaneously: the 65+ population is projected to increase 57% by 2040, rising from 21.7% in 2020 to exceed 30% of total population. The working-age population (20-64) will decline 13% by 2040, from 367,000 to 318,000. By the mid-2030s, Vermont will have nearly as many residents over 65 as under 20.</w:t>
      </w:r>
    </w:p>
    <w:p>
      <w:pPr>
        <w:pStyle w:val="BodyText"/>
      </w:pPr>
      <w: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pPr>
        <w:pStyle w:val="BodyText"/>
      </w:pPr>
      <w:r>
        <w:t xml:space="preserve">This dynamic operates at the hospital service area level, not just statewide. Oliver Wyman’s HSA-level projections showed that every service area except Burlington will experience population decline and aging — with the Northeast Kingdom (Caledonia, Essex, Orleans counties) facing the most severe trajectory. Newport’s 65+ population, already at higher proportions than statewide averages, will represent a majority of the HSA’s healthcare demand by 2040.</w:t>
      </w:r>
    </w:p>
    <w:p>
      <w:pPr>
        <w:pStyle w:val="Heading3"/>
      </w:pPr>
      <w:r>
        <w:rPr>
          <w:color w:val="161B22"/>
        </w:rPr>
        <w:t xml:space="preserve">2.3.4  </w:t>
      </w:r>
      <w:bookmarkStart w:id="1071" w:name="_Toc1070"/>
      <w:r>
        <w:rPr>
          <w:b/>
          <w:bCs/>
          <w:color w:val="161B22"/>
        </w:rPr>
        <w:t xml:space="preserve">The Interconnected Failure System</w:t>
      </w:r>
      <w:bookmarkEnd w:id="1071"/>
    </w:p>
    <w:p>
      <w:pPr>
        <w:pStyle w:val="FirstParagraph"/>
      </w:pPr>
      <w: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pPr>
        <w:pStyle w:val="BodyText"/>
      </w:pPr>
      <w: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pPr>
        <w:pStyle w:val="BodyText"/>
      </w:pPr>
      <w: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global budgets controls unit prices but allows volume to expand. Oliver Wyman’s three imperatives are formulated precisely to address the highest-leverage nodes simultaneously, not sequentially.</w:t>
      </w:r>
    </w:p>
    <w:p>
      <w:pPr>
        <w:pStyle w:val="Heading3"/>
      </w:pPr>
      <w:r>
        <w:rPr>
          <w:color w:val="161B22"/>
        </w:rPr>
        <w:t xml:space="preserve">2.3.5  </w:t>
      </w:r>
      <w:bookmarkStart w:id="1072" w:name="_Toc1071"/>
      <w:r>
        <w:rPr>
          <w:b/>
          <w:bCs/>
          <w:color w:val="161B22"/>
        </w:rPr>
        <w:t xml:space="preserve">Healthcare Equity Gaps</w:t>
      </w:r>
      <w:bookmarkEnd w:id="1072"/>
    </w:p>
    <w:p>
      <w:pPr>
        <w:pStyle w:val="FirstParagraph"/>
      </w:pPr>
      <w:r>
        <w:t xml:space="preserve">Oliver Wyman documented equity challenges across three categories that map directly onto the equity pillar’s disparity root cause taxonomy. Gaps in culturally competent care were the most frequently cited equity challenge in community meetings — particularly for patients who do not speak English as a first language, LGBTQ+ patients, patients with disabilities, and patients in rural communities with cultural mistrust of mainstream healthcare institutions. Vermont’s foreign-born population, while lower than the national average at 4.5%, is concentrated in Burlington and surrounding communities where language access remains inadequate relative to need.</w:t>
      </w:r>
    </w:p>
    <w:p>
      <w:pPr>
        <w:pStyle w:val="BodyText"/>
      </w:pPr>
      <w:r>
        <w:t xml:space="preserve">Gaps in workforce culture and psychological safety were the second category — not just about patients but about providers. Community meeting participants described weight bias, stigma, and a lack of diversity in clinical leadership that affects both care quality and staff retention. Keeping healthcare staff is a function of cost of living, inflation, and affordable housing, multiple stakeholders noted — connecting the workforce equity problem directly to the SDOH infrastructure problem.</w:t>
      </w:r>
    </w:p>
    <w:p>
      <w:pPr>
        <w:pStyle w:val="BodyText"/>
      </w:pPr>
      <w: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patients must navigate 31 EMS agencies for transfers, and that no centralized system guides patients through the coverage and financial assistance they are entitled to.</w:t>
      </w:r>
    </w:p>
    <w:p>
      <w:pPr>
        <w:pStyle w:val="Heading2"/>
        <w:pBdr>
          <w:top w:val="single" w:sz="6" w:space="10" w:color="C9D2DF"/>
        </w:pBdr>
        <w:keepNext w:val="false"/>
      </w:pPr>
      <w:r>
        <w:rPr>
          <w:color w:val="161B22"/>
        </w:rPr>
        <w:t xml:space="preserve">2.4  </w:t>
      </w:r>
      <w:bookmarkStart w:id="1073" w:name="_Toc1072"/>
      <w:r>
        <w:rPr>
          <w:b/>
          <w:bCs/>
          <w:color w:val="161B22"/>
        </w:rPr>
        <w:t xml:space="preserve">The Perception vs. Reality Problem</w:t>
      </w:r>
      <w:bookmarkEnd w:id="1073"/>
    </w:p>
    <w:p>
      <w:pPr>
        <w:pStyle w:val="FirstParagraph"/>
        <w:keepNext w:val="false"/>
      </w:pPr>
      <w: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HTRTable"/>
        <w:tblLook w:firstRow="1" w:lastRow="0" w:firstColumn="0" w:lastColumn="0" w:noHBand="0" w:noVBand="1" w:val="0020"/>
        <w:tblW w:w="9072" w:type="dxa"/>
        <w:tblLayout w:type="fixed"/>
      </w:tblPr>
      <w:tblGrid>
        <w:gridCol w:w="2625"/>
        <w:gridCol w:w="6450"/>
      </w:tblGrid>
      <w:tr>
        <w:trPr>
          <w:tblHeader w:val="on"/>
          <w:cantSplit/>
        </w:trPr>
        <w:tc>
          <w:tcPr>
            <w:shd w:val="clear" w:color="auto" w:fill="1B3A6B"/>
            <w:tcW w:w="2625" w:type="dxa"/>
          </w:tcPr>
          <w:p>
            <w:pPr>
              <w:pStyle w:val="Compact"/>
              <w:jc w:val="left"/>
            </w:pPr>
            <w:r>
              <w:rPr>
                <w:b/>
                <w:color w:val="FFFFFF"/>
                <w:sz w:val="18"/>
              </w:rPr>
              <w:t xml:space="preserve">Common perception</w:t>
            </w:r>
          </w:p>
        </w:tc>
        <w:tc>
          <w:tcPr>
            <w:shd w:val="clear" w:color="auto" w:fill="1B3A6B"/>
            <w:tcW w:w="6450" w:type="dxa"/>
          </w:tcPr>
          <w:p>
            <w:pPr>
              <w:pStyle w:val="Compact"/>
              <w:jc w:val="left"/>
            </w:pPr>
            <w:r>
              <w:rPr>
                <w:b/>
                <w:color w:val="FFFFFF"/>
                <w:sz w:val="18"/>
              </w:rPr>
              <w:t xml:space="preserve">What the data actually shows</w:t>
            </w:r>
          </w:p>
        </w:tc>
      </w:tr>
      <w:tr>
        <w:trPr>
          <w:cantSplit/>
        </w:trPr>
        <w:tc>
          <w:tcPr>
            <w:tcW w:w="2625" w:type="dxa"/>
          </w:tcPr>
          <w:p>
            <w:pPr>
              <w:pStyle w:val="Compact"/>
              <w:jc w:val="left"/>
            </w:pPr>
            <w:r>
              <w:rPr>
                <w:sz w:val="18"/>
              </w:rPr>
              <w:t xml:space="preserve">Vermont has an</w:t>
            </w:r>
            <w:r>
              <w:rPr>
                <w:sz w:val="18"/>
              </w:rPr>
              <w:t xml:space="preserve"> </w:t>
            </w:r>
            <w:r>
              <w:rPr>
                <w:sz w:val="18"/>
              </w:rPr>
              <w:t xml:space="preserve">‘All Payer’</w:t>
            </w:r>
            <w:r>
              <w:rPr>
                <w:sz w:val="18"/>
              </w:rPr>
              <w:t xml:space="preserve"> </w:t>
            </w:r>
            <w:r>
              <w:rPr>
                <w:sz w:val="18"/>
              </w:rPr>
              <w:t xml:space="preserve">model</w:t>
            </w:r>
          </w:p>
        </w:tc>
        <w:tc>
          <w:tcPr>
            <w:tcW w:w="6450" w:type="dxa"/>
          </w:tcPr>
          <w:p>
            <w:pPr>
              <w:pStyle w:val="Compact"/>
              <w:jc w:val="left"/>
            </w:pPr>
            <w:r>
              <w:rPr>
                <w:sz w:val="18"/>
              </w:rPr>
              <w:t xml:space="preserve">The</w:t>
            </w:r>
            <w:r>
              <w:rPr>
                <w:sz w:val="18"/>
              </w:rPr>
              <w:t xml:space="preserve"> </w:t>
            </w:r>
            <w:r>
              <w:rPr>
                <w:sz w:val="18"/>
              </w:rPr>
              <w:t xml:space="preserve">‘All Payer’</w:t>
            </w:r>
            <w:r>
              <w:rPr>
                <w:sz w:val="18"/>
              </w:rPr>
              <w:t xml:space="preserve"> </w:t>
            </w:r>
            <w:r>
              <w:rPr>
                <w:sz w:val="18"/>
              </w:rPr>
              <w:t xml:space="preserve">system does not include FFS Medicare or approximately 40% of commercially insured Vermonters. It covers a minority of total healthcare spending.</w:t>
            </w:r>
          </w:p>
        </w:tc>
      </w:tr>
      <w:tr>
        <w:trPr/>
        <w:tc>
          <w:tcPr>
            <w:tcW w:w="2625" w:type="dxa"/>
          </w:tcPr>
          <w:p>
            <w:pPr>
              <w:pStyle w:val="Compact"/>
              <w:jc w:val="left"/>
            </w:pPr>
            <w:r>
              <w:rPr>
                <w:sz w:val="18"/>
              </w:rPr>
              <w:t xml:space="preserve">Vermont has a statewide ACO (OneCare)</w:t>
            </w:r>
          </w:p>
        </w:tc>
        <w:tc>
          <w:tcPr>
            <w:tcW w:w="6450" w:type="dxa"/>
          </w:tcPr>
          <w:p>
            <w:pPr>
              <w:pStyle w:val="Compact"/>
              <w:jc w:val="left"/>
            </w:pPr>
            <w:r>
              <w:rPr>
                <w:sz w:val="18"/>
              </w:rPr>
              <w:t xml:space="preserve">OneCare participation is voluntary and does not include several hospitals or many community-based providers. OneCare has been unable to provide the information needed to guide patient care and anticipate needs.</w:t>
            </w:r>
          </w:p>
        </w:tc>
      </w:tr>
      <w:tr>
        <w:trPr/>
        <w:tc>
          <w:tcPr>
            <w:tcW w:w="2625" w:type="dxa"/>
          </w:tcPr>
          <w:p>
            <w:pPr>
              <w:pStyle w:val="Compact"/>
              <w:jc w:val="left"/>
            </w:pPr>
            <w:r>
              <w:rPr>
                <w:sz w:val="18"/>
              </w:rPr>
              <w:t xml:space="preserve">Vermont has a functioning State HIE (VITL)</w:t>
            </w:r>
          </w:p>
        </w:tc>
        <w:tc>
          <w:tcPr>
            <w:tcW w:w="6450" w:type="dxa"/>
          </w:tcPr>
          <w:p>
            <w:pPr>
              <w:pStyle w:val="Compact"/>
              <w:jc w:val="left"/>
            </w:pPr>
            <w:r>
              <w:rPr>
                <w:sz w:val="18"/>
              </w:rPr>
              <w:t xml:space="preserve">Participation in VITL is voluntary and many community-based providers are not included. VITL lacks pharmacy claims data and is not viewed as user-friendly by providers.</w:t>
            </w:r>
          </w:p>
        </w:tc>
      </w:tr>
      <w:tr>
        <w:trPr>
          <w:cantSplit/>
        </w:trPr>
        <w:tc>
          <w:tcPr>
            <w:tcW w:w="2625" w:type="dxa"/>
          </w:tcPr>
          <w:p>
            <w:pPr>
              <w:pStyle w:val="Compact"/>
              <w:jc w:val="left"/>
            </w:pPr>
            <w:r>
              <w:rPr>
                <w:sz w:val="18"/>
              </w:rPr>
              <w:t xml:space="preserve">Vermont does not have enough primary care providers</w:t>
            </w:r>
          </w:p>
        </w:tc>
        <w:tc>
          <w:tcPr>
            <w:tcW w:w="6450" w:type="dxa"/>
          </w:tcPr>
          <w:p>
            <w:pPr>
              <w:pStyle w:val="Compact"/>
              <w:jc w:val="left"/>
            </w:pPr>
            <w:r>
              <w:rPr>
                <w:sz w:val="18"/>
              </w:rPr>
              <w:t xml:space="preserve">If primary care providers were supported to see 3 patients per hour, there are enough for well into the future. HRSA recognizes no Health Profession Shortage Areas in Vermont. The problem is productivity and practice model, not pure headcount.</w:t>
            </w:r>
          </w:p>
        </w:tc>
      </w:tr>
    </w:tbl>
    <w:p>
      <w:pPr>
        <w:pStyle w:val="Caption"/>
        <w:spacing w:before="120"/>
      </w:pPr>
      <w:r>
        <w:rPr>
          <w:i/>
          <w:iCs/>
        </w:rPr>
        <w:t xml:space="preserve">Figure 2.1 — Common perceptions of Vermont’s health system versus the data. Source: Oliver Wyman Act 167 Report; GMCB.</w:t>
      </w:r>
    </w:p>
    <w:p>
      <w:pPr>
        <w:pStyle w:val="BodyText"/>
      </w:pPr>
      <w: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pPr>
        <w:pStyle w:val="Heading2"/>
        <w:pBdr>
          <w:top w:val="single" w:sz="6" w:space="10" w:color="C9D2DF"/>
        </w:pBdr>
      </w:pPr>
      <w:r>
        <w:rPr>
          <w:color w:val="161B22"/>
        </w:rPr>
        <w:t xml:space="preserve">2.5  </w:t>
      </w:r>
      <w:bookmarkStart w:id="1074" w:name="_Toc1073"/>
      <w:r>
        <w:rPr>
          <w:b/>
          <w:bCs/>
          <w:color w:val="161B22"/>
        </w:rPr>
        <w:t xml:space="preserve">Act 167 (2022): The Diagnostic Mandate</w:t>
      </w:r>
      <w:bookmarkEnd w:id="1074"/>
    </w:p>
    <w:p>
      <w:pPr>
        <w:pStyle w:val="FirstParagraph"/>
      </w:pPr>
      <w: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pPr>
        <w:pStyle w:val="Heading3"/>
      </w:pPr>
      <w:r>
        <w:rPr>
          <w:color w:val="161B22"/>
        </w:rPr>
        <w:t xml:space="preserve">2.5.1  </w:t>
      </w:r>
      <w:bookmarkStart w:id="1075" w:name="_Toc1074"/>
      <w:r>
        <w:rPr>
          <w:b/>
          <w:bCs/>
          <w:color w:val="161B22"/>
        </w:rPr>
        <w:t xml:space="preserve">The Oliver Wyman Process: A Template for System-Level Reform</w:t>
      </w:r>
      <w:bookmarkEnd w:id="1075"/>
    </w:p>
    <w:p>
      <w:pPr>
        <w:pStyle w:val="FirstParagraph"/>
      </w:pPr>
      <w:r>
        <w:t xml:space="preserve">GMCB contracted with Oliver Wyman at a fixed price of $1,050,000 for work running from August 2023 through September 2024. The scale of the engagement was unusual for a state of Vermont’s size: over 230 meetings across all 14 Hospital Service Areas, involving more than 3,100 participants from over 100 organizations. Meeting types included 57 sessions with hospital leadership and boards, 45 sessions with state partners, 50 public HSA-level community meetings averaging 68 participants each, 35 provider meetings, and 15 sessions specifically designed to reach diverse populations whose voices are typically absent from healthcare planning processes.</w:t>
      </w:r>
    </w:p>
    <w:p>
      <w:pPr>
        <w:pStyle w:val="BodyText"/>
      </w:pPr>
      <w: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pPr>
        <w:pStyle w:val="BodyText"/>
      </w:pPr>
      <w: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pPr>
        <w:pStyle w:val="Heading3"/>
      </w:pPr>
      <w:r>
        <w:rPr>
          <w:color w:val="161B22"/>
        </w:rPr>
        <w:t xml:space="preserve">2.5.2  </w:t>
      </w:r>
      <w:bookmarkStart w:id="1076" w:name="_Toc1075"/>
      <w:r>
        <w:rPr>
          <w:b/>
          <w:bCs/>
          <w:color w:val="161B22"/>
        </w:rPr>
        <w:t xml:space="preserve">The Five Act 167 Goals as an Accountability Framework</w:t>
      </w:r>
      <w:bookmarkEnd w:id="1076"/>
    </w:p>
    <w:p>
      <w:pPr>
        <w:pStyle w:val="FirstParagraph"/>
        <w:keepNext w:val="false"/>
      </w:pPr>
      <w: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pPr>
        <w:pStyle w:val="BodyText"/>
        <w:keepNext w:val="false"/>
      </w:pPr>
      <w: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explicitly maps each proposed initiative to them. When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Oliver Wyman’s Priority Action Lists for 2025</w:t>
            </w:r>
          </w:p>
          <w:p>
            <w:pPr>
              <w:spacing w:after="60" w:line="264" w:lineRule="auto"/>
            </w:pPr>
            <w:r>
              <w:rPr>
                <w:sz w:val="20"/>
                <w:szCs w:val="20"/>
              </w:rPr>
              <w:t xml:space="preserve">The Oliver Wyman report concluded with explicit priority action lists for each actor in Vermont’s governance system — one of the most operationally specific outputs of any state healthcare consulting engagement on record. These lists were published in September 2024; their implementation status one year later is a direct measure of Vermont’s reform momentum.</w:t>
            </w:r>
          </w:p>
          <w:p>
            <w:pPr>
              <w:spacing w:after="60" w:line="264" w:lineRule="auto"/>
            </w:pPr>
            <w:r>
              <w:rPr>
                <w:sz w:val="20"/>
                <w:szCs w:val="20"/>
              </w:rPr>
              <w:t xml:space="preserve">Priority legislative changes for the Vermont General Assembly:</w:t>
            </w:r>
          </w:p>
          <w:p>
            <w:pPr>
              <w:numPr>
                <w:ilvl w:val="0"/>
                <w:numId w:val="1004"/>
              </w:numPr>
              <w:spacing w:after="60" w:line="264" w:lineRule="auto"/>
            </w:pPr>
            <w:r>
              <w:rPr>
                <w:sz w:val="20"/>
                <w:szCs w:val="20"/>
              </w:rPr>
              <w:t xml:space="preserve">Remove barriers to building affordable housing for Vermont residents and newcomers</w:t>
            </w:r>
          </w:p>
          <w:p>
            <w:pPr>
              <w:numPr>
                <w:ilvl w:val="0"/>
                <w:numId w:val="1004"/>
              </w:numPr>
              <w:spacing w:after="60" w:line="264" w:lineRule="auto"/>
            </w:pPr>
            <w:r>
              <w:rPr>
                <w:sz w:val="20"/>
                <w:szCs w:val="20"/>
              </w:rPr>
              <w:t xml:space="preserve">Approve funding for EMS transformation</w:t>
            </w:r>
          </w:p>
          <w:p>
            <w:pPr>
              <w:numPr>
                <w:ilvl w:val="0"/>
                <w:numId w:val="1004"/>
              </w:numPr>
              <w:spacing w:after="60" w:line="264" w:lineRule="auto"/>
            </w:pPr>
            <w:r>
              <w:rPr>
                <w:sz w:val="20"/>
                <w:szCs w:val="20"/>
              </w:rPr>
              <w:t xml:space="preserve">Expand broadband coverage to rural areas</w:t>
            </w:r>
          </w:p>
          <w:p>
            <w:pPr>
              <w:numPr>
                <w:ilvl w:val="0"/>
                <w:numId w:val="1004"/>
              </w:numPr>
              <w:spacing w:after="60" w:line="264" w:lineRule="auto"/>
            </w:pPr>
            <w:r>
              <w:rPr>
                <w:sz w:val="20"/>
                <w:szCs w:val="20"/>
              </w:rPr>
              <w:t xml:space="preserve">Review existing AHS agency structure and program list to identify overlaps and efficiency opportunities</w:t>
            </w:r>
          </w:p>
          <w:p>
            <w:pPr>
              <w:numPr>
                <w:ilvl w:val="0"/>
                <w:numId w:val="1004"/>
              </w:numPr>
              <w:spacing w:after="60" w:line="264" w:lineRule="auto"/>
            </w:pPr>
            <w:r>
              <w:rPr>
                <w:sz w:val="20"/>
                <w:szCs w:val="20"/>
              </w:rPr>
              <w:t xml:space="preserve">Develop state regulations for Rural Emergency Hospital and free-standing birthing center designations</w:t>
            </w:r>
          </w:p>
          <w:p>
            <w:pPr>
              <w:numPr>
                <w:ilvl w:val="0"/>
                <w:numId w:val="1004"/>
              </w:numPr>
              <w:spacing w:after="60" w:line="264" w:lineRule="auto"/>
            </w:pPr>
            <w:r>
              <w:rPr>
                <w:sz w:val="20"/>
                <w:szCs w:val="20"/>
              </w:rPr>
              <w:t xml:space="preserve">Expand professional licensure and practice scope for nurses, EMTs, and pharmacists</w:t>
            </w:r>
          </w:p>
          <w:p>
            <w:pPr>
              <w:numPr>
                <w:ilvl w:val="0"/>
                <w:numId w:val="1004"/>
              </w:numPr>
              <w:spacing w:after="60" w:line="264" w:lineRule="auto"/>
            </w:pPr>
            <w:r>
              <w:rPr>
                <w:sz w:val="20"/>
                <w:szCs w:val="20"/>
              </w:rPr>
              <w:t xml:space="preserve">Regionalize specialty care services across hospitals</w:t>
            </w:r>
          </w:p>
          <w:p>
            <w:pPr>
              <w:numPr>
                <w:ilvl w:val="0"/>
                <w:numId w:val="1004"/>
              </w:numPr>
              <w:spacing w:after="60" w:line="264" w:lineRule="auto"/>
            </w:pPr>
            <w:r>
              <w:rPr>
                <w:sz w:val="20"/>
                <w:szCs w:val="20"/>
              </w:rPr>
              <w:t xml:space="preserve">Professionalize and regionalize EMS</w:t>
            </w:r>
          </w:p>
          <w:p>
            <w:pPr>
              <w:numPr>
                <w:ilvl w:val="0"/>
                <w:numId w:val="1004"/>
              </w:numPr>
              <w:spacing w:after="60" w:line="264" w:lineRule="auto"/>
            </w:pPr>
            <w:r>
              <w:rPr>
                <w:sz w:val="20"/>
                <w:szCs w:val="20"/>
              </w:rPr>
              <w:t xml:space="preserve">Improve care coordination for heavy utilizers — elderly, mental health, neuro-divergent, and foster care populations</w:t>
            </w:r>
          </w:p>
          <w:p>
            <w:pPr>
              <w:numPr>
                <w:ilvl w:val="0"/>
                <w:numId w:val="1004"/>
              </w:numPr>
              <w:spacing w:after="60" w:line="264" w:lineRule="auto"/>
            </w:pPr>
            <w:r>
              <w:rPr>
                <w:sz w:val="20"/>
                <w:szCs w:val="20"/>
              </w:rPr>
              <w:t xml:space="preserve">Develop dual-eligible targeting, care planning, and coordination</w:t>
            </w:r>
          </w:p>
          <w:p>
            <w:pPr>
              <w:numPr>
                <w:ilvl w:val="0"/>
                <w:numId w:val="1004"/>
              </w:numPr>
              <w:spacing w:after="60" w:line="264" w:lineRule="auto"/>
            </w:pPr>
            <w:r>
              <w:rPr>
                <w:sz w:val="20"/>
                <w:szCs w:val="20"/>
              </w:rPr>
              <w:t xml:space="preserve">Coordinate and optimize statewide electronic medical record systems</w:t>
            </w:r>
          </w:p>
          <w:p>
            <w:pPr>
              <w:numPr>
                <w:ilvl w:val="0"/>
                <w:numId w:val="1004"/>
              </w:numPr>
              <w:spacing w:after="60" w:line="264" w:lineRule="auto"/>
            </w:pPr>
            <w:r>
              <w:rPr>
                <w:sz w:val="20"/>
                <w:szCs w:val="20"/>
              </w:rPr>
              <w:t xml:space="preserve">Permit no further increases in commercial subsidization for hospital financial shortfalls</w:t>
            </w:r>
          </w:p>
          <w:p>
            <w:pPr>
              <w:numPr>
                <w:ilvl w:val="0"/>
                <w:numId w:val="1004"/>
              </w:numPr>
              <w:spacing w:after="60" w:line="264" w:lineRule="auto"/>
            </w:pPr>
            <w:r>
              <w:rPr>
                <w:sz w:val="20"/>
                <w:szCs w:val="20"/>
              </w:rPr>
              <w:t xml:space="preserve">Refrain from licensing any further hospital-based outpatient department units</w:t>
            </w:r>
          </w:p>
          <w:p>
            <w:pPr>
              <w:numPr>
                <w:ilvl w:val="0"/>
                <w:numId w:val="1004"/>
              </w:numPr>
              <w:spacing w:after="60" w:line="264" w:lineRule="auto"/>
            </w:pPr>
            <w:r>
              <w:rPr>
                <w:sz w:val="20"/>
                <w:szCs w:val="20"/>
              </w:rPr>
              <w:t xml:space="preserve">Simplify and shorten the Certificate of Need process</w:t>
            </w:r>
          </w:p>
          <w:p>
            <w:pPr>
              <w:numPr>
                <w:ilvl w:val="0"/>
                <w:numId w:val="1004"/>
              </w:numPr>
              <w:spacing w:after="60" w:line="264" w:lineRule="auto"/>
            </w:pPr>
            <w:r>
              <w:rPr>
                <w:sz w:val="20"/>
                <w:szCs w:val="20"/>
              </w:rPr>
              <w:t xml:space="preserve">Encourage free-standing diagnostic, ambulatory surgical, and birthing centers</w:t>
            </w:r>
          </w:p>
          <w:p>
            <w:pPr>
              <w:numPr>
                <w:ilvl w:val="0"/>
                <w:numId w:val="1004"/>
              </w:numPr>
              <w:spacing w:after="60" w:line="264" w:lineRule="auto"/>
            </w:pPr>
            <w:r>
              <w:rPr>
                <w:sz w:val="20"/>
                <w:szCs w:val="20"/>
              </w:rPr>
              <w:t xml:space="preserve">Begin movement to reference-based pricing, ideally at 200% of Medicare or less for PPS hospitals</w:t>
            </w:r>
          </w:p>
          <w:p>
            <w:pPr>
              <w:numPr>
                <w:ilvl w:val="0"/>
                <w:numId w:val="1004"/>
              </w:numPr>
              <w:spacing w:after="60" w:line="264" w:lineRule="auto"/>
            </w:pPr>
            <w:r>
              <w:rPr>
                <w:sz w:val="20"/>
                <w:szCs w:val="20"/>
              </w:rPr>
              <w:t xml:space="preserve">Require all hospitals to use the same accounting agency and method for budget submissions</w:t>
            </w:r>
          </w:p>
          <w:p>
            <w:pPr>
              <w:spacing w:after="60" w:line="264" w:lineRule="auto"/>
            </w:pPr>
            <w:r>
              <w:rPr>
                <w:sz w:val="20"/>
                <w:szCs w:val="20"/>
              </w:rPr>
              <w:t xml:space="preserve">The alignment between this list and what Act 68 subsequently mandated is not coincidental. The Oliver Wyman recommendations are the intellectual source material for Act 68’s operative provisions.</w:t>
            </w:r>
          </w:p>
        </w:tc>
      </w:tr>
    </w:tbl>
    <w:p>
      <w:pPr>
        <w:spacing w:after="120"/>
      </w:pPr>
    </w:p>
    <w:p>
      <w:pPr>
        <w:pStyle w:val="Heading2"/>
        <w:pBdr>
          <w:top w:val="single" w:sz="6" w:space="10" w:color="C9D2DF"/>
        </w:pBdr>
      </w:pPr>
      <w:r>
        <w:rPr>
          <w:color w:val="161B22"/>
        </w:rPr>
        <w:t xml:space="preserve">2.6  </w:t>
      </w:r>
      <w:bookmarkStart w:id="1077" w:name="_Toc1076"/>
      <w:r>
        <w:rPr>
          <w:b/>
          <w:bCs/>
          <w:color w:val="161B22"/>
        </w:rPr>
        <w:t xml:space="preserve">The Oliver Wyman System Redesign Blueprint</w:t>
      </w:r>
      <w:bookmarkEnd w:id="1077"/>
    </w:p>
    <w:p>
      <w:pPr>
        <w:pStyle w:val="FirstParagraph"/>
      </w:pPr>
      <w:r>
        <w:t xml:space="preserve">The Oliver Wyman report’s most detailed section — running from pages 32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pPr>
        <w:pStyle w:val="Heading3"/>
      </w:pPr>
      <w:r>
        <w:rPr>
          <w:color w:val="161B22"/>
        </w:rPr>
        <w:t xml:space="preserve">2.6.1  </w:t>
      </w:r>
      <w:bookmarkStart w:id="1078" w:name="_Toc1077"/>
      <w:r>
        <w:rPr>
          <w:b/>
          <w:bCs/>
          <w:color w:val="161B22"/>
        </w:rPr>
        <w:t xml:space="preserve">State-Level Recommendations: Infrastructure and Governance</w:t>
      </w:r>
      <w:bookmarkEnd w:id="1078"/>
    </w:p>
    <w:p>
      <w:pPr>
        <w:pStyle w:val="FirstParagraph"/>
      </w:pPr>
      <w:r>
        <w:t xml:space="preserve">At the state level, Oliver Wyman identified four domains of foundational infrastructure that hospital transformation cannot succeed without, regardless of payment model or clinical redesign. These recommendations are addressed primarily to AHS and the Vermont General Assembly, not to hospitals themselves.</w:t>
      </w:r>
    </w:p>
    <w:p>
      <w:pPr>
        <w:pStyle w:val="BodyText"/>
      </w:pPr>
      <w: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AHS’s own restructuring mandate under Act 68.</w:t>
      </w:r>
    </w:p>
    <w:p>
      <w:pPr>
        <w:pStyle w:val="BodyText"/>
      </w:pPr>
      <w: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pPr>
        <w:pStyle w:val="BodyText"/>
      </w:pPr>
      <w: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pPr>
        <w:pStyle w:val="BodyText"/>
      </w:pPr>
      <w: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pPr>
        <w:pStyle w:val="Heading3"/>
      </w:pPr>
      <w:r>
        <w:rPr>
          <w:color w:val="161B22"/>
        </w:rPr>
        <w:t xml:space="preserve">2.6.2  </w:t>
      </w:r>
      <w:bookmarkStart w:id="1079" w:name="_Toc1078"/>
      <w:r>
        <w:rPr>
          <w:b/>
          <w:bCs/>
          <w:color w:val="161B22"/>
        </w:rPr>
        <w:t xml:space="preserve">System-Level Recommendations: Regionalization</w:t>
      </w:r>
      <w:bookmarkEnd w:id="1079"/>
    </w:p>
    <w:p>
      <w:pPr>
        <w:pStyle w:val="FirstParagraph"/>
        <w:keepNext w:val="false"/>
      </w:pPr>
      <w: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pPr>
        <w:pStyle w:val="BodyText"/>
        <w:keepNext w:val="false"/>
      </w:pPr>
      <w:r>
        <w:t xml:space="preserve">Oliver Wyman developed specific COE assignments for 10 of Vermont’s 13 current Hospital Service Areas across 24 specialty categories.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HTRTable"/>
        <w:tblLook w:firstRow="1" w:lastRow="0" w:firstColumn="0" w:lastColumn="0" w:noHBand="0" w:noVBand="1" w:val="0020"/>
        <w:tblW w:w="9072" w:type="dxa"/>
        <w:tblLayout w:type="fixed"/>
      </w:tblPr>
      <w:tblGrid>
        <w:gridCol w:w="3195"/>
        <w:gridCol w:w="945"/>
        <w:gridCol w:w="4935"/>
      </w:tblGrid>
      <w:tr>
        <w:trPr>
          <w:tblHeader w:val="on"/>
          <w:cantSplit/>
        </w:trPr>
        <w:tc>
          <w:tcPr>
            <w:shd w:val="clear" w:color="auto" w:fill="1B3A6B"/>
            <w:tcW w:w="3195" w:type="dxa"/>
          </w:tcPr>
          <w:p>
            <w:pPr>
              <w:pStyle w:val="Compact"/>
              <w:jc w:val="left"/>
            </w:pPr>
            <w:r>
              <w:rPr>
                <w:b/>
                <w:color w:val="FFFFFF"/>
                <w:sz w:val="18"/>
              </w:rPr>
              <w:t xml:space="preserve">Hospital</w:t>
            </w:r>
          </w:p>
        </w:tc>
        <w:tc>
          <w:tcPr>
            <w:shd w:val="clear" w:color="auto" w:fill="1B3A6B"/>
            <w:tcW w:w="945" w:type="dxa"/>
          </w:tcPr>
          <w:p>
            <w:pPr>
              <w:pStyle w:val="Compact"/>
              <w:jc w:val="left"/>
            </w:pPr>
            <w:r>
              <w:rPr>
                <w:b/>
                <w:color w:val="FFFFFF"/>
                <w:sz w:val="18"/>
              </w:rPr>
              <w:t xml:space="preserve">COE Count</w:t>
            </w:r>
          </w:p>
        </w:tc>
        <w:tc>
          <w:tcPr>
            <w:shd w:val="clear" w:color="auto" w:fill="1B3A6B"/>
            <w:tcW w:w="4935" w:type="dxa"/>
          </w:tcPr>
          <w:p>
            <w:pPr>
              <w:pStyle w:val="Compact"/>
              <w:jc w:val="left"/>
            </w:pPr>
            <w:r>
              <w:rPr>
                <w:b/>
                <w:color w:val="FFFFFF"/>
                <w:sz w:val="18"/>
              </w:rPr>
              <w:t xml:space="preserve">Key Specialties</w:t>
            </w:r>
          </w:p>
        </w:tc>
      </w:tr>
      <w:tr>
        <w:trPr>
          <w:cantSplit/>
        </w:trPr>
        <w:tc>
          <w:tcPr>
            <w:tcW w:w="3195" w:type="dxa"/>
          </w:tcPr>
          <w:p>
            <w:pPr>
              <w:pStyle w:val="Compact"/>
              <w:jc w:val="left"/>
            </w:pPr>
            <w:r>
              <w:rPr>
                <w:sz w:val="18"/>
              </w:rPr>
              <w:t xml:space="preserve">UVM Medical Center (Burlington)</w:t>
            </w:r>
          </w:p>
        </w:tc>
        <w:tc>
          <w:tcPr>
            <w:tcW w:w="945" w:type="dxa"/>
          </w:tcPr>
          <w:p>
            <w:pPr>
              <w:pStyle w:val="Compact"/>
              <w:jc w:val="left"/>
            </w:pPr>
            <w:r>
              <w:rPr>
                <w:sz w:val="18"/>
              </w:rPr>
              <w:t xml:space="preserve">16</w:t>
            </w:r>
          </w:p>
        </w:tc>
        <w:tc>
          <w:tcPr>
            <w:tcW w:w="4935" w:type="dxa"/>
          </w:tcPr>
          <w:p>
            <w:pPr>
              <w:pStyle w:val="Compact"/>
              <w:jc w:val="left"/>
            </w:pPr>
            <w:r>
              <w:rPr>
                <w:sz w:val="18"/>
              </w:rPr>
              <w:t xml:space="preserve">Cancer (complex), neurology, women’s health, rehabilitation, most surgical specialties</w:t>
            </w:r>
          </w:p>
        </w:tc>
      </w:tr>
      <w:tr>
        <w:trPr/>
        <w:tc>
          <w:tcPr>
            <w:tcW w:w="3195" w:type="dxa"/>
          </w:tcPr>
          <w:p>
            <w:pPr>
              <w:pStyle w:val="Compact"/>
              <w:jc w:val="left"/>
            </w:pPr>
            <w:r>
              <w:rPr>
                <w:sz w:val="18"/>
              </w:rPr>
              <w:t xml:space="preserve">Southwestern VT Medical Center (Bennington)</w:t>
            </w:r>
          </w:p>
        </w:tc>
        <w:tc>
          <w:tcPr>
            <w:tcW w:w="945" w:type="dxa"/>
          </w:tcPr>
          <w:p>
            <w:pPr>
              <w:pStyle w:val="Compact"/>
              <w:jc w:val="left"/>
            </w:pPr>
            <w:r>
              <w:rPr>
                <w:sz w:val="18"/>
              </w:rPr>
              <w:t xml:space="preserve">9</w:t>
            </w:r>
          </w:p>
        </w:tc>
        <w:tc>
          <w:tcPr>
            <w:tcW w:w="4935" w:type="dxa"/>
          </w:tcPr>
          <w:p>
            <w:pPr>
              <w:pStyle w:val="Compact"/>
              <w:jc w:val="left"/>
            </w:pPr>
            <w:r>
              <w:rPr>
                <w:sz w:val="18"/>
              </w:rPr>
              <w:t xml:space="preserve">Cancer surgery (non-complex), geriatric care, orthopedics, psychiatry (adult/adolescent), radiation therapy</w:t>
            </w:r>
          </w:p>
        </w:tc>
      </w:tr>
      <w:tr>
        <w:trPr/>
        <w:tc>
          <w:tcPr>
            <w:tcW w:w="3195" w:type="dxa"/>
          </w:tcPr>
          <w:p>
            <w:pPr>
              <w:pStyle w:val="Compact"/>
              <w:jc w:val="left"/>
            </w:pPr>
            <w:r>
              <w:rPr>
                <w:sz w:val="18"/>
              </w:rPr>
              <w:t xml:space="preserve">Central VT Medical Center (Barre)</w:t>
            </w:r>
          </w:p>
        </w:tc>
        <w:tc>
          <w:tcPr>
            <w:tcW w:w="945" w:type="dxa"/>
          </w:tcPr>
          <w:p>
            <w:pPr>
              <w:pStyle w:val="Compact"/>
              <w:jc w:val="left"/>
            </w:pPr>
            <w:r>
              <w:rPr>
                <w:sz w:val="18"/>
              </w:rPr>
              <w:t xml:space="preserve">5</w:t>
            </w:r>
          </w:p>
        </w:tc>
        <w:tc>
          <w:tcPr>
            <w:tcW w:w="4935" w:type="dxa"/>
          </w:tcPr>
          <w:p>
            <w:pPr>
              <w:pStyle w:val="Compact"/>
              <w:jc w:val="left"/>
            </w:pPr>
            <w:r>
              <w:rPr>
                <w:sz w:val="18"/>
              </w:rPr>
              <w:t xml:space="preserve">Geriatric care, infusion therapy, neurology, psychiatry (adult), radiation therapy</w:t>
            </w:r>
          </w:p>
        </w:tc>
      </w:tr>
      <w:tr>
        <w:trPr/>
        <w:tc>
          <w:tcPr>
            <w:tcW w:w="3195" w:type="dxa"/>
          </w:tcPr>
          <w:p>
            <w:pPr>
              <w:pStyle w:val="Compact"/>
              <w:jc w:val="left"/>
            </w:pPr>
            <w:r>
              <w:rPr>
                <w:sz w:val="18"/>
              </w:rPr>
              <w:t xml:space="preserve">Brattleboro Memorial Hospital</w:t>
            </w:r>
          </w:p>
        </w:tc>
        <w:tc>
          <w:tcPr>
            <w:tcW w:w="945" w:type="dxa"/>
          </w:tcPr>
          <w:p>
            <w:pPr>
              <w:pStyle w:val="Compact"/>
              <w:jc w:val="left"/>
            </w:pPr>
            <w:r>
              <w:rPr>
                <w:sz w:val="18"/>
              </w:rPr>
              <w:t xml:space="preserve">6</w:t>
            </w:r>
          </w:p>
        </w:tc>
        <w:tc>
          <w:tcPr>
            <w:tcW w:w="4935" w:type="dxa"/>
          </w:tcPr>
          <w:p>
            <w:pPr>
              <w:pStyle w:val="Compact"/>
              <w:jc w:val="left"/>
            </w:pPr>
            <w:r>
              <w:rPr>
                <w:sz w:val="18"/>
              </w:rPr>
              <w:t xml:space="preserve">Acute general surgery, cancer surgery, geriatric care, orthopedics, robotic surgery</w:t>
            </w:r>
          </w:p>
        </w:tc>
      </w:tr>
      <w:tr>
        <w:trPr/>
        <w:tc>
          <w:tcPr>
            <w:tcW w:w="3195" w:type="dxa"/>
          </w:tcPr>
          <w:p>
            <w:pPr>
              <w:pStyle w:val="Compact"/>
              <w:jc w:val="left"/>
            </w:pPr>
            <w:r>
              <w:rPr>
                <w:sz w:val="18"/>
              </w:rPr>
              <w:t xml:space="preserve">Northwestern Medical Center (St. Albans)</w:t>
            </w:r>
          </w:p>
        </w:tc>
        <w:tc>
          <w:tcPr>
            <w:tcW w:w="945" w:type="dxa"/>
          </w:tcPr>
          <w:p>
            <w:pPr>
              <w:pStyle w:val="Compact"/>
              <w:jc w:val="left"/>
            </w:pPr>
            <w:r>
              <w:rPr>
                <w:sz w:val="18"/>
              </w:rPr>
              <w:t xml:space="preserve">4</w:t>
            </w:r>
          </w:p>
        </w:tc>
        <w:tc>
          <w:tcPr>
            <w:tcW w:w="4935" w:type="dxa"/>
          </w:tcPr>
          <w:p>
            <w:pPr>
              <w:pStyle w:val="Compact"/>
              <w:jc w:val="left"/>
            </w:pPr>
            <w:r>
              <w:rPr>
                <w:sz w:val="18"/>
              </w:rPr>
              <w:t xml:space="preserve">Cancer surgery (non-complex), infusion therapy, neurology, radiation therapy</w:t>
            </w:r>
          </w:p>
        </w:tc>
      </w:tr>
      <w:tr>
        <w:trPr/>
        <w:tc>
          <w:tcPr>
            <w:tcW w:w="3195" w:type="dxa"/>
          </w:tcPr>
          <w:p>
            <w:pPr>
              <w:pStyle w:val="Compact"/>
              <w:jc w:val="left"/>
            </w:pPr>
            <w:r>
              <w:rPr>
                <w:sz w:val="18"/>
              </w:rPr>
              <w:t xml:space="preserve">Northeastern VT Regional Hospital (St. Johnsbury)</w:t>
            </w:r>
          </w:p>
        </w:tc>
        <w:tc>
          <w:tcPr>
            <w:tcW w:w="945" w:type="dxa"/>
          </w:tcPr>
          <w:p>
            <w:pPr>
              <w:pStyle w:val="Compact"/>
              <w:jc w:val="left"/>
            </w:pPr>
            <w:r>
              <w:rPr>
                <w:sz w:val="18"/>
              </w:rPr>
              <w:t xml:space="preserve">4</w:t>
            </w:r>
          </w:p>
        </w:tc>
        <w:tc>
          <w:tcPr>
            <w:tcW w:w="4935" w:type="dxa"/>
          </w:tcPr>
          <w:p>
            <w:pPr>
              <w:pStyle w:val="Compact"/>
              <w:jc w:val="left"/>
            </w:pPr>
            <w:r>
              <w:rPr>
                <w:sz w:val="18"/>
              </w:rPr>
              <w:t xml:space="preserve">Cancer surgery (non-complex), infusion therapy, minimally invasive surgery, radiation therapy</w:t>
            </w:r>
          </w:p>
        </w:tc>
      </w:tr>
      <w:tr>
        <w:trPr/>
        <w:tc>
          <w:tcPr>
            <w:tcW w:w="3195" w:type="dxa"/>
          </w:tcPr>
          <w:p>
            <w:pPr>
              <w:pStyle w:val="Compact"/>
              <w:jc w:val="left"/>
            </w:pPr>
            <w:r>
              <w:rPr>
                <w:sz w:val="18"/>
              </w:rPr>
              <w:t xml:space="preserve">Rutland Regional Medical Center</w:t>
            </w:r>
          </w:p>
        </w:tc>
        <w:tc>
          <w:tcPr>
            <w:tcW w:w="945" w:type="dxa"/>
          </w:tcPr>
          <w:p>
            <w:pPr>
              <w:pStyle w:val="Compact"/>
              <w:jc w:val="left"/>
            </w:pPr>
            <w:r>
              <w:rPr>
                <w:sz w:val="18"/>
              </w:rPr>
              <w:t xml:space="preserve">5</w:t>
            </w:r>
          </w:p>
        </w:tc>
        <w:tc>
          <w:tcPr>
            <w:tcW w:w="4935" w:type="dxa"/>
          </w:tcPr>
          <w:p>
            <w:pPr>
              <w:pStyle w:val="Compact"/>
              <w:jc w:val="left"/>
            </w:pPr>
            <w:r>
              <w:rPr>
                <w:sz w:val="18"/>
              </w:rPr>
              <w:t xml:space="preserve">Acute general surgery, geriatric care, minimally invasive surgery, neurology, psychiatry (adult)</w:t>
            </w:r>
          </w:p>
        </w:tc>
      </w:tr>
      <w:tr>
        <w:trPr/>
        <w:tc>
          <w:tcPr>
            <w:tcW w:w="3195" w:type="dxa"/>
          </w:tcPr>
          <w:p>
            <w:pPr>
              <w:pStyle w:val="Compact"/>
              <w:jc w:val="left"/>
            </w:pPr>
            <w:r>
              <w:rPr>
                <w:sz w:val="18"/>
              </w:rPr>
              <w:t xml:space="preserve">Springfield Hospital</w:t>
            </w:r>
          </w:p>
        </w:tc>
        <w:tc>
          <w:tcPr>
            <w:tcW w:w="945" w:type="dxa"/>
          </w:tcPr>
          <w:p>
            <w:pPr>
              <w:pStyle w:val="Compact"/>
              <w:jc w:val="left"/>
            </w:pPr>
            <w:r>
              <w:rPr>
                <w:sz w:val="18"/>
              </w:rPr>
              <w:t xml:space="preserve">2</w:t>
            </w:r>
          </w:p>
        </w:tc>
        <w:tc>
          <w:tcPr>
            <w:tcW w:w="4935" w:type="dxa"/>
          </w:tcPr>
          <w:p>
            <w:pPr>
              <w:pStyle w:val="Compact"/>
              <w:jc w:val="left"/>
            </w:pPr>
            <w:r>
              <w:rPr>
                <w:sz w:val="18"/>
              </w:rPr>
              <w:t xml:space="preserve">Memory care, psychiatry (adult)</w:t>
            </w:r>
          </w:p>
        </w:tc>
      </w:tr>
      <w:tr>
        <w:trPr/>
        <w:tc>
          <w:tcPr>
            <w:tcW w:w="3195" w:type="dxa"/>
          </w:tcPr>
          <w:p>
            <w:pPr>
              <w:pStyle w:val="Compact"/>
              <w:jc w:val="left"/>
            </w:pPr>
            <w:r>
              <w:rPr>
                <w:sz w:val="18"/>
              </w:rPr>
              <w:t xml:space="preserve">Copley Hospital (Morrisville)</w:t>
            </w:r>
          </w:p>
        </w:tc>
        <w:tc>
          <w:tcPr>
            <w:tcW w:w="945" w:type="dxa"/>
          </w:tcPr>
          <w:p>
            <w:pPr>
              <w:pStyle w:val="Compact"/>
              <w:jc w:val="left"/>
            </w:pPr>
            <w:r>
              <w:rPr>
                <w:sz w:val="18"/>
              </w:rPr>
              <w:t xml:space="preserve">2</w:t>
            </w:r>
          </w:p>
        </w:tc>
        <w:tc>
          <w:tcPr>
            <w:tcW w:w="4935" w:type="dxa"/>
          </w:tcPr>
          <w:p>
            <w:pPr>
              <w:pStyle w:val="Compact"/>
              <w:jc w:val="left"/>
            </w:pPr>
            <w:r>
              <w:rPr>
                <w:sz w:val="18"/>
              </w:rPr>
              <w:t xml:space="preserve">Orthopedics, rheumatology</w:t>
            </w:r>
          </w:p>
        </w:tc>
      </w:tr>
      <w:tr>
        <w:trPr/>
        <w:tc>
          <w:tcPr>
            <w:tcW w:w="3195" w:type="dxa"/>
          </w:tcPr>
          <w:p>
            <w:pPr>
              <w:pStyle w:val="Compact"/>
              <w:jc w:val="left"/>
            </w:pPr>
            <w:r>
              <w:rPr>
                <w:sz w:val="18"/>
              </w:rPr>
              <w:t xml:space="preserve">Mt. Ascutney Hospital (White River Junction)</w:t>
            </w:r>
          </w:p>
        </w:tc>
        <w:tc>
          <w:tcPr>
            <w:tcW w:w="945" w:type="dxa"/>
          </w:tcPr>
          <w:p>
            <w:pPr>
              <w:pStyle w:val="Compact"/>
              <w:jc w:val="left"/>
            </w:pPr>
            <w:r>
              <w:rPr>
                <w:sz w:val="18"/>
              </w:rPr>
              <w:t xml:space="preserve">1</w:t>
            </w:r>
          </w:p>
        </w:tc>
        <w:tc>
          <w:tcPr>
            <w:tcW w:w="4935" w:type="dxa"/>
          </w:tcPr>
          <w:p>
            <w:pPr>
              <w:pStyle w:val="Compact"/>
              <w:jc w:val="left"/>
            </w:pPr>
            <w:r>
              <w:rPr>
                <w:sz w:val="18"/>
              </w:rPr>
              <w:t xml:space="preserve">Rehabilitation</w:t>
            </w:r>
          </w:p>
        </w:tc>
      </w:tr>
      <w:tr>
        <w:trPr>
          <w:cantSplit/>
        </w:trPr>
        <w:tc>
          <w:tcPr>
            <w:tcW w:w="3195" w:type="dxa"/>
          </w:tcPr>
          <w:p>
            <w:pPr>
              <w:pStyle w:val="Compact"/>
              <w:jc w:val="left"/>
            </w:pPr>
            <w:r>
              <w:rPr>
                <w:sz w:val="18"/>
              </w:rPr>
              <w:t xml:space="preserve">Grace Cottage, Gifford, North Country, Porter</w:t>
            </w:r>
          </w:p>
        </w:tc>
        <w:tc>
          <w:tcPr>
            <w:tcW w:w="945" w:type="dxa"/>
          </w:tcPr>
          <w:p>
            <w:pPr>
              <w:pStyle w:val="Compact"/>
              <w:jc w:val="left"/>
            </w:pPr>
            <w:r>
              <w:rPr>
                <w:sz w:val="18"/>
              </w:rPr>
              <w:t xml:space="preserve">TBD</w:t>
            </w:r>
          </w:p>
        </w:tc>
        <w:tc>
          <w:tcPr>
            <w:tcW w:w="4935" w:type="dxa"/>
          </w:tcPr>
          <w:p>
            <w:pPr>
              <w:pStyle w:val="Compact"/>
              <w:jc w:val="left"/>
            </w:pPr>
            <w:r>
              <w:rPr>
                <w:sz w:val="18"/>
              </w:rPr>
              <w:t xml:space="preserve">Further discussion required as part of regionalization plan</w:t>
            </w:r>
          </w:p>
        </w:tc>
      </w:tr>
    </w:tbl>
    <w:p>
      <w:pPr>
        <w:pStyle w:val="Caption"/>
        <w:spacing w:before="120"/>
      </w:pPr>
      <w:r>
        <w:rPr>
          <w:i/>
          <w:iCs/>
        </w:rPr>
        <w:t xml:space="preserve">Figure 2.2 — Proposed Centers of Excellence assignments by hospital. Source: Oliver Wyman regionalization blueprint.</w:t>
      </w:r>
    </w:p>
    <w:p>
      <w:pPr>
        <w:pStyle w:val="BodyText"/>
      </w:pPr>
      <w: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pPr>
        <w:pStyle w:val="BodyText"/>
      </w:pPr>
      <w: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The savings from this shift — estimated at over $300 million in indirect savings over five years — come from delivering the same clinical value at a fraction of the cost of hospital-based provision.</w:t>
      </w:r>
    </w:p>
    <w:p>
      <w:pPr>
        <w:pStyle w:val="Heading3"/>
      </w:pPr>
      <w:r>
        <w:rPr>
          <w:color w:val="161B22"/>
        </w:rPr>
        <w:t xml:space="preserve">2.6.3  </w:t>
      </w:r>
      <w:bookmarkStart w:id="1080" w:name="_Toc1079"/>
      <w:r>
        <w:rPr>
          <w:b/>
          <w:bCs/>
          <w:color w:val="161B22"/>
        </w:rPr>
        <w:t xml:space="preserve">Hospital-Level Recommendations: Repurposing or Closure</w:t>
      </w:r>
      <w:bookmarkEnd w:id="1080"/>
    </w:p>
    <w:p>
      <w:pPr>
        <w:pStyle w:val="FirstParagraph"/>
      </w:pPr>
      <w: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(outpatient and primary care services without inpatient capacity), and the Care at Home support program (community-based services without a hospital facility).</w:t>
      </w:r>
    </w:p>
    <w:p>
      <w:pPr>
        <w:pStyle w:val="BodyText"/>
        <w:keepNext w:val="false"/>
      </w:pPr>
      <w: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pPr>
        <w:pStyle w:val="BodyText"/>
        <w:keepNext w:val="false"/>
      </w:pPr>
      <w: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three primary sources of direct savings — contributing to the more than $100 million in direct savings projected from administrative consolidation and shared services.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$400M Transformation Savings Estimate</w:t>
            </w:r>
          </w:p>
          <w:p>
            <w:pPr>
              <w:spacing w:after="60" w:line="264" w:lineRule="auto"/>
            </w:pPr>
            <w:r>
              <w:rPr>
                <w:sz w:val="20"/>
                <w:szCs w:val="20"/>
              </w:rPr>
              <w:t xml:space="preserve">Oliver Wyman projected that full implementation of the hospital transformation recommendations would yield more than $400 million in direct savings over five years — independent of savings from payment reform activities like AHEAD. The savings sources break down as follows:</w:t>
            </w:r>
          </w:p>
          <w:p>
            <w:pPr>
              <w:numPr>
                <w:ilvl w:val="0"/>
                <w:numId w:val="1005"/>
              </w:numPr>
              <w:spacing w:after="60" w:line="264" w:lineRule="auto"/>
            </w:pPr>
            <w:r>
              <w:rPr>
                <w:sz w:val="20"/>
                <w:szCs w:val="20"/>
              </w:rPr>
              <w:t xml:space="preserve">Close inpatient facilities with unsustainable financials, whose deficits would otherwise require escalating cash infusions</w:t>
            </w:r>
          </w:p>
          <w:p>
            <w:pPr>
              <w:numPr>
                <w:ilvl w:val="0"/>
                <w:numId w:val="1005"/>
              </w:numPr>
              <w:spacing w:after="60" w:line="264" w:lineRule="auto"/>
            </w:pPr>
            <w:r>
              <w:rPr>
                <w:sz w:val="20"/>
                <w:szCs w:val="20"/>
              </w:rPr>
              <w:t xml:space="preserve">Reduce hospital administrative costs, which are exceedingly high at some facilities and have been driving budget increases system-wide</w:t>
            </w:r>
          </w:p>
          <w:p>
            <w:pPr>
              <w:numPr>
                <w:ilvl w:val="0"/>
                <w:numId w:val="1005"/>
              </w:numPr>
              <w:spacing w:after="60" w:line="264" w:lineRule="auto"/>
            </w:pPr>
            <w:r>
              <w:rPr>
                <w:sz w:val="20"/>
                <w:szCs w:val="20"/>
              </w:rPr>
              <w:t xml:space="preserve">Reduce costs through synergies — shared services and staff across individual hospitals</w:t>
            </w:r>
          </w:p>
          <w:p>
            <w:pPr>
              <w:numPr>
                <w:ilvl w:val="0"/>
                <w:numId w:val="1005"/>
              </w:numPr>
              <w:spacing w:after="60" w:line="264" w:lineRule="auto"/>
            </w:pPr>
            <w:r>
              <w:rPr>
                <w:sz w:val="20"/>
                <w:szCs w:val="20"/>
              </w:rPr>
              <w:t xml:space="preserve">Deliver same procedures in ambulatory surgical units and outpatient settings, where low-risk procedures can be performed at substantially lower cost</w:t>
            </w:r>
          </w:p>
          <w:p>
            <w:pPr>
              <w:numPr>
                <w:ilvl w:val="0"/>
                <w:numId w:val="1005"/>
              </w:numPr>
              <w:spacing w:after="60" w:line="264" w:lineRule="auto"/>
            </w:pPr>
            <w:r>
              <w:rPr>
                <w:sz w:val="20"/>
                <w:szCs w:val="20"/>
              </w:rPr>
              <w:t xml:space="preserve">Expand access to primary care settings to manage patient needs, reducing preventable emergency department visits</w:t>
            </w:r>
          </w:p>
          <w:p>
            <w:pPr>
              <w:numPr>
                <w:ilvl w:val="0"/>
                <w:numId w:val="1005"/>
              </w:numPr>
              <w:spacing w:after="60" w:line="264" w:lineRule="auto"/>
            </w:pPr>
            <w:r>
              <w:rPr>
                <w:sz w:val="20"/>
                <w:szCs w:val="20"/>
              </w:rPr>
              <w:t xml:space="preserve">Address social determinants of health, reducing inpatient stays and ED visits that are avoidable if housing and transportation needs are met upstream</w:t>
            </w:r>
          </w:p>
          <w:p>
            <w:pPr>
              <w:spacing w:after="60" w:line="264" w:lineRule="auto"/>
            </w:pPr>
            <w:r>
              <w:rPr>
                <w:sz w:val="20"/>
                <w:szCs w:val="2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p>
          <w:p>
            <w:pPr>
              <w:spacing w:after="60" w:line="264" w:lineRule="auto"/>
            </w:pPr>
            <w:r>
              <w:rPr>
                <w:sz w:val="20"/>
                <w:szCs w:val="20"/>
              </w:rPr>
              <w:t xml:space="preserve">The $400M figure is significant in context: it is the recurring savings that structural transformation is projected to unlock, year after year, once implemented. Vermont’s Rural Health Transformation Program award — roughly $195 million per year for five years — is capital to</w:t>
            </w:r>
            <w:r>
              <w:rPr>
                <w:sz w:val="20"/>
                <w:szCs w:val="20"/>
              </w:rPr>
              <w:t xml:space="preserve"> </w:t>
            </w:r>
            <w:r>
              <w:rPr>
                <w:i/>
                <w:iCs/>
                <w:sz w:val="20"/>
                <w:szCs w:val="20"/>
              </w:rPr>
              <w:t xml:space="preserve">build</w:t>
            </w:r>
            <w:r>
              <w:rPr>
                <w:sz w:val="20"/>
                <w:szCs w:val="20"/>
              </w:rPr>
              <w:t xml:space="preserve"> </w:t>
            </w:r>
            <w:r>
              <w:rPr>
                <w:sz w:val="20"/>
                <w:szCs w:val="20"/>
              </w:rPr>
              <w:t xml:space="preserve">that transformation, not a permanent revenue stream, and it expires in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p>
        </w:tc>
      </w:tr>
    </w:tbl>
    <w:p>
      <w:pPr>
        <w:spacing w:after="120"/>
      </w:pPr>
    </w:p>
    <w:p>
      <w:pPr>
        <w:pStyle w:val="Heading2"/>
        <w:pBdr>
          <w:top w:val="single" w:sz="6" w:space="10" w:color="C9D2DF"/>
        </w:pBdr>
        <w:keepNext w:val="false"/>
      </w:pPr>
      <w:r>
        <w:rPr>
          <w:color w:val="161B22"/>
        </w:rPr>
        <w:t xml:space="preserve">2.7  </w:t>
      </w:r>
      <w:bookmarkStart w:id="1081" w:name="_Toc1080"/>
      <w:r>
        <w:rPr>
          <w:b/>
          <w:bCs/>
          <w:color w:val="161B22"/>
        </w:rPr>
        <w:t xml:space="preserve">Act 68 (2025): The Operational Mandate</w:t>
      </w:r>
      <w:bookmarkEnd w:id="1081"/>
    </w:p>
    <w:p>
      <w:pPr>
        <w:pStyle w:val="FirstParagraph"/>
        <w:keepNext w:val="false"/>
      </w:pPr>
      <w:r>
        <w:rPr>
          <w:b/>
          <w:bCs/>
        </w:rPr>
        <w:t xml:space="preserve">Act 68 Key Statutory Deadlines</w:t>
      </w:r>
    </w:p>
    <w:tbl>
      <w:tblPr>
        <w:tblStyle w:val="HTRTable"/>
        <w:tblLook w:firstRow="1" w:lastRow="0" w:firstColumn="0" w:lastColumn="0" w:noHBand="0" w:noVBand="1" w:val="0020"/>
        <w:tblW w:w="9072" w:type="dxa"/>
        <w:tblLayout w:type="fixed"/>
      </w:tblPr>
      <w:tblGrid>
        <w:gridCol w:w="2002"/>
        <w:gridCol w:w="7069"/>
      </w:tblGrid>
      <w:tr>
        <w:trPr>
          <w:tblHeader w:val="on"/>
          <w:cantSplit/>
        </w:trPr>
        <w:tc>
          <w:tcPr>
            <w:shd w:val="clear" w:color="auto" w:fill="1B3A6B"/>
            <w:tcW w:w="2002" w:type="dxa"/>
          </w:tcPr>
          <w:p>
            <w:pPr>
              <w:pStyle w:val="Compact"/>
              <w:jc w:val="left"/>
            </w:pPr>
            <w:r>
              <w:rPr>
                <w:b/>
                <w:color w:val="FFFFFF"/>
                <w:sz w:val="18"/>
              </w:rPr>
              <w:t xml:space="preserve">When</w:t>
            </w:r>
          </w:p>
        </w:tc>
        <w:tc>
          <w:tcPr>
            <w:shd w:val="clear" w:color="auto" w:fill="1B3A6B"/>
            <w:tcW w:w="7069" w:type="dxa"/>
          </w:tcPr>
          <w:p>
            <w:pPr>
              <w:pStyle w:val="Compact"/>
              <w:jc w:val="left"/>
            </w:pPr>
            <w:r>
              <w:rPr>
                <w:b/>
                <w:color w:val="FFFFFF"/>
                <w:sz w:val="18"/>
              </w:rPr>
              <w:t xml:space="preserve">Milestone</w:t>
            </w:r>
          </w:p>
        </w:tc>
      </w:tr>
      <w:tr>
        <w:trPr>
          <w:cantSplit/>
        </w:trPr>
        <w:tc>
          <w:tcPr>
            <w:tcW w:w="2002" w:type="dxa"/>
          </w:tcPr>
          <w:p>
            <w:pPr>
              <w:pStyle w:val="Compact"/>
              <w:jc w:val="left"/>
            </w:pPr>
            <w:r>
              <w:rPr>
                <w:b/>
                <w:bCs/>
                <w:sz w:val="18"/>
              </w:rPr>
              <w:t xml:space="preserve">FY2027</w:t>
            </w:r>
            <w:r>
              <w:rPr>
                <w:sz w:val="18"/>
              </w:rPr>
              <w:t xml:space="preserve"> </w:t>
            </w:r>
            <w:r>
              <w:rPr>
                <w:sz w:val="18"/>
              </w:rPr>
              <w:t xml:space="preserve">(Oct 2026)</w:t>
            </w:r>
          </w:p>
        </w:tc>
        <w:tc>
          <w:tcPr>
            <w:tcW w:w="7069" w:type="dxa"/>
          </w:tcPr>
          <w:p>
            <w:pPr>
              <w:pStyle w:val="Compact"/>
              <w:jc w:val="left"/>
            </w:pPr>
            <w:r>
              <w:rPr>
                <w:sz w:val="18"/>
              </w:rPr>
              <w:t xml:space="preserve">Reference-based pricing mandatory for all commercial payers</w:t>
            </w:r>
          </w:p>
        </w:tc>
      </w:tr>
      <w:tr>
        <w:trPr/>
        <w:tc>
          <w:tcPr>
            <w:tcW w:w="2002" w:type="dxa"/>
          </w:tcPr>
          <w:p>
            <w:pPr>
              <w:pStyle w:val="Compact"/>
              <w:jc w:val="left"/>
            </w:pPr>
            <w:r>
              <w:rPr>
                <w:b/>
                <w:bCs/>
                <w:sz w:val="18"/>
              </w:rPr>
              <w:t xml:space="preserve">January 2028</w:t>
            </w:r>
          </w:p>
        </w:tc>
        <w:tc>
          <w:tcPr>
            <w:tcW w:w="7069" w:type="dxa"/>
          </w:tcPr>
          <w:p>
            <w:pPr>
              <w:pStyle w:val="Compact"/>
              <w:jc w:val="left"/>
            </w:pPr>
            <w:r>
              <w:rPr>
                <w:sz w:val="18"/>
              </w:rPr>
              <w:t xml:space="preserve">AHEAD Model Cohort 2 launches; Medicare FFS hospital global budgets begin</w:t>
            </w:r>
          </w:p>
        </w:tc>
      </w:tr>
      <w:tr>
        <w:trPr/>
        <w:tc>
          <w:tcPr>
            <w:tcW w:w="2002" w:type="dxa"/>
          </w:tcPr>
          <w:p>
            <w:pPr>
              <w:pStyle w:val="Compact"/>
              <w:jc w:val="left"/>
            </w:pPr>
            <w:r>
              <w:rPr>
                <w:b/>
                <w:bCs/>
                <w:sz w:val="18"/>
              </w:rPr>
              <w:t xml:space="preserve">FY2028</w:t>
            </w:r>
            <w:r>
              <w:rPr>
                <w:sz w:val="18"/>
              </w:rPr>
              <w:t xml:space="preserve"> </w:t>
            </w:r>
            <w:r>
              <w:rPr>
                <w:sz w:val="18"/>
              </w:rPr>
              <w:t xml:space="preserve">(Oct 2027)</w:t>
            </w:r>
          </w:p>
        </w:tc>
        <w:tc>
          <w:tcPr>
            <w:tcW w:w="7069" w:type="dxa"/>
          </w:tcPr>
          <w:p>
            <w:pPr>
              <w:pStyle w:val="Compact"/>
              <w:jc w:val="left"/>
            </w:pPr>
            <w:r>
              <w:rPr>
                <w:sz w:val="18"/>
              </w:rPr>
              <w:t xml:space="preserve">Global hospital budgets for non-Critical Access Hospitals</w:t>
            </w:r>
          </w:p>
        </w:tc>
      </w:tr>
      <w:tr>
        <w:trPr/>
        <w:tc>
          <w:tcPr>
            <w:tcW w:w="2002" w:type="dxa"/>
          </w:tcPr>
          <w:p>
            <w:pPr>
              <w:pStyle w:val="Compact"/>
              <w:jc w:val="left"/>
            </w:pPr>
            <w:r>
              <w:rPr>
                <w:b/>
                <w:bCs/>
                <w:sz w:val="18"/>
              </w:rPr>
              <w:t xml:space="preserve">December 2028</w:t>
            </w:r>
          </w:p>
        </w:tc>
        <w:tc>
          <w:tcPr>
            <w:tcW w:w="7069" w:type="dxa"/>
          </w:tcPr>
          <w:p>
            <w:pPr>
              <w:pStyle w:val="Compact"/>
              <w:jc w:val="left"/>
            </w:pPr>
            <w:r>
              <w:rPr>
                <w:sz w:val="18"/>
              </w:rPr>
              <w:t xml:space="preserve">Statewide Health Care Delivery Strategic Plan delivered to Vermont Legislature</w:t>
            </w:r>
          </w:p>
        </w:tc>
      </w:tr>
      <w:tr>
        <w:trPr>
          <w:cantSplit/>
        </w:trPr>
        <w:tc>
          <w:tcPr>
            <w:tcW w:w="2002" w:type="dxa"/>
          </w:tcPr>
          <w:p>
            <w:pPr>
              <w:pStyle w:val="Compact"/>
              <w:jc w:val="left"/>
            </w:pPr>
            <w:r>
              <w:rPr>
                <w:b/>
                <w:bCs/>
                <w:sz w:val="18"/>
              </w:rPr>
              <w:t xml:space="preserve">FY2030</w:t>
            </w:r>
            <w:r>
              <w:rPr>
                <w:sz w:val="18"/>
              </w:rPr>
              <w:t xml:space="preserve"> </w:t>
            </w:r>
            <w:r>
              <w:rPr>
                <w:sz w:val="18"/>
              </w:rPr>
              <w:t xml:space="preserve">(Oct 2029)</w:t>
            </w:r>
          </w:p>
        </w:tc>
        <w:tc>
          <w:tcPr>
            <w:tcW w:w="7069" w:type="dxa"/>
          </w:tcPr>
          <w:p>
            <w:pPr>
              <w:pStyle w:val="Compact"/>
              <w:jc w:val="left"/>
            </w:pPr>
            <w:r>
              <w:rPr>
                <w:sz w:val="18"/>
              </w:rPr>
              <w:t xml:space="preserve">Global hospital budgets for ALL Vermont hospitals including CAHs</w:t>
            </w:r>
          </w:p>
        </w:tc>
      </w:tr>
    </w:tbl>
    <w:p>
      <w:pPr>
        <w:pStyle w:val="Caption"/>
        <w:spacing w:before="120"/>
      </w:pPr>
      <w:r>
        <w:rPr>
          <w:i/>
          <w:iCs/>
        </w:rPr>
        <w:t xml:space="preserve">Figure 2.3 — Act 68 statutory implementation timeline. Source: Act 68 of 2025.</w:t>
      </w:r>
    </w:p>
    <w:p>
      <w:pPr>
        <w:pStyle w:val="BodyText"/>
      </w:pPr>
      <w: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non-critical access hospitals by FY2028 and all hospitals by FY2030. Oliver Wyman recommended that GMCB add a Division of Planning and Effectiveness; Act 68 authorized three new permanent classified positions at GMCB. Oliver Wyman recommended reviewing AHS agency structure and program list; Act 68 directed AHS to develop a Statewide Health Care Delivery Strategic Plan by December 2028.</w:t>
      </w:r>
    </w:p>
    <w:p>
      <w:pPr>
        <w:pStyle w:val="BodyText"/>
      </w:pPr>
      <w: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pPr>
        <w:pStyle w:val="Heading3"/>
      </w:pPr>
      <w:r>
        <w:rPr>
          <w:color w:val="161B22"/>
        </w:rPr>
        <w:t xml:space="preserve">2.7.1  </w:t>
      </w:r>
      <w:bookmarkStart w:id="1082" w:name="_Toc1081"/>
      <w:r>
        <w:rPr>
          <w:b/>
          <w:bCs/>
          <w:color w:val="161B22"/>
        </w:rPr>
        <w:t xml:space="preserve">The Reference-Based Pricing Architecture</w:t>
      </w:r>
      <w:bookmarkEnd w:id="1082"/>
    </w:p>
    <w:p>
      <w:pPr>
        <w:pStyle w:val="FirstParagraph"/>
      </w:pPr>
      <w: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pPr>
        <w:pStyle w:val="BodyText"/>
        <w:keepNext w:val="false"/>
      </w:pPr>
      <w:r>
        <w:t xml:space="preserve">The underlying price problem that RBP addresses is more severe than most national discussions of hospital pricing acknowledge.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 outpatient charges specifically averaged 417% of Medicare rates in 2022 — among the highest in the nation. Hospitals are not clustered near a rational break-even point of 136% of Medicare; they are distributed across a range from roughly profitable to wildly extractive, with no relationship between price and quality.</w:t>
      </w:r>
    </w:p>
    <w:p>
      <w:pPr>
        <w:pStyle w:val="BodyText"/>
        <w:keepNext w:val="false"/>
      </w:pPr>
      <w:r>
        <w:t xml:space="preserve">The design principles embedded in Act 68’s RBP statute reflect the cross-state evidence base. Prices must be based on a percentage of Medicare reimbursement — establishing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HTRTable"/>
        <w:tblLook w:firstRow="1" w:lastRow="0" w:firstColumn="0" w:lastColumn="0" w:noHBand="0" w:noVBand="1" w:val="0020"/>
        <w:tblW w:w="9072" w:type="dxa"/>
        <w:tblLayout w:type="fixed"/>
      </w:tblPr>
      <w:tblGrid>
        <w:gridCol w:w="2010"/>
        <w:gridCol w:w="7065"/>
      </w:tblGrid>
      <w:tr>
        <w:trPr>
          <w:tblHeader w:val="on"/>
          <w:cantSplit/>
        </w:trPr>
        <w:tc>
          <w:tcPr>
            <w:shd w:val="clear" w:color="auto" w:fill="1B3A6B"/>
            <w:tcW w:w="2010" w:type="dxa"/>
          </w:tcPr>
          <w:p>
            <w:pPr>
              <w:pStyle w:val="Compact"/>
              <w:jc w:val="left"/>
            </w:pPr>
            <w:r>
              <w:rPr>
                <w:b/>
                <w:color w:val="FFFFFF"/>
                <w:sz w:val="18"/>
              </w:rPr>
              <w:t xml:space="preserve">State / Program</w:t>
            </w:r>
          </w:p>
        </w:tc>
        <w:tc>
          <w:tcPr>
            <w:shd w:val="clear" w:color="auto" w:fill="1B3A6B"/>
            <w:tcW w:w="7065" w:type="dxa"/>
          </w:tcPr>
          <w:p>
            <w:pPr>
              <w:pStyle w:val="Compact"/>
              <w:jc w:val="left"/>
            </w:pPr>
            <w:r>
              <w:rPr>
                <w:b/>
                <w:color w:val="FFFFFF"/>
                <w:sz w:val="18"/>
              </w:rPr>
              <w:t xml:space="preserve">Key design features and outcomes</w:t>
            </w:r>
          </w:p>
        </w:tc>
      </w:tr>
      <w:tr>
        <w:trPr>
          <w:cantSplit/>
        </w:trPr>
        <w:tc>
          <w:tcPr>
            <w:tcW w:w="2010" w:type="dxa"/>
          </w:tcPr>
          <w:p>
            <w:pPr>
              <w:pStyle w:val="Compact"/>
              <w:jc w:val="left"/>
            </w:pPr>
            <w:r>
              <w:rPr>
                <w:sz w:val="18"/>
              </w:rPr>
              <w:t xml:space="preserve">Vermont Act 68</w:t>
            </w:r>
          </w:p>
        </w:tc>
        <w:tc>
          <w:tcPr>
            <w:tcW w:w="7065" w:type="dxa"/>
          </w:tcPr>
          <w:p>
            <w:pPr>
              <w:pStyle w:val="Compact"/>
              <w:jc w:val="left"/>
            </w:pPr>
            <w:r>
              <w:rPr>
                <w:sz w:val="18"/>
              </w:rPr>
              <w:t xml:space="preserve">Mandatory statewide maximum allowable payments through GMCB rate-setting authority. Methodology set by rule FY2027, effective FY2028. RBP then reviewed annually as part of hospital budget process.</w:t>
            </w:r>
          </w:p>
        </w:tc>
      </w:tr>
      <w:tr>
        <w:trPr/>
        <w:tc>
          <w:tcPr>
            <w:tcW w:w="2010" w:type="dxa"/>
          </w:tcPr>
          <w:p>
            <w:pPr>
              <w:pStyle w:val="Compact"/>
              <w:jc w:val="left"/>
            </w:pPr>
            <w:r>
              <w:rPr>
                <w:sz w:val="18"/>
              </w:rPr>
              <w:t xml:space="preserve">Oregon (2019)</w:t>
            </w:r>
          </w:p>
        </w:tc>
        <w:tc>
          <w:tcPr>
            <w:tcW w:w="7065" w:type="dxa"/>
          </w:tcPr>
          <w:p>
            <w:pPr>
              <w:pStyle w:val="Compact"/>
              <w:jc w:val="left"/>
            </w:pPr>
            <w:r>
              <w:rPr>
                <w:sz w:val="18"/>
              </w:rPr>
              <w:t xml:space="preserve">State employee plan only. 200% in-network / 185% out-of-network cap. Exemptions for rural and critical access hospitals. Savings exceeded $107.5M in first 27 months. All 24 affected hospitals remained in-network.</w:t>
            </w:r>
          </w:p>
        </w:tc>
      </w:tr>
      <w:tr>
        <w:trPr/>
        <w:tc>
          <w:tcPr>
            <w:tcW w:w="2010" w:type="dxa"/>
          </w:tcPr>
          <w:p>
            <w:pPr>
              <w:pStyle w:val="Compact"/>
              <w:jc w:val="left"/>
            </w:pPr>
            <w:r>
              <w:rPr>
                <w:sz w:val="18"/>
              </w:rPr>
              <w:t xml:space="preserve">Montana (2016)</w:t>
            </w:r>
          </w:p>
        </w:tc>
        <w:tc>
          <w:tcPr>
            <w:tcW w:w="7065" w:type="dxa"/>
          </w:tcPr>
          <w:p>
            <w:pPr>
              <w:pStyle w:val="Compact"/>
              <w:jc w:val="left"/>
            </w:pPr>
            <w:r>
              <w:rPr>
                <w:sz w:val="18"/>
              </w:rPr>
              <w:t xml:space="preserve">State employee plan. Direct contracting at percentage of Medicare. Initial $48M in savings but politically fragile without statutory mandate — illustrating Vermont’s choice to legislate rather than demonstrate.</w:t>
            </w:r>
          </w:p>
        </w:tc>
      </w:tr>
      <w:tr>
        <w:trPr/>
        <w:tc>
          <w:tcPr>
            <w:tcW w:w="2010" w:type="dxa"/>
          </w:tcPr>
          <w:p>
            <w:pPr>
              <w:pStyle w:val="Compact"/>
              <w:jc w:val="left"/>
            </w:pPr>
            <w:r>
              <w:rPr>
                <w:sz w:val="18"/>
              </w:rPr>
              <w:t xml:space="preserve">Washington (2021)</w:t>
            </w:r>
          </w:p>
        </w:tc>
        <w:tc>
          <w:tcPr>
            <w:tcW w:w="7065" w:type="dxa"/>
          </w:tcPr>
          <w:p>
            <w:pPr>
              <w:pStyle w:val="Compact"/>
              <w:jc w:val="left"/>
            </w:pPr>
            <w:r>
              <w:rPr>
                <w:sz w:val="18"/>
              </w:rPr>
              <w:t xml:space="preserve">Public option (</w:t>
            </w:r>
            <w:r>
              <w:rPr>
                <w:sz w:val="18"/>
              </w:rPr>
              <w:t xml:space="preserve">‘Cascade Care’</w:t>
            </w:r>
            <w:r>
              <w:rPr>
                <w:sz w:val="18"/>
              </w:rPr>
              <w:t xml:space="preserve">). Hospital reimbursement capped at 160% of Medicare for participating networks. Voluntary participation, expanding to state employee plans.</w:t>
            </w:r>
          </w:p>
        </w:tc>
      </w:tr>
      <w:tr>
        <w:trPr>
          <w:cantSplit/>
        </w:trPr>
        <w:tc>
          <w:tcPr>
            <w:tcW w:w="2010" w:type="dxa"/>
          </w:tcPr>
          <w:p>
            <w:pPr>
              <w:pStyle w:val="Compact"/>
              <w:jc w:val="left"/>
            </w:pPr>
            <w:r>
              <w:rPr>
                <w:sz w:val="18"/>
              </w:rPr>
              <w:t xml:space="preserve">Maryland (2014–present)</w:t>
            </w:r>
          </w:p>
        </w:tc>
        <w:tc>
          <w:tcPr>
            <w:tcW w:w="7065" w:type="dxa"/>
          </w:tcPr>
          <w:p>
            <w:pPr>
              <w:pStyle w:val="Compact"/>
              <w:jc w:val="left"/>
            </w:pPr>
            <w:r>
              <w:rPr>
                <w:sz w:val="18"/>
              </w:rPr>
              <w:t xml:space="preserve">All-payer system with fixed annual revenue for hospitals based on standardized prices and volume expectations. Includes Medicare waiver. Strong incentives for population health management. The closest model to Vermont’s Act 68 trajectory.</w:t>
            </w:r>
          </w:p>
        </w:tc>
      </w:tr>
    </w:tbl>
    <w:p>
      <w:pPr>
        <w:pStyle w:val="Caption"/>
        <w:spacing w:before="120"/>
      </w:pPr>
      <w:r>
        <w:rPr>
          <w:i/>
          <w:iCs/>
        </w:rPr>
        <w:t xml:space="preserve">Figure 2.4 — State reference-based pricing and rate-setting programs compared. Sources: state program documentation; RAND; GMCB.</w:t>
      </w:r>
    </w:p>
    <w:p>
      <w:pPr>
        <w:pStyle w:val="Heading3"/>
      </w:pPr>
      <w:r>
        <w:rPr>
          <w:color w:val="161B22"/>
        </w:rPr>
        <w:t xml:space="preserve">2.7.2  </w:t>
      </w:r>
      <w:bookmarkStart w:id="1083" w:name="_Toc1082"/>
      <w:r>
        <w:rPr>
          <w:b/>
          <w:bCs/>
          <w:color w:val="161B22"/>
        </w:rPr>
        <w:t xml:space="preserve">The Global Budget Mandate</w:t>
      </w:r>
      <w:bookmarkEnd w:id="1083"/>
    </w:p>
    <w:p>
      <w:pPr>
        <w:pStyle w:val="FirstParagraph"/>
      </w:pPr>
      <w:r>
        <w:t xml:space="preserve">Act 68 requires GMCB to establish global hospital budgets for non-critical access hospitals by hospital fiscal year 2028, and for all Vermont hospitals by 2030. This statutory obligation makes Vermont the first U.S. state outside Maryland on a legislatively mandated path to a comprehensive all-payer global budget system.</w:t>
      </w:r>
    </w:p>
    <w:p>
      <w:pPr>
        <w:pStyle w:val="BodyText"/>
      </w:pPr>
      <w:r>
        <w:t xml:space="preserve">Understanding why Vermont needs global budgets in addition to reference-based pricing requires understanding the balloon squeeze problem that Oliver Wyman identified.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pPr>
        <w:pStyle w:val="BodyText"/>
      </w:pPr>
      <w:r>
        <w:t xml:space="preserve">Vermont has attempted global budget design four times in the past decade: the GMCB net patient revenue cap in 2012, the Rutland Regional pilot proposed in 2014 (never implemented), the Vermont All-Payer ACO Model from 2017 to 2025, and the current Act 167/Act 68 mandate. Each prior attempt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pPr>
        <w:pStyle w:val="Heading3"/>
      </w:pPr>
      <w:r>
        <w:rPr>
          <w:color w:val="161B22"/>
        </w:rPr>
        <w:t xml:space="preserve">2.7.3  </w:t>
      </w:r>
      <w:bookmarkStart w:id="1084" w:name="_Toc1083"/>
      <w:r>
        <w:rPr>
          <w:b/>
          <w:bCs/>
          <w:color w:val="161B22"/>
        </w:rPr>
        <w:t xml:space="preserve">The Statewide Health Care Delivery Strategic Plan and AHS Restructuring</w:t>
      </w:r>
      <w:bookmarkEnd w:id="1084"/>
    </w:p>
    <w:p>
      <w:pPr>
        <w:pStyle w:val="FirstParagraph"/>
      </w:pPr>
      <w:r>
        <w:t xml:space="preserve">The most consequential long-term provision of Act 68 is the requirement that AHS develop a Statewide Health Care Delivery Strategic Plan, to be delivered to the legislature by December 2028 and updated every three years thereafter. This plan is the statutory vehicle for answering the foundational question that underlies all of Vermont’s reform work: what should Vermont’s healthcare delivery system actually look like?</w:t>
      </w:r>
    </w:p>
    <w:p>
      <w:pPr>
        <w:pStyle w:val="BodyText"/>
        <w:keepNext w:val="false"/>
      </w:pPr>
      <w: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incorporating recommendations from the Vermont Steering Committee for Comprehensive Primary Health Care — ensuring that primary care’s central role in the redesigned system is structurally embedded in the planning process.</w:t>
      </w:r>
    </w:p>
    <w:p>
      <w:pPr>
        <w:pStyle w:val="BodyText"/>
        <w:keepNext w:val="false"/>
      </w:pPr>
      <w:r>
        <w:t xml:space="preserve">Oliver Wyman’s state-level recommendations are the most detailed public blueprint available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six-pillar framework for how AHS should approach this planning mandate, drawing directly on both the Oliver Wyman recommendations and the Act 68 statutory requirements.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Reform Cascade Timeline — Statutory Deadlines</w:t>
            </w:r>
          </w:p>
          <w:p>
            <w:pPr>
              <w:spacing w:after="60" w:line="264" w:lineRule="auto"/>
            </w:pPr>
            <w:r>
              <w:rPr>
                <w:sz w:val="20"/>
                <w:szCs w:val="20"/>
              </w:rPr>
              <w:t xml:space="preserve">For healthcare leaders, policymakers, and organizations doing business with Vermont’s system, the following statutory deadlines define the transformation calendar:</w:t>
            </w:r>
          </w:p>
          <w:p>
            <w:pPr>
              <w:numPr>
                <w:ilvl w:val="0"/>
                <w:numId w:val="1006"/>
              </w:numPr>
              <w:spacing w:after="60" w:line="264" w:lineRule="auto"/>
            </w:pPr>
            <w:r>
              <w:rPr>
                <w:sz w:val="20"/>
                <w:szCs w:val="20"/>
              </w:rPr>
              <w:t xml:space="preserve">GMCB hospital budget guidance includes negative 1% commercial rate growth benchmark — the first negative benchmark in Vermont history</w:t>
            </w:r>
          </w:p>
          <w:p>
            <w:pPr>
              <w:numPr>
                <w:ilvl w:val="0"/>
                <w:numId w:val="1006"/>
              </w:numPr>
              <w:spacing w:after="60" w:line="264" w:lineRule="auto"/>
            </w:pPr>
            <w:r>
              <w:rPr>
                <w:sz w:val="20"/>
                <w:szCs w:val="20"/>
              </w:rPr>
              <w:t xml:space="preserve">AHS hospital transformation grants of $2M under Act 68; all 14 hospitals developing transformation plans with RHRC support</w:t>
            </w:r>
          </w:p>
          <w:p>
            <w:pPr>
              <w:numPr>
                <w:ilvl w:val="0"/>
                <w:numId w:val="1006"/>
              </w:numPr>
              <w:spacing w:after="60" w:line="264" w:lineRule="auto"/>
            </w:pPr>
            <w:r>
              <w:rPr>
                <w:sz w:val="20"/>
                <w:szCs w:val="20"/>
              </w:rPr>
              <w:t xml:space="preserve">Vermont Medicaid global budget for hospitals begins January 2026 under AHEAD Cohort 2 State Agreement</w:t>
            </w:r>
          </w:p>
          <w:p>
            <w:pPr>
              <w:numPr>
                <w:ilvl w:val="0"/>
                <w:numId w:val="1006"/>
              </w:numPr>
              <w:spacing w:after="60" w:line="264" w:lineRule="auto"/>
            </w:pPr>
            <w:r>
              <w:rPr>
                <w:sz w:val="20"/>
                <w:szCs w:val="20"/>
              </w:rPr>
              <w:t xml:space="preserve">Act 55 outpatient drug cap at 120% of ASP effective April 2025, generating estimated $135M in annual savings</w:t>
            </w:r>
          </w:p>
          <w:p>
            <w:pPr>
              <w:numPr>
                <w:ilvl w:val="0"/>
                <w:numId w:val="1006"/>
              </w:numPr>
              <w:spacing w:after="60" w:line="264" w:lineRule="auto"/>
            </w:pPr>
            <w:r>
              <w:rPr>
                <w:sz w:val="20"/>
                <w:szCs w:val="20"/>
              </w:rPr>
              <w:t xml:space="preserve">Reference-based pricing for hospital services implemented — maximum amounts hospitals can charge commercial payers, set by GMCB rule</w:t>
            </w:r>
          </w:p>
          <w:p>
            <w:pPr>
              <w:numPr>
                <w:ilvl w:val="0"/>
                <w:numId w:val="1006"/>
              </w:numPr>
              <w:spacing w:after="60" w:line="264" w:lineRule="auto"/>
            </w:pPr>
            <w:r>
              <w:rPr>
                <w:sz w:val="20"/>
                <w:szCs w:val="20"/>
              </w:rPr>
              <w:t xml:space="preserve">GMCB publishes hospital price transparency dashboard</w:t>
            </w:r>
          </w:p>
          <w:p>
            <w:pPr>
              <w:numPr>
                <w:ilvl w:val="0"/>
                <w:numId w:val="1006"/>
              </w:numPr>
              <w:spacing w:after="60" w:line="264" w:lineRule="auto"/>
            </w:pPr>
            <w:r>
              <w:rPr>
                <w:sz w:val="20"/>
                <w:szCs w:val="20"/>
              </w:rPr>
              <w:t xml:space="preserve">RBP vendor selection and methodology finalized; rulemaking completed</w:t>
            </w:r>
          </w:p>
          <w:p>
            <w:pPr>
              <w:numPr>
                <w:ilvl w:val="0"/>
                <w:numId w:val="1006"/>
              </w:numPr>
              <w:spacing w:after="60" w:line="264" w:lineRule="auto"/>
            </w:pPr>
            <w:r>
              <w:rPr>
                <w:sz w:val="20"/>
                <w:szCs w:val="20"/>
              </w:rPr>
              <w:t xml:space="preserve">Global hospital budgets established for non-critical access hospitals</w:t>
            </w:r>
          </w:p>
          <w:p>
            <w:pPr>
              <w:numPr>
                <w:ilvl w:val="0"/>
                <w:numId w:val="1006"/>
              </w:numPr>
              <w:spacing w:after="60" w:line="264" w:lineRule="auto"/>
            </w:pPr>
            <w:r>
              <w:rPr>
                <w:sz w:val="20"/>
                <w:szCs w:val="20"/>
              </w:rPr>
              <w:t xml:space="preserve">AHS Statewide Health Care Delivery Strategic Plan delivered to legislature by December 2028</w:t>
            </w:r>
          </w:p>
          <w:p>
            <w:pPr>
              <w:numPr>
                <w:ilvl w:val="0"/>
                <w:numId w:val="1006"/>
              </w:numPr>
              <w:spacing w:after="60" w:line="264" w:lineRule="auto"/>
            </w:pPr>
            <w:r>
              <w:rPr>
                <w:sz w:val="20"/>
                <w:szCs w:val="20"/>
              </w:rPr>
              <w:t xml:space="preserve">AHEAD Model Cohort 2 full operation; Medicare FFS hospital global budgets active</w:t>
            </w:r>
          </w:p>
          <w:p>
            <w:pPr>
              <w:numPr>
                <w:ilvl w:val="0"/>
                <w:numId w:val="1006"/>
              </w:numPr>
              <w:spacing w:after="60" w:line="264" w:lineRule="auto"/>
            </w:pPr>
            <w:r>
              <w:rPr>
                <w:sz w:val="20"/>
                <w:szCs w:val="20"/>
              </w:rPr>
              <w:t xml:space="preserve">CMMI transformation grants of $1.2M available through AHEAD Cooperative Agreement Year 3</w:t>
            </w:r>
          </w:p>
          <w:p>
            <w:pPr>
              <w:numPr>
                <w:ilvl w:val="0"/>
                <w:numId w:val="1006"/>
              </w:numPr>
              <w:spacing w:after="60" w:line="264" w:lineRule="auto"/>
            </w:pPr>
            <w:r>
              <w:rPr>
                <w:sz w:val="20"/>
                <w:szCs w:val="20"/>
              </w:rPr>
              <w:t xml:space="preserve">Global hospital budgets for all Vermont hospitals, including critical access hospitals</w:t>
            </w:r>
          </w:p>
          <w:p>
            <w:pPr>
              <w:spacing w:after="60" w:line="264" w:lineRule="auto"/>
            </w:pPr>
            <w:r>
              <w:rPr>
                <w:sz w:val="20"/>
                <w:szCs w:val="20"/>
              </w:rPr>
              <w:t xml:space="preserve">These deadlines are not aspirational. They are statutory obligations. Organizations planning capital investments, contract negotiations, workforce strategies, or technology deployments that interact with Vermont’s hospital system must treat these dates as certainties, not contingencies.</w:t>
            </w:r>
          </w:p>
        </w:tc>
      </w:tr>
    </w:tbl>
    <w:p>
      <w:pPr>
        <w:spacing w:after="120"/>
      </w:pPr>
    </w:p>
    <w:p>
      <w:pPr>
        <w:pStyle w:val="Heading2"/>
        <w:pBdr>
          <w:top w:val="single" w:sz="6" w:space="10" w:color="C9D2DF"/>
        </w:pBdr>
      </w:pPr>
      <w:r>
        <w:rPr>
          <w:color w:val="161B22"/>
        </w:rPr>
        <w:t xml:space="preserve">2.8  </w:t>
      </w:r>
      <w:bookmarkStart w:id="1085" w:name="_Toc1084"/>
      <w:r>
        <w:rPr>
          <w:b/>
          <w:bCs/>
          <w:color w:val="161B22"/>
        </w:rPr>
        <w:t xml:space="preserve">The Rural Health Transformation Program: Capital for an Operational Strategy</w:t>
      </w:r>
      <w:bookmarkEnd w:id="1085"/>
    </w:p>
    <w:p>
      <w:pPr>
        <w:pStyle w:val="FirstParagraph"/>
      </w:pPr>
      <w: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in December 2025, nearly double what the state had expected to receive and among the highest per-capita awards nationally.</w:t>
      </w:r>
    </w:p>
    <w:p>
      <w:pPr>
        <w:pStyle w:val="BodyText"/>
      </w:pPr>
      <w:r>
        <w:t xml:space="preserve">The RHT application is itself a teaching document for healthcare transformation practice, because it is structured entirely around the Act 167 and Act 68 goals. Vermont’s vision, stated explicitly in the application, is to ensure that rural residents have access to the right care, at the right time, in the right place, at an affordable cost — a direct echo of the AHS health care reform vision statement. The application’s three strategic goals map onto Oliver Wyman’s three imperatives: strengthening hospital sustainability and primary care (Move all care possible out of hospitals); building workforce pipeline and retention capacity (Build housing and fix the conditions that drive workforce shortage); and leveraging innovative strategies to reduce costs (Pay with reference-based pricing and move to global budgets).</w:t>
      </w:r>
    </w:p>
    <w:p>
      <w:pPr>
        <w:pStyle w:val="BodyText"/>
      </w:pPr>
      <w:r>
        <w:t xml:space="preserve">AHS Secretary Samuelson’s framing of the award is the correct analytical frame: the $195 million is not Vermont’s healthcare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explicitly aligns every RHT initiative to the statutory Act 167 and Act 68 goals, is a model of how capital investments should be positioned within a structural reform agenda.</w:t>
      </w:r>
    </w:p>
    <w:p>
      <w:pPr>
        <w:pStyle w:val="BodyText"/>
      </w:pPr>
      <w:r>
        <w:t xml:space="preserve">The specific initiatives funded through Vermont’s RHT award include telehealth expansion for specialty care access in rural hospitals, workforce recruitment and retention programs with five-year service obligations, hospital analytics infrastructure to support regional transformation planning, dialysis capacity development for nursing home residents, and CCBHC expansion to certify five additional community behavioral health clinic entities by July 2026. Each of these investments addresses a specific node in Oliver Wyman’s systems failure map — and each is designed to reduce ongoing structural costs rather than subsidize their continuation.</w:t>
      </w:r>
    </w:p>
    <w:p>
      <w:pPr>
        <w:pStyle w:val="Heading2"/>
        <w:pBdr>
          <w:top w:val="single" w:sz="6" w:space="10" w:color="C9D2DF"/>
        </w:pBdr>
      </w:pPr>
      <w:r>
        <w:rPr>
          <w:color w:val="161B22"/>
        </w:rPr>
        <w:t xml:space="preserve">2.9  </w:t>
      </w:r>
      <w:bookmarkStart w:id="1086" w:name="_Toc1085"/>
      <w:r>
        <w:rPr>
          <w:b/>
          <w:bCs/>
          <w:color w:val="161B22"/>
        </w:rPr>
        <w:t xml:space="preserve">Cross-State Lessons: What Vermont’s Model Generalizes</w:t>
      </w:r>
      <w:bookmarkEnd w:id="1086"/>
    </w:p>
    <w:p>
      <w:pPr>
        <w:pStyle w:val="FirstParagraph"/>
      </w:pPr>
      <w: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pPr>
        <w:pStyle w:val="BodyText"/>
      </w:pPr>
      <w:r>
        <w:t xml:space="preserve">Five generalizable lessons emerge from the Vermont case.</w:t>
      </w:r>
    </w:p>
    <w:p>
      <w:pPr>
        <w:pStyle w:val="BodyText"/>
      </w:pPr>
      <w:r>
        <w:t xml:space="preserve">First, diagnosis precedes legislation. Vermont’s Act 68 is as effective as it is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pPr>
        <w:pStyle w:val="BodyText"/>
      </w:pPr>
      <w:r>
        <w:t xml:space="preserve">Second, voluntary reform achieves voluntary compliance. Vermont’s decade-long experience with voluntary global budget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pPr>
        <w:pStyle w:val="BodyText"/>
      </w:pPr>
      <w: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Oregon’s RBP experience, Montana’s experience, and Maryland’s global budget model all confirm this.</w:t>
      </w:r>
    </w:p>
    <w:p>
      <w:pPr>
        <w:pStyle w:val="BodyText"/>
      </w:pPr>
      <w: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pPr>
        <w:pStyle w:val="Heading2"/>
        <w:pBdr>
          <w:top w:val="single" w:sz="6" w:space="10" w:color="C9D2DF"/>
        </w:pBdr>
        <w:keepNext w:val="false"/>
      </w:pPr>
      <w:r>
        <w:rPr>
          <w:color w:val="161B22"/>
        </w:rPr>
        <w:t xml:space="preserve">2.10  </w:t>
      </w:r>
      <w:bookmarkStart w:id="1087" w:name="_Toc1086"/>
      <w:r>
        <w:rPr>
          <w:b/>
          <w:bCs/>
          <w:color w:val="161B22"/>
        </w:rPr>
        <w:t xml:space="preserve">Work This Chapter on the Platform</w:t>
      </w:r>
      <w:bookmarkEnd w:id="1087"/>
    </w:p>
    <w:p>
      <w:pPr>
        <w:pStyle w:val="FirstParagraph"/>
        <w:keepNext w:val="false"/>
      </w:pPr>
      <w:r>
        <w:t xml:space="preserve">Chapter 2’s legislative architecture becomes concrete when you model it. The platform lets you stress-test the policy choices Vermont made — mandatory vs. voluntary participation, waiver design, and the budget-neutrality math CMS requires.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tc>
          <w:tcPr>
            <w:tcW w:w="4062" w:type="dxa"/>
          </w:tcPr>
          <w:p>
            <w:pPr>
              <w:pStyle w:val="Compact"/>
              <w:jc w:val="left"/>
            </w:pPr>
            <w:r>
              <w:rPr>
                <w:sz w:val="18"/>
              </w:rPr>
              <w:t xml:space="preserve">Model an 1115 waiver or all-payer global budget design against a pre-loaded state scenario</w:t>
            </w:r>
          </w:p>
        </w:tc>
        <w:tc>
          <w:tcPr>
            <w:tcW w:w="947" w:type="dxa"/>
          </w:tcPr>
          <w:p>
            <w:pPr>
              <w:pStyle w:val="Compact"/>
              <w:jc w:val="left"/>
            </w:pPr>
            <w:r>
              <w:rPr>
                <w:b/>
                <w:bCs/>
                <w:sz w:val="18"/>
              </w:rPr>
              <w:t xml:space="preserve">Policy Simulator</w:t>
            </w:r>
            <w:r>
              <w:rPr>
                <w:sz w:val="18"/>
              </w:rPr>
              <w:t xml:space="preserve"> </w:t>
            </w:r>
            <w:r>
              <w:rPr>
                <w:sz w:val="18"/>
              </w:rPr>
              <w:t xml:space="preserve">—</w:t>
            </w:r>
            <w:r>
              <w:rPr>
                <w:sz w:val="18"/>
              </w:rPr>
              <w:t xml:space="preserve"> </w:t>
            </w:r>
            <w:r>
              <w:rPr>
                <w:rStyle w:val="VerbatimChar"/>
                <w:sz w:val="18"/>
              </w:rPr>
              <w:t xml:space="preserve">/research-lab/policy-quality?tab=policy</w:t>
            </w:r>
          </w:p>
        </w:tc>
        <w:tc>
          <w:tcPr>
            <w:tcW w:w="4062" w:type="dxa"/>
          </w:tcPr>
          <w:p>
            <w:pPr>
              <w:pStyle w:val="Compact"/>
              <w:jc w:val="left"/>
            </w:pPr>
            <w:r>
              <w:rPr>
                <w:sz w:val="18"/>
              </w:rPr>
              <w:t xml:space="preserve">Compare a</w:t>
            </w:r>
            <w:r>
              <w:rPr>
                <w:sz w:val="18"/>
              </w:rPr>
              <w:t xml:space="preserve"> </w:t>
            </w:r>
            <w:r>
              <w:rPr>
                <w:sz w:val="18"/>
              </w:rPr>
              <w:t xml:space="preserve">“more funding, same structure”</w:t>
            </w:r>
            <w:r>
              <w:rPr>
                <w:sz w:val="18"/>
              </w:rPr>
              <w:t xml:space="preserve"> </w:t>
            </w:r>
            <w:r>
              <w:rPr>
                <w:sz w:val="18"/>
              </w:rPr>
              <w:t xml:space="preserve">path against a structural-reform path — the Oliver Wyman three-imperatives test.</w:t>
            </w:r>
          </w:p>
        </w:tc>
      </w:tr>
      <w:tr>
        <w:trPr/>
        <w:tc>
          <w:tcPr>
            <w:tcW w:w="4062" w:type="dxa"/>
          </w:tcPr>
          <w:p>
            <w:pPr>
              <w:pStyle w:val="Compact"/>
              <w:jc w:val="left"/>
            </w:pPr>
            <w:r>
              <w:rPr>
                <w:sz w:val="18"/>
              </w:rPr>
              <w:t xml:space="preserve">Trace how a statutory mandate cascades into operational deadlines</w:t>
            </w:r>
          </w:p>
        </w:tc>
        <w:tc>
          <w:tcPr>
            <w:tcW w:w="947" w:type="dxa"/>
          </w:tcPr>
          <w:p>
            <w:pPr>
              <w:pStyle w:val="Compact"/>
              <w:jc w:val="left"/>
            </w:pPr>
            <w:r>
              <w:rPr>
                <w:b/>
                <w:bCs/>
                <w:sz w:val="18"/>
              </w:rPr>
              <w:t xml:space="preserve">Vermont Act 167</w:t>
            </w:r>
            <w:r>
              <w:rPr>
                <w:sz w:val="18"/>
              </w:rPr>
              <w:t xml:space="preserve"> </w:t>
            </w:r>
            <w:r>
              <w:rPr>
                <w:sz w:val="18"/>
              </w:rPr>
              <w:t xml:space="preserve">—</w:t>
            </w:r>
            <w:r>
              <w:rPr>
                <w:sz w:val="18"/>
              </w:rPr>
              <w:t xml:space="preserve"> </w:t>
            </w:r>
            <w:r>
              <w:rPr>
                <w:rStyle w:val="VerbatimChar"/>
                <w:sz w:val="18"/>
              </w:rPr>
              <w:t xml:space="preserve">/vermont-act-167</w:t>
            </w:r>
            <w:r>
              <w:rPr>
                <w:sz w:val="18"/>
              </w:rPr>
              <w:t xml:space="preserve"> </w:t>
            </w:r>
            <w:r>
              <w:rPr>
                <w:sz w:val="18"/>
              </w:rPr>
              <w:t xml:space="preserve">and</w:t>
            </w:r>
            <w:r>
              <w:rPr>
                <w:sz w:val="18"/>
              </w:rPr>
              <w:t xml:space="preserve"> </w:t>
            </w:r>
            <w:r>
              <w:rPr>
                <w:b/>
                <w:bCs/>
                <w:sz w:val="18"/>
              </w:rPr>
              <w:t xml:space="preserve">Act 68</w:t>
            </w:r>
            <w:r>
              <w:rPr>
                <w:sz w:val="18"/>
              </w:rPr>
              <w:t xml:space="preserve"> </w:t>
            </w:r>
            <w:r>
              <w:rPr>
                <w:sz w:val="18"/>
              </w:rPr>
              <w:t xml:space="preserve">—</w:t>
            </w:r>
            <w:r>
              <w:rPr>
                <w:sz w:val="18"/>
              </w:rPr>
              <w:t xml:space="preserve"> </w:t>
            </w:r>
            <w:r>
              <w:rPr>
                <w:rStyle w:val="VerbatimChar"/>
                <w:sz w:val="18"/>
              </w:rPr>
              <w:t xml:space="preserve">/vermont-act-68</w:t>
            </w:r>
          </w:p>
        </w:tc>
        <w:tc>
          <w:tcPr>
            <w:tcW w:w="4062" w:type="dxa"/>
          </w:tcPr>
          <w:p>
            <w:pPr>
              <w:pStyle w:val="Compact"/>
              <w:jc w:val="left"/>
            </w:pPr>
            <w:r>
              <w:rPr>
                <w:sz w:val="18"/>
              </w:rPr>
              <w:t xml:space="preserve">Map each statutory deadline to the pillar it gates.</w:t>
            </w:r>
          </w:p>
        </w:tc>
      </w:tr>
    </w:tbl>
    <w:p>
      <w:pPr>
        <w:pStyle w:val="Caption"/>
        <w:spacing w:before="120"/>
      </w:pPr>
      <w:r>
        <w:rPr>
          <w:i/>
          <w:iCs/>
        </w:rPr>
        <w:t xml:space="preserve">Figure 2.H — Hands-on platform tools for the Policy Pillar.</w:t>
      </w:r>
    </w:p>
    <w:p>
      <w:pPr>
        <w:pStyle w:val="Heading2"/>
        <w:pBdr>
          <w:top w:val="single" w:sz="6" w:space="10" w:color="C9D2DF"/>
        </w:pBdr>
      </w:pPr>
      <w:r>
        <w:rPr>
          <w:color w:val="161B22"/>
        </w:rPr>
        <w:t xml:space="preserve">2.11  </w:t>
      </w:r>
      <w:bookmarkStart w:id="1088" w:name="_Toc1087"/>
      <w:r>
        <w:rPr>
          <w:b/>
          <w:bCs/>
          <w:color w:val="161B22"/>
        </w:rPr>
        <w:t xml:space="preserve">Implications for You</w:t>
      </w:r>
      <w:bookmarkEnd w:id="1088"/>
    </w:p>
    <w:p>
      <w:pPr>
        <w:pStyle w:val="FirstParagraph"/>
      </w:pPr>
      <w:r>
        <w:t xml:space="preserve">If you are a Vermont hospital executive: The single most important thing Act 68 requires of you is not compliance — it is preparation. RBP at 200% of Medicare is not a theoretical target; it is a statutory mandate effective FY2027.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pPr>
        <w:pStyle w:val="BodyText"/>
      </w:pPr>
      <w: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pPr>
        <w:pStyle w:val="BodyText"/>
      </w:pPr>
      <w:r>
        <w:t xml:space="preserve">If you are a Vermont legislator: The mandatory architecture of Act 68 — RBP, global budgets, the December 2028 Strategic Plan — is only as durable as the political will to enforce it. UVMMC challenged GMCB enforcement in court and lost. Future challenges are certain. The legislature’s role is to make clear that enforcement is not discretionary, that the GMCB has the resources and authority to defend its orders, and that the December 2028 deadline for the Strategic Plan requires a binding plan — not a descriptive one. The difference between a transformation that succeeds and one that produces documents is often determined by the legislature’s willingness to accept only the real thing.</w:t>
      </w:r>
    </w:p>
    <w:p>
      <w:pPr>
        <w:pStyle w:val="BodyText"/>
      </w:pPr>
      <w:r>
        <w:t xml:space="preserve">If you are a national health policy professional: Vermont’s Act 68 is the most detailed mandatory all-payer pricing statute enacted by any state in the modern regulatory environment. Before designing comparable legislation for other states, study what Act 68 got right — the mandatory RBP, the global budget timeline, the equity review requirements — and what remains untested: the December 2028 plan specificity requirement, the enforcement mechanism for plan non-compliance, and the interaction between federal Medicaid cuts and the state’s mandatory pricing timeline. Vermont will have answers to these questions by 2030 that no model projection can provide.</w:t>
      </w:r>
    </w:p>
    <w:p>
      <w:pPr>
        <w:pStyle w:val="BodyText"/>
      </w:pPr>
      <w:r>
        <w:t xml:space="preserve">Fifth, the AHS restructuring is the strategic plan. Oliver Wyman’s explicit recommendation that AHS align its sub-units with Hospital Service Areas, add a Division of Planning and Effectiveness, and restructure to better coordinate health and social service needs at the community level is the organizational design specification for what Act 68’s Statewide Strategic Plan must produce. The book develops this specification fully in the AHS Restructuring chapter that follows.</w:t>
      </w:r>
    </w:p>
    <w:p>
      <w:pPr>
        <w:pStyle w:val="Heading2"/>
        <w:pBdr>
          <w:top w:val="single" w:sz="6" w:space="10" w:color="C9D2DF"/>
        </w:pBdr>
      </w:pPr>
      <w:r>
        <w:rPr>
          <w:color w:val="161B22"/>
        </w:rPr>
        <w:t xml:space="preserve">2.12  </w:t>
      </w:r>
      <w:bookmarkStart w:id="1089" w:name="_Toc1088"/>
      <w:r>
        <w:rPr>
          <w:b/>
          <w:bCs/>
          <w:color w:val="161B22"/>
        </w:rPr>
        <w:t xml:space="preserve">Key Concepts in This Chapter</w:t>
      </w:r>
      <w:bookmarkEnd w:id="1089"/>
    </w:p>
    <w:p>
      <w:pPr>
        <w:pStyle w:val="FirstParagraph"/>
        <w:spacing w:before="160" w:after="120"/>
      </w:pPr>
      <w:r>
        <w:rPr>
          <w:rFonts w:ascii="Calibri" w:hAnsi="Calibri"/>
          <w:b/>
          <w:bCs/>
          <w:color w:val="2E74B5"/>
          <w:sz w:val="20"/>
        </w:rPr>
        <w:t xml:space="preserve">Platform for Change</w:t>
      </w:r>
      <w:r>
        <w:rPr>
          <w:rFonts w:ascii="Calibri" w:hAnsi="Calibri"/>
          <w:color w:val="000000"/>
          <w:sz w:val="18"/>
        </w:rPr>
        <w:br/>
      </w:r>
      <w:r>
        <w:rPr>
          <w:rFonts w:ascii="Calibri" w:hAnsi="Calibri"/>
          <w:color w:val="000000"/>
          <w:sz w:val="18"/>
        </w:rPr>
        <w:t xml:space="preserve">Oliver Wyman’s term for the five interconnected challenge domains — decreasing affordability, deteriorating sustainability, demographic trap, interconnected failure system, and equity gaps — that collectively make structural transformation unavoidable for Vermont.</w:t>
      </w:r>
    </w:p>
    <w:p>
      <w:pPr>
        <w:pStyle w:val="BodyText"/>
        <w:spacing w:before="160" w:after="120"/>
      </w:pPr>
      <w:r>
        <w:rPr>
          <w:rFonts w:ascii="Calibri" w:hAnsi="Calibri"/>
          <w:color w:val="000000"/>
          <w:sz w:val="18"/>
        </w:rPr>
        <w:t xml:space="preserve">The three imperatives</w:t>
      </w:r>
    </w:p>
    <w:p>
      <w:pPr>
        <w:pStyle w:val="BodyText"/>
        <w:spacing w:before="160" w:after="120"/>
      </w:pPr>
      <w:r>
        <w:rPr>
          <w:rFonts w:ascii="Calibri" w:hAnsi="Calibri"/>
          <w:color w:val="000000"/>
          <w:sz w:val="18"/>
        </w:rPr>
        <w:t xml:space="preserve">Oliver Wyman’s highest-level summary of what Vermont must do: build housing and fix transportation; pay PPS hospitals with reference-based pricing and move to global budgets; move all care possible out of hospitals.</w:t>
      </w:r>
    </w:p>
    <w:p>
      <w:pPr>
        <w:pStyle w:val="BodyText"/>
        <w:spacing w:before="160" w:after="120"/>
      </w:pPr>
      <w:r>
        <w:rPr>
          <w:rFonts w:ascii="Calibri" w:hAnsi="Calibri"/>
          <w:b/>
          <w:bCs/>
          <w:color w:val="2E74B5"/>
          <w:sz w:val="20"/>
        </w:rPr>
        <w:t xml:space="preserve">Center of Excellence (COE)</w:t>
      </w:r>
      <w:r>
        <w:rPr>
          <w:rFonts w:ascii="Calibri" w:hAnsi="Calibri"/>
          <w:color w:val="000000"/>
          <w:sz w:val="18"/>
        </w:rPr>
        <w:br/>
      </w:r>
      <w:r>
        <w:rPr>
          <w:rFonts w:ascii="Calibri" w:hAnsi="Calibri"/>
          <w:color w:val="000000"/>
          <w:sz w:val="18"/>
        </w:rPr>
        <w:t xml:space="preserve">A hospital or facility designated to concentrate volume and expertise in a specific specialty, receiving referrals from other hospitals and ensuring that patient volumes are sufficient to maintain clinical quality. Vermont’s regionalization plan designates COEs across 24 specialty categories at 10 of 14 current Hospital Service Areas.</w:t>
      </w:r>
    </w:p>
    <w:p>
      <w:pPr>
        <w:pStyle w:val="BodyText"/>
        <w:spacing w:before="160" w:after="120"/>
      </w:pPr>
      <w:r>
        <w:rPr>
          <w:rFonts w:ascii="Calibri" w:hAnsi="Calibri"/>
          <w:b/>
          <w:bCs/>
          <w:color w:val="2E74B5"/>
          <w:sz w:val="20"/>
        </w:rPr>
        <w:t xml:space="preserve">Balloon squeeze problem</w:t>
      </w:r>
      <w:r>
        <w:rPr>
          <w:rFonts w:ascii="Calibri" w:hAnsi="Calibri"/>
          <w:color w:val="000000"/>
          <w:sz w:val="18"/>
        </w:rPr>
        <w:br/>
      </w:r>
      <w:r>
        <w:rPr>
          <w:rFonts w:ascii="Calibri" w:hAnsi="Calibri"/>
          <w:color w:val="000000"/>
          <w:sz w:val="18"/>
        </w:rPr>
        <w:t xml:space="preserve">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p>
    <w:p>
      <w:pPr>
        <w:pStyle w:val="BodyText"/>
        <w:spacing w:before="160" w:after="120"/>
      </w:pPr>
      <w:r>
        <w:rPr>
          <w:rFonts w:ascii="Calibri" w:hAnsi="Calibri"/>
          <w:b/>
          <w:bCs/>
          <w:color w:val="2E74B5"/>
          <w:sz w:val="20"/>
        </w:rPr>
        <w:t xml:space="preserve">Statewide Health Care Delivery Strategic Plan</w:t>
      </w:r>
      <w:r>
        <w:rPr>
          <w:rFonts w:ascii="Calibri" w:hAnsi="Calibri"/>
          <w:color w:val="000000"/>
          <w:sz w:val="18"/>
        </w:rPr>
        <w:br/>
      </w:r>
      <w:r>
        <w:rPr>
          <w:rFonts w:ascii="Calibri" w:hAnsi="Calibri"/>
          <w:color w:val="000000"/>
          <w:sz w:val="18"/>
        </w:rPr>
        <w:t xml:space="preserve">The plan AHS is required to deliver to the Vermont legislature by December 2028 and update every three years, establishing the vision, goals, affordability benchmarks, and accountability metrics for Vermont’s transformed health care delivery system. Established by Act 68.</w:t>
      </w:r>
    </w:p>
    <w:p>
      <w:pPr>
        <w:pStyle w:val="BodyText"/>
        <w:spacing w:before="160" w:after="120"/>
      </w:pPr>
      <w:r>
        <w:rPr>
          <w:rFonts w:ascii="Calibri" w:hAnsi="Calibri"/>
          <w:b/>
          <w:bCs/>
          <w:color w:val="2E74B5"/>
          <w:sz w:val="20"/>
        </w:rPr>
        <w:t xml:space="preserve">Hospital Service Area (HSA)</w:t>
      </w:r>
      <w:r>
        <w:rPr>
          <w:rFonts w:ascii="Calibri" w:hAnsi="Calibri"/>
          <w:color w:val="000000"/>
          <w:sz w:val="18"/>
        </w:rPr>
        <w:br/>
      </w:r>
      <w:r>
        <w:rPr>
          <w:rFonts w:ascii="Calibri" w:hAnsi="Calibri"/>
          <w:color w:val="000000"/>
          <w:sz w:val="18"/>
        </w:rPr>
        <w:t xml:space="preserve">A geographic area defined around a hospital and the population it primarily serves. Vermont has 14 HSAs corresponding to its 14 hospitals. The HSA is the fundamental unit of analysis for Vermont’s regionalization and transformation planning.</w:t>
      </w:r>
    </w:p>
    <w:p>
      <w:pPr>
        <w:pStyle w:val="BodyText"/>
        <w:spacing w:before="160" w:after="120"/>
      </w:pPr>
      <w:r>
        <w:rPr>
          <w:rFonts w:ascii="Calibri" w:hAnsi="Calibri"/>
          <w:b/>
          <w:bCs/>
          <w:color w:val="2E74B5"/>
          <w:sz w:val="20"/>
        </w:rPr>
        <w:t xml:space="preserve">Rural Emergency Hospital (REH)</w:t>
      </w:r>
      <w:r>
        <w:rPr>
          <w:rFonts w:ascii="Calibri" w:hAnsi="Calibri"/>
          <w:color w:val="000000"/>
          <w:sz w:val="18"/>
        </w:rPr>
        <w:br/>
      </w:r>
      <w:r>
        <w:rPr>
          <w:rFonts w:ascii="Calibri" w:hAnsi="Calibri"/>
          <w:color w:val="000000"/>
          <w:sz w:val="18"/>
        </w:rPr>
        <w:t xml:space="preserve">A federal designation allowing a hospital to provide 24/7 emergency services and observation care without maintaining inpatient beds — an option for Vermont hospitals that cannot sustain full inpatient capacity but need to maintain emergency access for their communities.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p>
    <w:p>
      <w:r>
        <w:br w:type="page"/>
      </w:r>
    </w:p>
    <w:p>
      <w:pPr>
        <w:pStyle w:val="Heading1"/>
      </w:pPr>
      <w:bookmarkStart w:id="1090" w:name="_Toc1089"/>
      <w:r>
        <w:rPr>
          <w:b/>
          <w:bCs/>
          <w:color w:val="161B22"/>
        </w:rPr>
        <w:t xml:space="preserve">Chapter 3: The Policy Pillar in Practice — CMMI Models, Waiver Strategy, and the Federal-State Interface</w:t>
      </w:r>
      <w:bookmarkEnd w:id="1090"/>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implementation of Vermont’s mandatory policy architecture reveals how legislative intent becomes operational reality — and where the gaps between statute and execution create the most consequential risks.</w:t>
      </w:r>
    </w:p>
    <w:p>
      <w:pPr>
        <w:pStyle w:val="BodyText"/>
      </w:pPr>
      <w: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pPr>
        <w:pStyle w:val="BodyText"/>
      </w:pPr>
      <w:r>
        <w:rPr>
          <w:i/>
          <w:iCs/>
        </w:rPr>
        <w:t xml:space="preserve">Understanding what CMMI models work and why, how 1115 waivers are negotiated, and how H.R. 1 changes the Medicaid landscape — the practitioner framework for navigating federal policy.</w:t>
      </w:r>
    </w:p>
    <w:p>
      <w:pPr>
        <w:pStyle w:val="Heading2"/>
        <w:pBdr>
          <w:top w:val="single" w:sz="6" w:space="10" w:color="C9D2DF"/>
        </w:pBdr>
      </w:pPr>
      <w:r>
        <w:rPr>
          <w:color w:val="161B22"/>
        </w:rPr>
        <w:t xml:space="preserve">3.1  </w:t>
      </w:r>
      <w:bookmarkStart w:id="1091" w:name="_Toc1090"/>
      <w:r>
        <w:rPr>
          <w:b/>
          <w:bCs/>
          <w:color w:val="161B22"/>
        </w:rPr>
        <w:t xml:space="preserve">From Policy Architecture to Policy Practice</w:t>
      </w:r>
      <w:bookmarkEnd w:id="1091"/>
    </w:p>
    <w:p>
      <w:pPr>
        <w:pStyle w:val="FirstParagraph"/>
      </w:pPr>
      <w:r>
        <w:t xml:space="preserve">Chapter 3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pPr>
        <w:pStyle w:val="BodyText"/>
      </w:pPr>
      <w: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pPr>
        <w:pStyle w:val="Heading2"/>
        <w:pBdr>
          <w:top w:val="single" w:sz="6" w:space="10" w:color="C9D2DF"/>
        </w:pBdr>
      </w:pPr>
      <w:r>
        <w:rPr>
          <w:color w:val="161B22"/>
        </w:rPr>
        <w:t xml:space="preserve">3.2  </w:t>
      </w:r>
      <w:bookmarkStart w:id="1092" w:name="_Toc1091"/>
      <w:r>
        <w:rPr>
          <w:b/>
          <w:bCs/>
          <w:color w:val="161B22"/>
        </w:rPr>
        <w:t xml:space="preserve">The CMMI Landscape — What Exists, What Works, and What Has Been Discontinued</w:t>
      </w:r>
      <w:bookmarkEnd w:id="1092"/>
    </w:p>
    <w:p>
      <w:pPr>
        <w:pStyle w:val="FirstParagraph"/>
      </w:pPr>
      <w:r>
        <w:t xml:space="preserve">The Center for Medicare and Medicaid Innovation has been the primary federal vehicle for payment reform experimentation since its creation under the ACA. Over fifteen years, CMMI has launched more than fifty models, invested billions of dollars, and engaged thousands of healthcare organizations across the country. The results have been mixed in ways that carry specific lessons for organizations designing their own value-based care strategies.</w:t>
      </w:r>
    </w:p>
    <w:p>
      <w:pPr>
        <w:pStyle w:val="Heading3"/>
        <w:keepNext w:val="false"/>
      </w:pPr>
      <w:r>
        <w:rPr>
          <w:color w:val="161B22"/>
        </w:rPr>
        <w:t xml:space="preserve">3.2.1  </w:t>
      </w:r>
      <w:bookmarkStart w:id="1093" w:name="_Toc1092"/>
      <w:r>
        <w:rPr>
          <w:b/>
          <w:bCs/>
          <w:color w:val="161B22"/>
        </w:rPr>
        <w:t xml:space="preserve">The CMMI Track Record — An Honest Assessment</w:t>
      </w:r>
      <w:bookmarkEnd w:id="1093"/>
    </w:p>
    <w:p>
      <w:pPr>
        <w:pStyle w:val="FirstParagraph"/>
        <w:keepNext w:val="false"/>
      </w:pPr>
      <w: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tbl>
      <w:tblPr>
        <w:tblStyle w:val="HTRTable"/>
        <w:tblLook w:firstRow="1" w:lastRow="0" w:firstColumn="0" w:lastColumn="0" w:noHBand="0" w:noVBand="1" w:val="0020"/>
        <w:tblW w:w="9072" w:type="dxa"/>
        <w:tblLayout w:type="fixed"/>
      </w:tblPr>
      <w:tblGrid>
        <w:gridCol w:w="1749"/>
        <w:gridCol w:w="2440"/>
        <w:gridCol w:w="2440"/>
        <w:gridCol w:w="2440"/>
      </w:tblGrid>
      <w:tr>
        <w:trPr>
          <w:tblHeader w:val="on"/>
          <w:cantSplit/>
        </w:trPr>
        <w:tc>
          <w:tcPr>
            <w:shd w:val="clear" w:color="auto" w:fill="1B3A6B"/>
            <w:tcW w:w="1749" w:type="dxa"/>
          </w:tcPr>
          <w:p>
            <w:pPr>
              <w:pStyle w:val="Compact"/>
              <w:jc w:val="left"/>
            </w:pPr>
            <w:r>
              <w:rPr>
                <w:b/>
                <w:color w:val="FFFFFF"/>
                <w:sz w:val="18"/>
              </w:rPr>
              <w:t xml:space="preserve">Characteristic</w:t>
            </w:r>
          </w:p>
        </w:tc>
        <w:tc>
          <w:tcPr>
            <w:shd w:val="clear" w:color="auto" w:fill="1B3A6B"/>
            <w:tcW w:w="2440" w:type="dxa"/>
          </w:tcPr>
          <w:p>
            <w:pPr>
              <w:pStyle w:val="Compact"/>
              <w:jc w:val="left"/>
            </w:pPr>
            <w:r>
              <w:rPr>
                <w:b/>
                <w:color w:val="FFFFFF"/>
                <w:sz w:val="18"/>
              </w:rPr>
              <w:t xml:space="preserve">What it means</w:t>
            </w:r>
          </w:p>
        </w:tc>
        <w:tc>
          <w:tcPr>
            <w:shd w:val="clear" w:color="auto" w:fill="1B3A6B"/>
            <w:tcW w:w="2440" w:type="dxa"/>
          </w:tcPr>
          <w:p>
            <w:pPr>
              <w:pStyle w:val="Compact"/>
              <w:jc w:val="left"/>
            </w:pPr>
            <w:r>
              <w:rPr>
                <w:b/>
                <w:color w:val="FFFFFF"/>
                <w:sz w:val="18"/>
              </w:rPr>
              <w:t xml:space="preserve">Models with this characteristic</w:t>
            </w:r>
          </w:p>
        </w:tc>
        <w:tc>
          <w:tcPr>
            <w:shd w:val="clear" w:color="auto" w:fill="1B3A6B"/>
            <w:tcW w:w="2440" w:type="dxa"/>
          </w:tcPr>
          <w:p>
            <w:pPr>
              <w:pStyle w:val="Compact"/>
              <w:jc w:val="left"/>
            </w:pPr>
            <w:r>
              <w:rPr>
                <w:b/>
                <w:color w:val="FFFFFF"/>
                <w:sz w:val="18"/>
              </w:rPr>
              <w:t xml:space="preserve">Models without it</w:t>
            </w:r>
          </w:p>
        </w:tc>
      </w:tr>
      <w:tr>
        <w:trPr>
          <w:cantSplit/>
        </w:trPr>
        <w:tc>
          <w:tcPr>
            <w:tcW w:w="1749" w:type="dxa"/>
          </w:tcPr>
          <w:p>
            <w:pPr>
              <w:pStyle w:val="Compact"/>
              <w:jc w:val="left"/>
            </w:pPr>
            <w:r>
              <w:rPr>
                <w:sz w:val="18"/>
              </w:rPr>
              <w:t xml:space="preserve">Mandatory or near-mandatory participation</w:t>
            </w:r>
          </w:p>
        </w:tc>
        <w:tc>
          <w:tcPr>
            <w:tcW w:w="2440" w:type="dxa"/>
          </w:tcPr>
          <w:p>
            <w:pPr>
              <w:pStyle w:val="Compact"/>
              <w:jc w:val="left"/>
            </w:pPr>
            <w:r>
              <w:rPr>
                <w:sz w:val="18"/>
              </w:rPr>
              <w:t xml:space="preserve">When high-cost, high-volume providers cannot opt out, the model’s financial logic applies to the full population. Voluntary models allow opt-out by the actors who benefit most from the status quo.</w:t>
            </w:r>
          </w:p>
        </w:tc>
        <w:tc>
          <w:tcPr>
            <w:tcW w:w="2440" w:type="dxa"/>
          </w:tcPr>
          <w:p>
            <w:pPr>
              <w:pStyle w:val="Compact"/>
              <w:jc w:val="left"/>
            </w:pPr>
            <w:r>
              <w:rPr>
                <w:sz w:val="18"/>
              </w:rPr>
              <w:t xml:space="preserve">AHEAD (for participating states, all hospitals must participate). Maryland All-Payer Model (mandatory for all Maryland hospitals). Vermont Act 68 (mandatory for all Vermont hospitals).</w:t>
            </w:r>
          </w:p>
        </w:tc>
        <w:tc>
          <w:tcPr>
            <w:tcW w:w="2440" w:type="dxa"/>
          </w:tcPr>
          <w:p>
            <w:pPr>
              <w:pStyle w:val="Compact"/>
              <w:jc w:val="left"/>
            </w:pPr>
            <w:r>
              <w:rPr>
                <w:sz w:val="18"/>
              </w:rPr>
              <w:t xml:space="preserve">Most CMMI ACO models. MSSP Track 1. Bundled Payments for Care Improvement (voluntary). Most demonstration projects.</w:t>
            </w:r>
          </w:p>
        </w:tc>
      </w:tr>
      <w:tr>
        <w:trPr/>
        <w:tc>
          <w:tcPr>
            <w:tcW w:w="1749" w:type="dxa"/>
          </w:tcPr>
          <w:p>
            <w:pPr>
              <w:pStyle w:val="Compact"/>
              <w:jc w:val="left"/>
            </w:pPr>
            <w:r>
              <w:rPr>
                <w:sz w:val="18"/>
              </w:rPr>
              <w:t xml:space="preserve">Two-sided risk that is real</w:t>
            </w:r>
          </w:p>
        </w:tc>
        <w:tc>
          <w:tcPr>
            <w:tcW w:w="2440" w:type="dxa"/>
          </w:tcPr>
          <w:p>
            <w:pPr>
              <w:pStyle w:val="Compact"/>
              <w:jc w:val="left"/>
            </w:pPr>
            <w:r>
              <w:rPr>
                <w:sz w:val="18"/>
              </w:rPr>
              <w:t xml:space="preserve">Financial downside for underperformance is sufficient to change organizational behavior. One-sided shared savings with minimal upside and no downside does not change hospital or health system decision-making at scale.</w:t>
            </w:r>
          </w:p>
        </w:tc>
        <w:tc>
          <w:tcPr>
            <w:tcW w:w="2440" w:type="dxa"/>
          </w:tcPr>
          <w:p>
            <w:pPr>
              <w:pStyle w:val="Compact"/>
              <w:jc w:val="left"/>
            </w:pPr>
            <w:r>
              <w:rPr>
                <w:sz w:val="18"/>
              </w:rPr>
              <w:t xml:space="preserve">ACO REACH (mandatory downside risk). Global budgets (hospitals bear population health risk directly). AHEAD (state-level accountability with meaningful consequences).</w:t>
            </w:r>
          </w:p>
        </w:tc>
        <w:tc>
          <w:tcPr>
            <w:tcW w:w="2440" w:type="dxa"/>
          </w:tcPr>
          <w:p>
            <w:pPr>
              <w:pStyle w:val="Compact"/>
              <w:jc w:val="left"/>
            </w:pPr>
            <w:r>
              <w:rPr>
                <w:sz w:val="18"/>
              </w:rPr>
              <w:t xml:space="preserve">MSSP Track 1 (upside only for most participants). Most early CMMI bundled payment models with modest downside. Primary Care First (limited financial exposure).</w:t>
            </w:r>
          </w:p>
        </w:tc>
      </w:tr>
      <w:tr>
        <w:trPr/>
        <w:tc>
          <w:tcPr>
            <w:tcW w:w="1749" w:type="dxa"/>
          </w:tcPr>
          <w:p>
            <w:pPr>
              <w:pStyle w:val="Compact"/>
              <w:jc w:val="left"/>
            </w:pPr>
            <w:r>
              <w:rPr>
                <w:sz w:val="18"/>
              </w:rPr>
              <w:t xml:space="preserve">Adequate implementation support</w:t>
            </w:r>
          </w:p>
        </w:tc>
        <w:tc>
          <w:tcPr>
            <w:tcW w:w="2440" w:type="dxa"/>
          </w:tcPr>
          <w:p>
            <w:pPr>
              <w:pStyle w:val="Compact"/>
              <w:jc w:val="left"/>
            </w:pPr>
            <w:r>
              <w:rPr>
                <w:sz w:val="18"/>
              </w:rPr>
              <w:t xml:space="preserve">Organizations need technical assistance, analytical tools, and sufficient runway to redesign care delivery before being held financially accountable for outcomes they cannot yet control.</w:t>
            </w:r>
          </w:p>
        </w:tc>
        <w:tc>
          <w:tcPr>
            <w:tcW w:w="2440" w:type="dxa"/>
          </w:tcPr>
          <w:p>
            <w:pPr>
              <w:pStyle w:val="Compact"/>
              <w:jc w:val="left"/>
            </w:pPr>
            <w:r>
              <w:rPr>
                <w:sz w:val="18"/>
              </w:rPr>
              <w:t xml:space="preserve">AHEAD (multi-year pre-performance period with substantial cooperative agreement funds). Vermont’s RHRC engagement. Making Care Primary (practice transformation support).</w:t>
            </w:r>
          </w:p>
        </w:tc>
        <w:tc>
          <w:tcPr>
            <w:tcW w:w="2440" w:type="dxa"/>
          </w:tcPr>
          <w:p>
            <w:pPr>
              <w:pStyle w:val="Compact"/>
              <w:jc w:val="left"/>
            </w:pPr>
            <w:r>
              <w:rPr>
                <w:sz w:val="18"/>
              </w:rPr>
              <w:t xml:space="preserve">Many early CMMI models that launched with insufficient operational support and were discontinued when providers could not implement effectively.</w:t>
            </w:r>
          </w:p>
        </w:tc>
      </w:tr>
      <w:tr>
        <w:trPr>
          <w:cantSplit/>
        </w:trPr>
        <w:tc>
          <w:tcPr>
            <w:tcW w:w="1749" w:type="dxa"/>
          </w:tcPr>
          <w:p>
            <w:pPr>
              <w:pStyle w:val="Compact"/>
              <w:jc w:val="left"/>
            </w:pPr>
            <w:r>
              <w:rPr>
                <w:sz w:val="18"/>
              </w:rPr>
              <w:t xml:space="preserve">Alignment with state regulatory environment</w:t>
            </w:r>
          </w:p>
        </w:tc>
        <w:tc>
          <w:tcPr>
            <w:tcW w:w="2440" w:type="dxa"/>
          </w:tcPr>
          <w:p>
            <w:pPr>
              <w:pStyle w:val="Compact"/>
              <w:jc w:val="left"/>
            </w:pPr>
            <w:r>
              <w:rPr>
                <w:sz w:val="18"/>
              </w:rPr>
              <w:t xml:space="preserve">Federal models that conflict with or duplicate state regulatory structures create compliance complexity without adding value. Models designed in partnership with state agencies produce better results.</w:t>
            </w:r>
          </w:p>
        </w:tc>
        <w:tc>
          <w:tcPr>
            <w:tcW w:w="2440" w:type="dxa"/>
          </w:tcPr>
          <w:p>
            <w:pPr>
              <w:pStyle w:val="Compact"/>
              <w:jc w:val="left"/>
            </w:pPr>
            <w:r>
              <w:rPr>
                <w:sz w:val="18"/>
              </w:rPr>
              <w:t xml:space="preserve">AHEAD (designed explicitly as federal-state partnership; requires state agreement and state regulatory alignment). Vermont-specific APM (state-federal co-design). Maryland TCOC (built on Maryland’s existing HSCRC regulatory authority).</w:t>
            </w:r>
          </w:p>
        </w:tc>
        <w:tc>
          <w:tcPr>
            <w:tcW w:w="2440" w:type="dxa"/>
          </w:tcPr>
          <w:p>
            <w:pPr>
              <w:pStyle w:val="Compact"/>
              <w:jc w:val="left"/>
            </w:pPr>
            <w:r>
              <w:rPr>
                <w:sz w:val="18"/>
              </w:rPr>
              <w:t xml:space="preserve">Federal models imposed on states without coordination with state Medicaid agencies, insurance regulators, or hospital budget review processes.</w:t>
            </w:r>
          </w:p>
        </w:tc>
      </w:tr>
    </w:tbl>
    <w:p>
      <w:pPr>
        <w:pStyle w:val="Caption"/>
        <w:spacing w:before="120"/>
      </w:pPr>
      <w:r>
        <w:rPr>
          <w:i/>
          <w:iCs/>
        </w:rPr>
        <w:t xml:space="preserve">Figure 3.1 — CMMI model success factors: what distinguishes models that produce results from those that don’t. Source: HTR analysis of CMMI evaluation literature; CMS model documentation.</w:t>
      </w:r>
    </w:p>
    <w:p>
      <w:pPr>
        <w:pStyle w:val="Heading3"/>
        <w:keepNext w:val="false"/>
      </w:pPr>
      <w:r>
        <w:rPr>
          <w:color w:val="161B22"/>
        </w:rPr>
        <w:t xml:space="preserve">3.2.2  </w:t>
      </w:r>
      <w:bookmarkStart w:id="1094" w:name="_Toc1093"/>
      <w:r>
        <w:rPr>
          <w:b/>
          <w:bCs/>
          <w:color w:val="161B22"/>
        </w:rPr>
        <w:t xml:space="preserve">The Current Active CMMI Model Landscape (2026)</w:t>
      </w:r>
      <w:bookmarkEnd w:id="1094"/>
    </w:p>
    <w:p>
      <w:pPr>
        <w:pStyle w:val="FirstParagraph"/>
        <w:keepNext w:val="false"/>
      </w:pPr>
      <w:r>
        <w:t xml:space="preserve">As of 2026, the CMMI model portfolio has been significantly rationalized from its peak breadth under prior administrations. The models with the highest relevance to Vermont-style transformation are:</w:t>
      </w:r>
    </w:p>
    <w:tbl>
      <w:tblPr>
        <w:tblStyle w:val="HTRTable"/>
        <w:tblLook w:firstRow="1" w:lastRow="0" w:firstColumn="0" w:lastColumn="0" w:noHBand="0" w:noVBand="1" w:val="0020"/>
        <w:tblW w:w="9072" w:type="dxa"/>
        <w:tblLayout w:type="fixed"/>
      </w:tblPr>
      <w:tblGrid>
        <w:gridCol w:w="2325"/>
        <w:gridCol w:w="6735"/>
      </w:tblGrid>
      <w:tr>
        <w:trPr>
          <w:tblHeader w:val="on"/>
          <w:cantSplit/>
        </w:trPr>
        <w:tc>
          <w:tcPr>
            <w:shd w:val="clear" w:color="auto" w:fill="1B3A6B"/>
            <w:tcW w:w="2325" w:type="dxa"/>
          </w:tcPr>
          <w:p>
            <w:pPr>
              <w:pStyle w:val="Compact"/>
              <w:jc w:val="left"/>
            </w:pPr>
            <w:r>
              <w:rPr>
                <w:b/>
                <w:color w:val="FFFFFF"/>
                <w:sz w:val="18"/>
              </w:rPr>
              <w:t xml:space="preserve">Model</w:t>
            </w:r>
          </w:p>
        </w:tc>
        <w:tc>
          <w:tcPr>
            <w:shd w:val="clear" w:color="auto" w:fill="1B3A6B"/>
            <w:tcW w:w="6735" w:type="dxa"/>
          </w:tcPr>
          <w:p>
            <w:pPr>
              <w:pStyle w:val="Compact"/>
              <w:jc w:val="left"/>
            </w:pPr>
            <w:r>
              <w:rPr>
                <w:b/>
                <w:color w:val="FFFFFF"/>
                <w:sz w:val="18"/>
              </w:rPr>
              <w:t xml:space="preserve">Key features and relevance</w:t>
            </w:r>
          </w:p>
        </w:tc>
      </w:tr>
      <w:tr>
        <w:trPr>
          <w:cantSplit/>
        </w:trPr>
        <w:tc>
          <w:tcPr>
            <w:tcW w:w="2325" w:type="dxa"/>
          </w:tcPr>
          <w:p>
            <w:pPr>
              <w:pStyle w:val="Compact"/>
              <w:jc w:val="left"/>
            </w:pPr>
            <w:r>
              <w:rPr>
                <w:sz w:val="18"/>
              </w:rPr>
              <w:t xml:space="preserve">AHEAD (Achieving Healthcare Efficiency through Accountable Design)</w:t>
            </w:r>
          </w:p>
        </w:tc>
        <w:tc>
          <w:tcPr>
            <w:tcW w:w="6735" w:type="dxa"/>
          </w:tcPr>
          <w:p>
            <w:pPr>
              <w:pStyle w:val="Compact"/>
              <w:jc w:val="left"/>
            </w:pPr>
            <w:r>
              <w:rPr>
                <w:sz w:val="18"/>
              </w:rPr>
              <w:t xml:space="preserve">Six-state voluntary total cost of care model. Vermont in Cohort 2 (begins January 2028). Hospital global budgets for Medicare FFS. Enhanced primary care payments. $150M/year additional Medicare funds for Vermont. The most relevant model for state-level transformation.</w:t>
            </w:r>
          </w:p>
        </w:tc>
      </w:tr>
      <w:tr>
        <w:trPr/>
        <w:tc>
          <w:tcPr>
            <w:tcW w:w="2325" w:type="dxa"/>
          </w:tcPr>
          <w:p>
            <w:pPr>
              <w:pStyle w:val="Compact"/>
              <w:jc w:val="left"/>
            </w:pPr>
            <w:r>
              <w:rPr>
                <w:sz w:val="18"/>
              </w:rPr>
              <w:t xml:space="preserve">ACO REACH (Realizing Equity, Access, and Community Health)</w:t>
            </w:r>
          </w:p>
        </w:tc>
        <w:tc>
          <w:tcPr>
            <w:tcW w:w="6735" w:type="dxa"/>
          </w:tcPr>
          <w:p>
            <w:pPr>
              <w:pStyle w:val="Compact"/>
              <w:jc w:val="left"/>
            </w:pPr>
            <w:r>
              <w:rPr>
                <w:sz w:val="18"/>
              </w:rPr>
              <w:t xml:space="preserve">Medicare FFS ACO model with mandatory two-sided risk. Full-risk capitation option. Equity focus including SDOH requirements. For organizations managing attributed Medicare populations outside of a state-level model, ACO REACH is the highest-accountability current federal ACO option.</w:t>
            </w:r>
          </w:p>
        </w:tc>
      </w:tr>
      <w:tr>
        <w:trPr/>
        <w:tc>
          <w:tcPr>
            <w:tcW w:w="2325" w:type="dxa"/>
          </w:tcPr>
          <w:p>
            <w:pPr>
              <w:pStyle w:val="Compact"/>
              <w:jc w:val="left"/>
            </w:pPr>
            <w:r>
              <w:rPr>
                <w:sz w:val="18"/>
              </w:rPr>
              <w:t xml:space="preserve">Making Care Primary (MCP)</w:t>
            </w:r>
          </w:p>
        </w:tc>
        <w:tc>
          <w:tcPr>
            <w:tcW w:w="6735" w:type="dxa"/>
          </w:tcPr>
          <w:p>
            <w:pPr>
              <w:pStyle w:val="Compact"/>
              <w:jc w:val="left"/>
            </w:pPr>
            <w:r>
              <w:rPr>
                <w:sz w:val="18"/>
              </w:rPr>
              <w:t xml:space="preserve">Multi-payer primary care transformation model in 8-state initial cohort. 10-year model. Three-stage progression from basic to advanced primary care capabilities. States not participating in AHEAD may find MCP a viable primary care transformation vehicle.</w:t>
            </w:r>
          </w:p>
        </w:tc>
      </w:tr>
      <w:tr>
        <w:trPr/>
        <w:tc>
          <w:tcPr>
            <w:tcW w:w="2325" w:type="dxa"/>
          </w:tcPr>
          <w:p>
            <w:pPr>
              <w:pStyle w:val="Compact"/>
              <w:jc w:val="left"/>
            </w:pPr>
            <w:r>
              <w:rPr>
                <w:sz w:val="18"/>
              </w:rPr>
              <w:t xml:space="preserve">BALANCE Model</w:t>
            </w:r>
          </w:p>
        </w:tc>
        <w:tc>
          <w:tcPr>
            <w:tcW w:w="6735" w:type="dxa"/>
          </w:tcPr>
          <w:p>
            <w:pPr>
              <w:pStyle w:val="Compact"/>
              <w:jc w:val="left"/>
            </w:pPr>
            <w:r>
              <w:rPr>
                <w:sz w:val="18"/>
              </w:rPr>
              <w:t xml:space="preserve">GLP-1 obesity drug coverage for Medicare and Medicaid enrollees at negotiated prices. Voluntary for manufacturers, states, and plans. Medicaid launch May 2026; Medicare Part D January 2028. Critical equity and chronic disease management model.</w:t>
            </w:r>
          </w:p>
        </w:tc>
      </w:tr>
      <w:tr>
        <w:trPr>
          <w:cantSplit/>
        </w:trPr>
        <w:tc>
          <w:tcPr>
            <w:tcW w:w="2325" w:type="dxa"/>
          </w:tcPr>
          <w:p>
            <w:pPr>
              <w:pStyle w:val="Compact"/>
              <w:jc w:val="left"/>
            </w:pPr>
            <w:r>
              <w:rPr>
                <w:sz w:val="18"/>
              </w:rPr>
              <w:t xml:space="preserve">Bundled Payments for Care Improvement Advanced (BPCI-A)</w:t>
            </w:r>
          </w:p>
        </w:tc>
        <w:tc>
          <w:tcPr>
            <w:tcW w:w="6735" w:type="dxa"/>
          </w:tcPr>
          <w:p>
            <w:pPr>
              <w:pStyle w:val="Compact"/>
              <w:jc w:val="left"/>
            </w:pPr>
            <w:r>
              <w:rPr>
                <w:sz w:val="18"/>
              </w:rPr>
              <w:t xml:space="preserve">Episode-based payment for acute and post-acute care episodes. Voluntary. For health systems and post-acute providers, BPCI-A remains a viable two-sided risk VBC entry point for specific service lines (joint replacement, cardiac, etc.).</w:t>
            </w:r>
          </w:p>
        </w:tc>
      </w:tr>
    </w:tbl>
    <w:p>
      <w:pPr>
        <w:pStyle w:val="Caption"/>
        <w:spacing w:before="120"/>
      </w:pPr>
      <w:r>
        <w:rPr>
          <w:i/>
          <w:iCs/>
        </w:rPr>
        <w:t xml:space="preserve">Figure 3.2 — CMMI models most relevant to Vermont’s transformation. Source: CMS Innovation Center.</w:t>
      </w:r>
    </w:p>
    <w:p>
      <w:pPr>
        <w:pStyle w:val="Heading2"/>
        <w:pBdr>
          <w:top w:val="single" w:sz="6" w:space="10" w:color="C9D2DF"/>
        </w:pBdr>
      </w:pPr>
      <w:r>
        <w:rPr>
          <w:color w:val="161B22"/>
        </w:rPr>
        <w:t xml:space="preserve">3.3  </w:t>
      </w:r>
      <w:bookmarkStart w:id="1095" w:name="_Toc1094"/>
      <w:r>
        <w:rPr>
          <w:b/>
          <w:bCs/>
          <w:color w:val="161B22"/>
        </w:rPr>
        <w:t xml:space="preserve">Section 1115 Waivers — The State’s Primary Federal Policy Tool</w:t>
      </w:r>
      <w:bookmarkEnd w:id="1095"/>
    </w:p>
    <w:p>
      <w:pPr>
        <w:pStyle w:val="FirstParagraph"/>
      </w:pPr>
      <w: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pPr>
        <w:pStyle w:val="Heading3"/>
      </w:pPr>
      <w:r>
        <w:rPr>
          <w:color w:val="161B22"/>
        </w:rPr>
        <w:t xml:space="preserve">3.3.1  </w:t>
      </w:r>
      <w:bookmarkStart w:id="1096" w:name="_Toc1095"/>
      <w:r>
        <w:rPr>
          <w:b/>
          <w:bCs/>
          <w:color w:val="161B22"/>
        </w:rPr>
        <w:t xml:space="preserve">What 1115 Waivers Can and Cannot Do</w:t>
      </w:r>
      <w:bookmarkEnd w:id="1096"/>
    </w:p>
    <w:p>
      <w:pPr>
        <w:pStyle w:val="FirstParagraph"/>
      </w:pPr>
      <w:r>
        <w:t xml:space="preserve">Understanding the scope and limits of 1115 waiver authority is essential for any state or organization involved in Medicaid reform. The following framework organizes the most common 1115 waiver applications:</w:t>
      </w:r>
    </w:p>
    <w:p>
      <w:pPr>
        <w:pStyle w:val="Heading3"/>
      </w:pPr>
      <w:r>
        <w:rPr>
          <w:color w:val="161B22"/>
        </w:rPr>
        <w:t xml:space="preserve">3.3.2  </w:t>
      </w:r>
      <w:bookmarkStart w:id="1097" w:name="_Toc1096"/>
      <w:r>
        <w:rPr>
          <w:b/>
          <w:bCs/>
          <w:color w:val="161B22"/>
        </w:rPr>
        <w:t xml:space="preserve">1115 Waiver Authorities: What States Can Accomplish</w:t>
      </w:r>
      <w:bookmarkEnd w:id="1097"/>
    </w:p>
    <w:p>
      <w:pPr>
        <w:pStyle w:val="FirstParagraph"/>
      </w:pPr>
      <w:r>
        <w:t xml:space="preserve">Coverage expansions beyond standard Medicaid categories — including populations not otherwise eligible, non-traditional benefit structures, and premium assistance programs that allow states to use Medicaid funds toward employer-sponsored insurance.</w:t>
      </w:r>
    </w:p>
    <w:p>
      <w:pPr>
        <w:pStyle w:val="BodyText"/>
      </w:pPr>
      <w:r>
        <w:rPr>
          <w:i/>
          <w:iCs/>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p>
    <w:p>
      <w:pPr>
        <w:pStyle w:val="BodyText"/>
      </w:pPr>
      <w:r>
        <w:t xml:space="preserve">Delivery system and payment reform — enabling states to implement global budgets, ACO arrangements, and alternative payment models for Medicaid that are not permitted under standard Medicaid FFS or managed care rules.</w:t>
      </w:r>
    </w:p>
    <w:p>
      <w:pPr>
        <w:pStyle w:val="BodyText"/>
      </w:pPr>
      <w:r>
        <w:rPr>
          <w:i/>
          <w:iCs/>
        </w:rPr>
        <w:t xml:space="preserve">Vermont’s alignment of Medicaid global budgets with AHEAD is executed through the Global Commitment to Health demonstration, which provides CMS authority to implement the Medicaid component of Vermont’s hospital global budget design.</w:t>
      </w:r>
    </w:p>
    <w:p>
      <w:pPr>
        <w:pStyle w:val="BodyText"/>
      </w:pPr>
      <w: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pPr>
        <w:pStyle w:val="BodyText"/>
      </w:pPr>
      <w:r>
        <w:rPr>
          <w:i/>
          <w:iCs/>
        </w:rPr>
        <w:t xml:space="preserve">Vermont’s recent 1115 amendment approval authorizes HRSN services — enabling Blueprint’s universal SDOH screening to connect to Medicaid-funded services, not just community resources.</w:t>
      </w:r>
    </w:p>
    <w:p>
      <w:pPr>
        <w:pStyle w:val="BodyText"/>
      </w:pPr>
      <w:r>
        <w:t xml:space="preserve">Work requirement programs — subject to ongoing legal and policy uncertainty. H.R. 1 (2025) explicitly authorizes work requirements for Medicaid expansion enrollees, resolving the prior legal uncertainty in favor of state authority. Vermont has not implemented work requirements and has not signaled intent to do so.</w:t>
      </w:r>
    </w:p>
    <w:p>
      <w:pPr>
        <w:pStyle w:val="Heading3"/>
      </w:pPr>
      <w:r>
        <w:rPr>
          <w:color w:val="161B22"/>
        </w:rPr>
        <w:t xml:space="preserve">3.3.3  </w:t>
      </w:r>
      <w:bookmarkStart w:id="1098" w:name="_Toc1097"/>
      <w:r>
        <w:rPr>
          <w:b/>
          <w:bCs/>
          <w:color w:val="161B22"/>
        </w:rPr>
        <w:t xml:space="preserve">The Vermont 1115 Waiver Portfolio</w:t>
      </w:r>
      <w:bookmarkEnd w:id="1098"/>
    </w:p>
    <w:p>
      <w:pPr>
        <w:pStyle w:val="FirstParagraph"/>
      </w:pPr>
      <w: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2024. Vermont’s AHEAD Medicaid global budgets for hospitals, beginning January 2026, operate under this demonstration authority.</w:t>
      </w:r>
    </w:p>
    <w:p>
      <w:pPr>
        <w:pStyle w:val="BodyText"/>
      </w:pPr>
      <w: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ability to implement its current AHEAD-aligned Medicaid policy is the direct product of years of negotiation that produced a federal-state agreement on methodology, accountability, and withdrawal conditions. States that engage with CMS as partners in designing innovative demonstrations get better waiver terms than states that submit standard applications.</w:t>
      </w:r>
    </w:p>
    <w:p>
      <w:pPr>
        <w:pStyle w:val="Heading3"/>
      </w:pPr>
      <w:r>
        <w:rPr>
          <w:color w:val="161B22"/>
        </w:rPr>
        <w:t xml:space="preserve">3.3.4  </w:t>
      </w:r>
      <w:bookmarkStart w:id="1099" w:name="_Toc1098"/>
      <w:r>
        <w:rPr>
          <w:b/>
          <w:bCs/>
          <w:color w:val="161B22"/>
        </w:rPr>
        <w:t xml:space="preserve">Budget Neutrality — The Binding Constraint</w:t>
      </w:r>
      <w:bookmarkEnd w:id="1099"/>
    </w:p>
    <w:p>
      <w:pPr>
        <w:pStyle w:val="FirstParagraph"/>
        <w:keepNext w:val="false"/>
      </w:pPr>
      <w:r>
        <w:t xml:space="preserve">Every 1115 waiver is subject to a budget neutrality requirement: the federal government will not spend more under the demonstration than it would have spent under the standard program. Budget neutrality is calculated against a</w:t>
      </w:r>
      <w:r>
        <w:t xml:space="preserve"> </w:t>
      </w:r>
      <w:r>
        <w:t xml:space="preserve">‘without-waiver’</w:t>
      </w:r>
      <w:r>
        <w:t xml:space="preserve"> </w:t>
      </w:r>
      <w:r>
        <w:t xml:space="preserve">baseline — what Medicaid spending would have been if the state had not implemented the demonstration — and must be maintained over the demonstration period.</w:t>
      </w:r>
    </w:p>
    <w:p>
      <w:pPr>
        <w:pStyle w:val="BodyText"/>
        <w:keepNext w:val="false"/>
      </w:pPr>
      <w: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six-pillar sequence.</w:t>
            </w:r>
          </w:p>
        </w:tc>
      </w:tr>
    </w:tbl>
    <w:p>
      <w:pPr>
        <w:spacing w:after="120"/>
      </w:pPr>
    </w:p>
    <w:p>
      <w:pPr>
        <w:pStyle w:val="Heading2"/>
        <w:pBdr>
          <w:top w:val="single" w:sz="6" w:space="10" w:color="C9D2DF"/>
        </w:pBdr>
      </w:pPr>
      <w:r>
        <w:rPr>
          <w:color w:val="161B22"/>
        </w:rPr>
        <w:t xml:space="preserve">3.4  </w:t>
      </w:r>
      <w:bookmarkStart w:id="1100" w:name="_Toc1099"/>
      <w:r>
        <w:rPr>
          <w:b/>
          <w:bCs/>
          <w:color w:val="161B22"/>
        </w:rPr>
        <w:t xml:space="preserve">Prior Authorization Reform — The Administrative Pillar of Policy Strategy</w:t>
      </w:r>
      <w:bookmarkEnd w:id="1100"/>
    </w:p>
    <w:p>
      <w:pPr>
        <w:pStyle w:val="FirstParagraph"/>
      </w:pPr>
      <w: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practice spends 14.9 hours per week on prior authorization tasks. Prior authorization denials delay care for 33% of patients and cause some to abandon treatment entirely. The administrative cost of prior authorization nationally is estimated in the tens of billions of dollars annually.</w:t>
      </w:r>
    </w:p>
    <w:p>
      <w:pPr>
        <w:pStyle w:val="BodyText"/>
      </w:pPr>
      <w:r>
        <w:t xml:space="preserve">Prior authorization reform is a Policy pillar issue because it requires either federal rulemaking or state legislation to change meaningfully. Individual payers reforming their own prior authorization processes voluntarily have limited impact; the burden arises from the aggregate of PA requirements across dozens of payers, each with different criteria, forms, and approval timelines.</w:t>
      </w:r>
    </w:p>
    <w:p>
      <w:pPr>
        <w:pStyle w:val="Heading3"/>
      </w:pPr>
      <w:r>
        <w:rPr>
          <w:color w:val="161B22"/>
        </w:rPr>
        <w:t xml:space="preserve">3.4.1  </w:t>
      </w:r>
      <w:bookmarkStart w:id="1101" w:name="_Toc1100"/>
      <w:r>
        <w:rPr>
          <w:b/>
          <w:bCs/>
          <w:color w:val="161B22"/>
        </w:rPr>
        <w:t xml:space="preserve">Federal Prior Authorization Reform: What H.R. 1 and CMS Rules Require</w:t>
      </w:r>
      <w:bookmarkEnd w:id="1101"/>
    </w:p>
    <w:p>
      <w:pPr>
        <w:pStyle w:val="FirstParagraph"/>
      </w:pPr>
      <w:r>
        <w:t xml:space="preserve">The Improving Seniors’ Timely Access to Care Act, passed in 2022, required Medicare Advantage plans to implement electronic prior authorization, transparency reporting, and expedited review timelines. CMS implemented rules in 2024 requiring payers to respond to expedited PA requests within 72 hours and standard PA requests within 7 days — a significant improvement from previous norms where standard reviews could take weeks.</w:t>
      </w:r>
    </w:p>
    <w:p>
      <w:pPr>
        <w:pStyle w:val="BodyText"/>
      </w:pPr>
      <w:r>
        <w:t xml:space="preserve">H.R. 1 (2025) included additional prior authorization reform provisions: public reporting of PA denial rates by service type, required disclosure of clinical criteria used in PA decisions, and stronger external appeal rights for denied requests. These are incremental improvements, not transformational changes. Full elimination of PA for evidence-based, guideline-concordant care — the policy that would most reduce administrative burden — remains aspirational.</w:t>
      </w:r>
    </w:p>
    <w:p>
      <w:pPr>
        <w:pStyle w:val="Heading3"/>
      </w:pPr>
      <w:r>
        <w:rPr>
          <w:color w:val="161B22"/>
        </w:rPr>
        <w:t xml:space="preserve">3.4.2  </w:t>
      </w:r>
      <w:bookmarkStart w:id="1102" w:name="_Toc1101"/>
      <w:r>
        <w:rPr>
          <w:b/>
          <w:bCs/>
          <w:color w:val="161B22"/>
        </w:rPr>
        <w:t xml:space="preserve">Vermont’s Prior Authorization Reform — Act 167’s Provisions</w:t>
      </w:r>
      <w:bookmarkEnd w:id="1102"/>
    </w:p>
    <w:p>
      <w:pPr>
        <w:pStyle w:val="FirstParagraph"/>
      </w:pPr>
      <w:r>
        <w:t xml:space="preserve">Act 167 explicitly included prior authorization reform as one of its covered domains, directing AHS to develop simplified prior authorization processes and directing GMCB to report on prior authorization burden and denial rates. Vermont’s Health Care Advocate has documented PA denial rates and challenged insurance rate filings that include excessive PA complexity costs. Act 68 builds on this by requiring insurers to demonstrate that administrative cost structures, including PA programs, are consistent with medical loss ratio requirements.</w:t>
      </w:r>
    </w:p>
    <w:p>
      <w:pPr>
        <w:pStyle w:val="BodyText"/>
      </w:pPr>
      <w: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an Operations pillar requirement that enables every other transformation initiative.</w:t>
      </w:r>
    </w:p>
    <w:p>
      <w:pPr>
        <w:pStyle w:val="Heading2"/>
        <w:pBdr>
          <w:top w:val="single" w:sz="6" w:space="10" w:color="C9D2DF"/>
        </w:pBdr>
      </w:pPr>
      <w:r>
        <w:rPr>
          <w:color w:val="161B22"/>
        </w:rPr>
        <w:t xml:space="preserve">3.5  </w:t>
      </w:r>
      <w:bookmarkStart w:id="1103" w:name="_Toc1102"/>
      <w:r>
        <w:rPr>
          <w:b/>
          <w:bCs/>
          <w:color w:val="161B22"/>
        </w:rPr>
        <w:t xml:space="preserve">The State-Federal Policy Interface — Navigating the Relationship</w:t>
      </w:r>
      <w:bookmarkEnd w:id="1103"/>
    </w:p>
    <w:p>
      <w:pPr>
        <w:pStyle w:val="FirstParagraph"/>
      </w:pPr>
      <w: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pPr>
        <w:pStyle w:val="Heading3"/>
      </w:pPr>
      <w:r>
        <w:rPr>
          <w:color w:val="161B22"/>
        </w:rPr>
        <w:t xml:space="preserve">3.5.1  </w:t>
      </w:r>
      <w:bookmarkStart w:id="1104" w:name="_Toc1103"/>
      <w:r>
        <w:rPr>
          <w:b/>
          <w:bCs/>
          <w:color w:val="161B22"/>
        </w:rPr>
        <w:t xml:space="preserve">Managing Federal Policy Risk — Vermont’s Approach</w:t>
      </w:r>
      <w:bookmarkEnd w:id="1104"/>
    </w:p>
    <w:p>
      <w:pPr>
        <w:pStyle w:val="FirstParagraph"/>
      </w:pPr>
      <w: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 nine-year commitment to a federal model involves significant policy risk — the model could change under a future administration, the methodology could produce unexpected financial outcomes, or federal policy changes could make AHEAD participation financially unsustainable.</w:t>
      </w:r>
    </w:p>
    <w:p>
      <w:pPr>
        <w:pStyle w:val="BodyText"/>
      </w:pPr>
      <w: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pPr>
        <w:pStyle w:val="Heading3"/>
        <w:keepNext w:val="false"/>
      </w:pPr>
      <w:r>
        <w:rPr>
          <w:color w:val="161B22"/>
        </w:rPr>
        <w:t xml:space="preserve">3.5.2  </w:t>
      </w:r>
      <w:bookmarkStart w:id="1105" w:name="_Toc1104"/>
      <w:r>
        <w:rPr>
          <w:b/>
          <w:bCs/>
          <w:color w:val="161B22"/>
        </w:rPr>
        <w:t xml:space="preserve">The Policy Strategy Framework for Healthcare Organizations</w:t>
      </w:r>
      <w:bookmarkEnd w:id="1105"/>
    </w:p>
    <w:p>
      <w:pPr>
        <w:pStyle w:val="FirstParagraph"/>
        <w:keepNext w:val="false"/>
      </w:pPr>
      <w: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tbl>
      <w:tblPr>
        <w:tblStyle w:val="HTRTable"/>
        <w:tblLook w:firstRow="1" w:lastRow="0" w:firstColumn="0" w:lastColumn="0" w:noHBand="0" w:noVBand="1" w:val="0020"/>
        <w:tblW w:w="9072" w:type="dxa"/>
        <w:tblLayout w:type="fixed"/>
      </w:tblPr>
      <w:tblGrid>
        <w:gridCol w:w="1140"/>
        <w:gridCol w:w="2640"/>
        <w:gridCol w:w="2790"/>
        <w:gridCol w:w="2490"/>
      </w:tblGrid>
      <w:tr>
        <w:trPr>
          <w:tblHeader w:val="on"/>
          <w:cantSplit/>
        </w:trPr>
        <w:tc>
          <w:tcPr>
            <w:shd w:val="clear" w:color="auto" w:fill="1B3A6B"/>
            <w:tcW w:w="1140" w:type="dxa"/>
          </w:tcPr>
          <w:p>
            <w:pPr>
              <w:pStyle w:val="Compact"/>
              <w:jc w:val="left"/>
            </w:pPr>
            <w:r>
              <w:rPr>
                <w:b/>
                <w:color w:val="FFFFFF"/>
                <w:sz w:val="18"/>
              </w:rPr>
              <w:t xml:space="preserve">Function</w:t>
            </w:r>
          </w:p>
        </w:tc>
        <w:tc>
          <w:tcPr>
            <w:shd w:val="clear" w:color="auto" w:fill="1B3A6B"/>
            <w:tcW w:w="2640" w:type="dxa"/>
          </w:tcPr>
          <w:p>
            <w:pPr>
              <w:pStyle w:val="Compact"/>
              <w:jc w:val="left"/>
            </w:pPr>
            <w:r>
              <w:rPr>
                <w:b/>
                <w:color w:val="FFFFFF"/>
                <w:sz w:val="18"/>
              </w:rPr>
              <w:t xml:space="preserve">Key activities</w:t>
            </w:r>
          </w:p>
        </w:tc>
        <w:tc>
          <w:tcPr>
            <w:shd w:val="clear" w:color="auto" w:fill="1B3A6B"/>
            <w:tcW w:w="2790" w:type="dxa"/>
          </w:tcPr>
          <w:p>
            <w:pPr>
              <w:pStyle w:val="Compact"/>
              <w:jc w:val="left"/>
            </w:pPr>
            <w:r>
              <w:rPr>
                <w:b/>
                <w:color w:val="FFFFFF"/>
                <w:sz w:val="18"/>
              </w:rPr>
              <w:t xml:space="preserve">Vermont-specific examples</w:t>
            </w:r>
          </w:p>
        </w:tc>
        <w:tc>
          <w:tcPr>
            <w:shd w:val="clear" w:color="auto" w:fill="1B3A6B"/>
            <w:tcW w:w="2490" w:type="dxa"/>
          </w:tcPr>
          <w:p>
            <w:pPr>
              <w:pStyle w:val="Compact"/>
              <w:jc w:val="left"/>
            </w:pPr>
            <w:r>
              <w:rPr>
                <w:b/>
                <w:color w:val="FFFFFF"/>
                <w:sz w:val="18"/>
              </w:rPr>
              <w:t xml:space="preserve">HTR Advisory service</w:t>
            </w:r>
          </w:p>
        </w:tc>
      </w:tr>
      <w:tr>
        <w:trPr>
          <w:cantSplit/>
        </w:trPr>
        <w:tc>
          <w:tcPr>
            <w:tcW w:w="1140" w:type="dxa"/>
          </w:tcPr>
          <w:p>
            <w:pPr>
              <w:pStyle w:val="Compact"/>
              <w:jc w:val="left"/>
            </w:pPr>
            <w:r>
              <w:rPr>
                <w:sz w:val="18"/>
              </w:rPr>
              <w:t xml:space="preserve">Regulatory compliance</w:t>
            </w:r>
          </w:p>
        </w:tc>
        <w:tc>
          <w:tcPr>
            <w:tcW w:w="2640" w:type="dxa"/>
          </w:tcPr>
          <w:p>
            <w:pPr>
              <w:pStyle w:val="Compact"/>
              <w:jc w:val="left"/>
            </w:pPr>
            <w:r>
              <w:rPr>
                <w:sz w:val="18"/>
              </w:rPr>
              <w:t xml:space="preserve">Monitor rulemaking; assess financial and operational impact of new requirements; develop compliance roadmaps; manage comment letter processes</w:t>
            </w:r>
          </w:p>
        </w:tc>
        <w:tc>
          <w:tcPr>
            <w:tcW w:w="2790" w:type="dxa"/>
          </w:tcPr>
          <w:p>
            <w:pPr>
              <w:pStyle w:val="Compact"/>
              <w:jc w:val="left"/>
            </w:pPr>
            <w:r>
              <w:rPr>
                <w:sz w:val="18"/>
              </w:rPr>
              <w:t xml:space="preserve">Act 68 RBP compliance planning for FY2027; AHEAD hospital global budget participation; H.R. 1 Medicaid work requirement implementation timeline</w:t>
            </w:r>
          </w:p>
        </w:tc>
        <w:tc>
          <w:tcPr>
            <w:tcW w:w="2490" w:type="dxa"/>
          </w:tcPr>
          <w:p>
            <w:pPr>
              <w:pStyle w:val="Compact"/>
              <w:jc w:val="left"/>
            </w:pPr>
            <w:r>
              <w:rPr>
                <w:sz w:val="18"/>
              </w:rPr>
              <w:t xml:space="preserve">Policy Strategy service line: Phase 1 Landscape and Exposure Assessment</w:t>
            </w:r>
          </w:p>
        </w:tc>
      </w:tr>
      <w:tr>
        <w:trPr/>
        <w:tc>
          <w:tcPr>
            <w:tcW w:w="1140" w:type="dxa"/>
          </w:tcPr>
          <w:p>
            <w:pPr>
              <w:pStyle w:val="Compact"/>
              <w:jc w:val="left"/>
            </w:pPr>
            <w:r>
              <w:rPr>
                <w:sz w:val="18"/>
              </w:rPr>
              <w:t xml:space="preserve">Opportunity identification</w:t>
            </w:r>
          </w:p>
        </w:tc>
        <w:tc>
          <w:tcPr>
            <w:tcW w:w="2640" w:type="dxa"/>
          </w:tcPr>
          <w:p>
            <w:pPr>
              <w:pStyle w:val="Compact"/>
              <w:jc w:val="left"/>
            </w:pPr>
            <w:r>
              <w:rPr>
                <w:sz w:val="18"/>
              </w:rPr>
              <w:t xml:space="preserve">Track CMMI model launches and eligibility; identify state waiver opportunities; evaluate RHT Program grant eligibility; assess AHEAD primary care participation options</w:t>
            </w:r>
          </w:p>
        </w:tc>
        <w:tc>
          <w:tcPr>
            <w:tcW w:w="2790" w:type="dxa"/>
          </w:tcPr>
          <w:p>
            <w:pPr>
              <w:pStyle w:val="Compact"/>
              <w:jc w:val="left"/>
            </w:pPr>
            <w:r>
              <w:rPr>
                <w:sz w:val="18"/>
              </w:rPr>
              <w:t xml:space="preserve">Vermont hospitals: Act 68 transformation grants ($2M); AHEAD EAST Fund; RHT Program subrecipient grants; BALANCE Model GLP-1 coverage</w:t>
            </w:r>
          </w:p>
        </w:tc>
        <w:tc>
          <w:tcPr>
            <w:tcW w:w="2490" w:type="dxa"/>
          </w:tcPr>
          <w:p>
            <w:pPr>
              <w:pStyle w:val="Compact"/>
              <w:jc w:val="left"/>
            </w:pPr>
            <w:r>
              <w:rPr>
                <w:sz w:val="18"/>
              </w:rPr>
              <w:t xml:space="preserve">Policy Strategy service line: federal program opportunity assessment</w:t>
            </w:r>
          </w:p>
        </w:tc>
      </w:tr>
      <w:tr>
        <w:trPr>
          <w:cantSplit/>
        </w:trPr>
        <w:tc>
          <w:tcPr>
            <w:tcW w:w="1140" w:type="dxa"/>
          </w:tcPr>
          <w:p>
            <w:pPr>
              <w:pStyle w:val="Compact"/>
              <w:jc w:val="left"/>
            </w:pPr>
            <w:r>
              <w:rPr>
                <w:sz w:val="18"/>
              </w:rPr>
              <w:t xml:space="preserve">Policy advocacy</w:t>
            </w:r>
          </w:p>
        </w:tc>
        <w:tc>
          <w:tcPr>
            <w:tcW w:w="2640" w:type="dxa"/>
          </w:tcPr>
          <w:p>
            <w:pPr>
              <w:pStyle w:val="Compact"/>
              <w:jc w:val="left"/>
            </w:pPr>
            <w:r>
              <w:rPr>
                <w:sz w:val="18"/>
              </w:rPr>
              <w:t xml:space="preserve">Participate in public comment on proposed rules; engage state legislature on transformation legislation; provide testimony on hospital financial sustainability; participate in GMCB public meetings</w:t>
            </w:r>
          </w:p>
        </w:tc>
        <w:tc>
          <w:tcPr>
            <w:tcW w:w="2790" w:type="dxa"/>
          </w:tcPr>
          <w:p>
            <w:pPr>
              <w:pStyle w:val="Compact"/>
              <w:jc w:val="left"/>
            </w:pPr>
            <w:r>
              <w:rPr>
                <w:sz w:val="18"/>
              </w:rPr>
              <w:t xml:space="preserve">Vermont hospital leaders: engagement with AHS transformation planning; community input on COE designations; participation in Health Care Delivery Advisory Committee public comment</w:t>
            </w:r>
          </w:p>
        </w:tc>
        <w:tc>
          <w:tcPr>
            <w:tcW w:w="2490" w:type="dxa"/>
          </w:tcPr>
          <w:p>
            <w:pPr>
              <w:pStyle w:val="Compact"/>
              <w:jc w:val="left"/>
            </w:pPr>
            <w:r>
              <w:rPr>
                <w:sz w:val="18"/>
              </w:rPr>
              <w:t xml:space="preserve">Policy Strategy service line: Phase 3 Implementation Support — legislative testimony and comment letter drafting</w:t>
            </w:r>
          </w:p>
        </w:tc>
      </w:tr>
    </w:tbl>
    <w:p>
      <w:pPr>
        <w:pStyle w:val="Caption"/>
        <w:spacing w:before="120"/>
      </w:pPr>
      <w:r>
        <w:rPr>
          <w:i/>
          <w:iCs/>
        </w:rPr>
        <w:t xml:space="preserve">Figure 3.3 — Policy strategy functions for healthcare organizations. Source: HTR Advisory framework.</w:t>
      </w:r>
    </w:p>
    <w:p>
      <w:pPr>
        <w:pStyle w:val="Heading2"/>
        <w:pBdr>
          <w:top w:val="single" w:sz="6" w:space="10" w:color="C9D2DF"/>
        </w:pBdr>
      </w:pPr>
      <w:r>
        <w:rPr>
          <w:color w:val="161B22"/>
        </w:rPr>
        <w:t xml:space="preserve">3.6  </w:t>
      </w:r>
      <w:bookmarkStart w:id="1106" w:name="_Toc1105"/>
      <w:r>
        <w:rPr>
          <w:b/>
          <w:bCs/>
          <w:color w:val="161B22"/>
        </w:rPr>
        <w:t xml:space="preserve">The Medicaid Policy Landscape — What H.R. 1 Changes and What It Does Not</w:t>
      </w:r>
      <w:bookmarkEnd w:id="1106"/>
    </w:p>
    <w:p>
      <w:pPr>
        <w:pStyle w:val="FirstParagraph"/>
      </w:pPr>
      <w:r>
        <w:rPr>
          <w:b/>
          <w:bCs/>
        </w:rPr>
        <w:t xml:space="preserve">H.R. 1 (One Big Beautiful Bill Act, July 2025) — Key Healthcare Provisions</w:t>
      </w:r>
    </w:p>
    <w:p>
      <w:pPr>
        <w:pStyle w:val="Compact"/>
        <w:numPr>
          <w:ilvl w:val="0"/>
          <w:numId w:val="1007"/>
        </w:numPr>
        <w:keepLines w:val="true"/>
        <w:keepNext w:val="true"/>
      </w:pPr>
      <w:r>
        <w:t xml:space="preserve">$911 billion in Medicaid cuts over 10 years — the largest reduction in federal health spending in American history.</w:t>
      </w:r>
    </w:p>
    <w:p>
      <w:pPr>
        <w:pStyle w:val="Compact"/>
        <w:numPr>
          <w:ilvl w:val="0"/>
          <w:numId w:val="1007"/>
        </w:numPr>
        <w:keepLines w:val="true"/>
        <w:keepNext w:val="true"/>
      </w:pPr>
      <w:r>
        <w:t xml:space="preserve">10 million additional Americans projected uninsured by 2034 (CBO estimate).</w:t>
      </w:r>
    </w:p>
    <w:p>
      <w:pPr>
        <w:pStyle w:val="Compact"/>
        <w:numPr>
          <w:ilvl w:val="0"/>
          <w:numId w:val="1007"/>
        </w:numPr>
        <w:keepLines w:val="true"/>
        <w:keepNext w:val="true"/>
      </w:pPr>
      <w:r>
        <w:t xml:space="preserve">Work requirements (80 hours/month) for Medicaid expansion enrollees beginning late 2026.</w:t>
      </w:r>
    </w:p>
    <w:p>
      <w:pPr>
        <w:pStyle w:val="Compact"/>
        <w:numPr>
          <w:ilvl w:val="0"/>
          <w:numId w:val="1007"/>
        </w:numPr>
        <w:keepLines w:val="true"/>
      </w:pPr>
      <w:r>
        <w:t xml:space="preserve">Eligibility redetermination every 6 months instead of annually — increased coverage churn.</w:t>
      </w:r>
    </w:p>
    <w:p>
      <w:pPr>
        <w:pStyle w:val="FirstParagraph"/>
        <w:keepNext w:val="false"/>
      </w:pPr>
      <w:r>
        <w:t xml:space="preserve">RHT funds ($50B) expire 2030; Medicaid cuts accelerate after 2030. The math is unforgiving.</w:t>
      </w:r>
    </w:p>
    <w:p>
      <w:pPr>
        <w:pStyle w:val="BodyText"/>
        <w:keepNext w:val="false"/>
      </w:pPr>
      <w:r>
        <w:t xml:space="preserve">The 2025 reconciliation law has changed the Medicaid landscape in ways that every healthcare organization and state agency must understand. The following framework distinguishes between provisions already in effect, provisions taking effect in late 2026 and 2027, and provisions whose implementation timeline remains uncertain.</w:t>
      </w:r>
    </w:p>
    <w:tbl>
      <w:tblPr>
        <w:tblStyle w:val="HTRTable"/>
        <w:tblLook w:firstRow="1" w:lastRow="0" w:firstColumn="0" w:lastColumn="0" w:noHBand="0" w:noVBand="1" w:val="0020"/>
        <w:tblW w:w="9072" w:type="dxa"/>
        <w:tblLayout w:type="fixed"/>
      </w:tblPr>
      <w:tblGrid>
        <w:gridCol w:w="2100"/>
        <w:gridCol w:w="1695"/>
        <w:gridCol w:w="2265"/>
        <w:gridCol w:w="3015"/>
      </w:tblGrid>
      <w:tr>
        <w:trPr>
          <w:tblHeader w:val="on"/>
          <w:cantSplit/>
        </w:trPr>
        <w:tc>
          <w:tcPr>
            <w:shd w:val="clear" w:color="auto" w:fill="1B3A6B"/>
            <w:tcW w:w="2100" w:type="dxa"/>
          </w:tcPr>
          <w:p>
            <w:pPr>
              <w:pStyle w:val="Compact"/>
              <w:jc w:val="left"/>
            </w:pPr>
            <w:r>
              <w:rPr>
                <w:b/>
                <w:color w:val="FFFFFF"/>
                <w:sz w:val="18"/>
              </w:rPr>
              <w:t xml:space="preserve">H.R. 1 Medicaid provision</w:t>
            </w:r>
          </w:p>
        </w:tc>
        <w:tc>
          <w:tcPr>
            <w:shd w:val="clear" w:color="auto" w:fill="1B3A6B"/>
            <w:tcW w:w="1695" w:type="dxa"/>
          </w:tcPr>
          <w:p>
            <w:pPr>
              <w:pStyle w:val="Compact"/>
              <w:jc w:val="left"/>
            </w:pPr>
            <w:r>
              <w:rPr>
                <w:b/>
                <w:color w:val="FFFFFF"/>
                <w:sz w:val="18"/>
              </w:rPr>
              <w:t xml:space="preserve">When it takes effect</w:t>
            </w:r>
          </w:p>
        </w:tc>
        <w:tc>
          <w:tcPr>
            <w:shd w:val="clear" w:color="auto" w:fill="1B3A6B"/>
            <w:tcW w:w="2265" w:type="dxa"/>
          </w:tcPr>
          <w:p>
            <w:pPr>
              <w:pStyle w:val="Compact"/>
              <w:jc w:val="left"/>
            </w:pPr>
            <w:r>
              <w:rPr>
                <w:b/>
                <w:color w:val="FFFFFF"/>
                <w:sz w:val="18"/>
              </w:rPr>
              <w:t xml:space="preserve">Financial impact</w:t>
            </w:r>
          </w:p>
        </w:tc>
        <w:tc>
          <w:tcPr>
            <w:shd w:val="clear" w:color="auto" w:fill="1B3A6B"/>
            <w:tcW w:w="3015" w:type="dxa"/>
          </w:tcPr>
          <w:p>
            <w:pPr>
              <w:pStyle w:val="Compact"/>
              <w:jc w:val="left"/>
            </w:pPr>
            <w:r>
              <w:rPr>
                <w:b/>
                <w:color w:val="FFFFFF"/>
                <w:sz w:val="18"/>
              </w:rPr>
              <w:t xml:space="preserve">Vermont-specific implications</w:t>
            </w:r>
          </w:p>
        </w:tc>
      </w:tr>
      <w:tr>
        <w:trPr>
          <w:cantSplit/>
        </w:trPr>
        <w:tc>
          <w:tcPr>
            <w:tcW w:w="2100" w:type="dxa"/>
          </w:tcPr>
          <w:p>
            <w:pPr>
              <w:pStyle w:val="Compact"/>
              <w:jc w:val="left"/>
            </w:pPr>
            <w:r>
              <w:rPr>
                <w:sz w:val="18"/>
              </w:rPr>
              <w:t xml:space="preserve">Provider tax restrictions: ban on new or higher provider taxes in expansion states; phase-down of existing taxes</w:t>
            </w:r>
          </w:p>
        </w:tc>
        <w:tc>
          <w:tcPr>
            <w:tcW w:w="1695" w:type="dxa"/>
          </w:tcPr>
          <w:p>
            <w:pPr>
              <w:pStyle w:val="Compact"/>
              <w:jc w:val="left"/>
            </w:pPr>
            <w:r>
              <w:rPr>
                <w:sz w:val="18"/>
              </w:rPr>
              <w:t xml:space="preserve">In effect for new taxes; phase-down beginning 2027</w:t>
            </w:r>
          </w:p>
        </w:tc>
        <w:tc>
          <w:tcPr>
            <w:tcW w:w="2265" w:type="dxa"/>
          </w:tcPr>
          <w:p>
            <w:pPr>
              <w:pStyle w:val="Compact"/>
              <w:jc w:val="left"/>
            </w:pPr>
            <w:r>
              <w:rPr>
                <w:sz w:val="18"/>
              </w:rPr>
              <w:t xml:space="preserve">Reduces states’ ability to finance their Medicaid matching share; intensifies pressure on state Medicaid budgets</w:t>
            </w:r>
          </w:p>
        </w:tc>
        <w:tc>
          <w:tcPr>
            <w:tcW w:w="3015" w:type="dxa"/>
          </w:tcPr>
          <w:p>
            <w:pPr>
              <w:pStyle w:val="Compact"/>
              <w:jc w:val="left"/>
            </w:pPr>
            <w:r>
              <w:rPr>
                <w:sz w:val="18"/>
              </w:rPr>
              <w:t xml:space="preserve">Vermont’s financing mechanisms will need review; state budget implications require modeling through 2031</w:t>
            </w:r>
          </w:p>
        </w:tc>
      </w:tr>
      <w:tr>
        <w:trPr/>
        <w:tc>
          <w:tcPr>
            <w:tcW w:w="2100" w:type="dxa"/>
          </w:tcPr>
          <w:p>
            <w:pPr>
              <w:pStyle w:val="Compact"/>
              <w:jc w:val="left"/>
            </w:pPr>
            <w:r>
              <w:rPr>
                <w:sz w:val="18"/>
              </w:rPr>
              <w:t xml:space="preserve">State-directed payment caps at 100% of Medicare (expansion states)</w:t>
            </w:r>
          </w:p>
        </w:tc>
        <w:tc>
          <w:tcPr>
            <w:tcW w:w="1695" w:type="dxa"/>
          </w:tcPr>
          <w:p>
            <w:pPr>
              <w:pStyle w:val="Compact"/>
              <w:jc w:val="left"/>
            </w:pPr>
            <w:r>
              <w:rPr>
                <w:sz w:val="18"/>
              </w:rPr>
              <w:t xml:space="preserve">2027</w:t>
            </w:r>
          </w:p>
        </w:tc>
        <w:tc>
          <w:tcPr>
            <w:tcW w:w="2265" w:type="dxa"/>
          </w:tcPr>
          <w:p>
            <w:pPr>
              <w:pStyle w:val="Compact"/>
              <w:jc w:val="left"/>
            </w:pPr>
            <w:r>
              <w:rPr>
                <w:sz w:val="18"/>
              </w:rPr>
              <w:t xml:space="preserve">Reduces enhanced Medicaid payments that many states use to supplement provider rates above standard Medicaid levels; significant for safety-net hospitals</w:t>
            </w:r>
          </w:p>
        </w:tc>
        <w:tc>
          <w:tcPr>
            <w:tcW w:w="3015" w:type="dxa"/>
          </w:tcPr>
          <w:p>
            <w:pPr>
              <w:pStyle w:val="Compact"/>
              <w:jc w:val="left"/>
            </w:pPr>
            <w:r>
              <w:rPr>
                <w:sz w:val="18"/>
              </w:rPr>
              <w:t xml:space="preserve">Vermont hospitals receiving state-directed supplemental payments face revenue reduction; GMCB global budget design must account for this</w:t>
            </w:r>
          </w:p>
        </w:tc>
      </w:tr>
      <w:tr>
        <w:trPr/>
        <w:tc>
          <w:tcPr>
            <w:tcW w:w="2100" w:type="dxa"/>
          </w:tcPr>
          <w:p>
            <w:pPr>
              <w:pStyle w:val="Compact"/>
              <w:jc w:val="left"/>
            </w:pPr>
            <w:r>
              <w:rPr>
                <w:sz w:val="18"/>
              </w:rPr>
              <w:t xml:space="preserve">Work and community engagement requirements (80 hours/month)</w:t>
            </w:r>
          </w:p>
        </w:tc>
        <w:tc>
          <w:tcPr>
            <w:tcW w:w="1695" w:type="dxa"/>
          </w:tcPr>
          <w:p>
            <w:pPr>
              <w:pStyle w:val="Compact"/>
              <w:jc w:val="left"/>
            </w:pPr>
            <w:r>
              <w:rPr>
                <w:sz w:val="18"/>
              </w:rPr>
              <w:t xml:space="preserve">Late 2026 (states must implement by December 31, 2026)</w:t>
            </w:r>
          </w:p>
        </w:tc>
        <w:tc>
          <w:tcPr>
            <w:tcW w:w="2265" w:type="dxa"/>
          </w:tcPr>
          <w:p>
            <w:pPr>
              <w:pStyle w:val="Compact"/>
              <w:jc w:val="left"/>
            </w:pPr>
            <w:r>
              <w:rPr>
                <w:sz w:val="18"/>
              </w:rPr>
              <w:t xml:space="preserve">10 million projected uninsured nationally by 2034; variable state impact depending on implementation; administrative burden on states and enrollees</w:t>
            </w:r>
          </w:p>
        </w:tc>
        <w:tc>
          <w:tcPr>
            <w:tcW w:w="3015" w:type="dxa"/>
          </w:tcPr>
          <w:p>
            <w:pPr>
              <w:pStyle w:val="Compact"/>
              <w:jc w:val="left"/>
            </w:pPr>
            <w:r>
              <w:rPr>
                <w:sz w:val="18"/>
              </w:rPr>
              <w:t xml:space="preserve">Vermont has not expressed intent to implement work requirements; federal law now clearly authorizes them. Coverage implications for Vermont’s expansion population require monitoring.</w:t>
            </w:r>
          </w:p>
        </w:tc>
      </w:tr>
      <w:tr>
        <w:trPr/>
        <w:tc>
          <w:tcPr>
            <w:tcW w:w="2100" w:type="dxa"/>
          </w:tcPr>
          <w:p>
            <w:pPr>
              <w:pStyle w:val="Compact"/>
              <w:jc w:val="left"/>
            </w:pPr>
            <w:r>
              <w:rPr>
                <w:sz w:val="18"/>
              </w:rPr>
              <w:t xml:space="preserve">Eligibility redetermination every 6 months (vs. annual)</w:t>
            </w:r>
          </w:p>
        </w:tc>
        <w:tc>
          <w:tcPr>
            <w:tcW w:w="1695" w:type="dxa"/>
          </w:tcPr>
          <w:p>
            <w:pPr>
              <w:pStyle w:val="Compact"/>
              <w:jc w:val="left"/>
            </w:pPr>
            <w:r>
              <w:rPr>
                <w:sz w:val="18"/>
              </w:rPr>
              <w:t xml:space="preserve">2026</w:t>
            </w:r>
          </w:p>
        </w:tc>
        <w:tc>
          <w:tcPr>
            <w:tcW w:w="2265" w:type="dxa"/>
          </w:tcPr>
          <w:p>
            <w:pPr>
              <w:pStyle w:val="Compact"/>
              <w:jc w:val="left"/>
            </w:pPr>
            <w:r>
              <w:rPr>
                <w:sz w:val="18"/>
              </w:rPr>
              <w:t xml:space="preserve">Increases administrative burden; produces coverage churn as enrollees who remain eligible lose coverage due to administrative failures; disproportionate impact on working families</w:t>
            </w:r>
          </w:p>
        </w:tc>
        <w:tc>
          <w:tcPr>
            <w:tcW w:w="3015" w:type="dxa"/>
          </w:tcPr>
          <w:p>
            <w:pPr>
              <w:pStyle w:val="Compact"/>
              <w:jc w:val="left"/>
            </w:pPr>
            <w:r>
              <w:rPr>
                <w:sz w:val="18"/>
              </w:rPr>
              <w:t xml:space="preserve">Vermont DVHA will face increased redetermination workload; outreach to ensure eligible Vermonters maintain coverage is an equity priority</w:t>
            </w:r>
          </w:p>
        </w:tc>
      </w:tr>
      <w:tr>
        <w:trPr>
          <w:cantSplit/>
        </w:trPr>
        <w:tc>
          <w:tcPr>
            <w:tcW w:w="2100" w:type="dxa"/>
          </w:tcPr>
          <w:p>
            <w:pPr>
              <w:pStyle w:val="Compact"/>
              <w:jc w:val="left"/>
            </w:pPr>
            <w:r>
              <w:rPr>
                <w:sz w:val="18"/>
              </w:rPr>
              <w:t xml:space="preserve">Medicaid reimbursement reductions (DSH cuts, payment rate changes)</w:t>
            </w:r>
          </w:p>
        </w:tc>
        <w:tc>
          <w:tcPr>
            <w:tcW w:w="1695" w:type="dxa"/>
          </w:tcPr>
          <w:p>
            <w:pPr>
              <w:pStyle w:val="Compact"/>
              <w:jc w:val="left"/>
            </w:pPr>
            <w:r>
              <w:rPr>
                <w:sz w:val="18"/>
              </w:rPr>
              <w:t xml:space="preserve">2026-2031 (phased)</w:t>
            </w:r>
          </w:p>
        </w:tc>
        <w:tc>
          <w:tcPr>
            <w:tcW w:w="2265" w:type="dxa"/>
          </w:tcPr>
          <w:p>
            <w:pPr>
              <w:pStyle w:val="Compact"/>
              <w:jc w:val="left"/>
            </w:pPr>
            <w:r>
              <w:rPr>
                <w:sz w:val="18"/>
              </w:rPr>
              <w:t xml:space="preserve">$911B over 10 years nationally; $137B in rural areas; hospitals will experience revenue reductions</w:t>
            </w:r>
          </w:p>
        </w:tc>
        <w:tc>
          <w:tcPr>
            <w:tcW w:w="3015" w:type="dxa"/>
          </w:tcPr>
          <w:p>
            <w:pPr>
              <w:pStyle w:val="Compact"/>
              <w:jc w:val="left"/>
            </w:pPr>
            <w:r>
              <w:rPr>
                <w:sz w:val="18"/>
              </w:rPr>
              <w:t xml:space="preserve">All 14 Vermont hospitals face reduced Medicaid revenue; most severe impact on CAHs with high Medicaid payer mix; integrated into hospital financial sustainability modeling</w:t>
            </w:r>
          </w:p>
        </w:tc>
      </w:tr>
    </w:tbl>
    <w:p>
      <w:pPr>
        <w:pStyle w:val="Caption"/>
        <w:spacing w:before="120"/>
      </w:pPr>
      <w:r>
        <w:rPr>
          <w:i/>
          <w:iCs/>
        </w:rPr>
        <w:t xml:space="preserve">Figure 3.4 — H.R. 1 Medicaid provisions: timeline, financial impact, and Vermont implications. Sources: KFF analysis; CBO estimates; Pew Charitable Trusts (January 2026).</w:t>
      </w:r>
    </w:p>
    <w:p>
      <w:pPr>
        <w:pStyle w:val="BodyText"/>
      </w:pPr>
      <w: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pPr>
        <w:pStyle w:val="Heading2"/>
        <w:pBdr>
          <w:top w:val="single" w:sz="6" w:space="10" w:color="C9D2DF"/>
        </w:pBdr>
      </w:pPr>
      <w:r>
        <w:rPr>
          <w:color w:val="161B22"/>
        </w:rPr>
        <w:t xml:space="preserve">3.7  </w:t>
      </w:r>
      <w:bookmarkStart w:id="1107" w:name="_Toc1106"/>
      <w:r>
        <w:rPr>
          <w:b/>
          <w:bCs/>
          <w:color w:val="161B22"/>
        </w:rPr>
        <w:t xml:space="preserve">Policy Strategy for Healthcare Leaders — The Practitioner Framework</w:t>
      </w:r>
      <w:bookmarkEnd w:id="1107"/>
    </w:p>
    <w:p>
      <w:pPr>
        <w:pStyle w:val="FirstParagraph"/>
      </w:pPr>
      <w: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pPr>
        <w:pStyle w:val="Heading3"/>
      </w:pPr>
      <w:r>
        <w:rPr>
          <w:color w:val="161B22"/>
        </w:rPr>
        <w:t xml:space="preserve">3.7.1  </w:t>
      </w:r>
      <w:bookmarkStart w:id="1108" w:name="_Toc1107"/>
      <w:r>
        <w:rPr>
          <w:b/>
          <w:bCs/>
          <w:color w:val="161B22"/>
        </w:rPr>
        <w:t xml:space="preserve">The Policy Monitoring Framework</w:t>
      </w:r>
      <w:bookmarkEnd w:id="1108"/>
    </w:p>
    <w:p>
      <w:pPr>
        <w:pStyle w:val="FirstParagraph"/>
      </w:pPr>
      <w:r>
        <w:t xml:space="preserve">Every healthcare organization needs a policy monitoring infrastructure proportionate to its size and regulatory exposure. The minimum viable policy monitoring framework includes four functions:</w:t>
      </w:r>
    </w:p>
    <w:p>
      <w:pPr>
        <w:pStyle w:val="Compact"/>
        <w:numPr>
          <w:ilvl w:val="0"/>
          <w:numId w:val="1008"/>
        </w:numPr>
        <w:keepLines w:val="true"/>
        <w:keepNext w:val="true"/>
      </w:pPr>
      <w: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pPr>
        <w:pStyle w:val="Compact"/>
        <w:numPr>
          <w:ilvl w:val="0"/>
          <w:numId w:val="1008"/>
        </w:numPr>
        <w:keepLines w:val="true"/>
        <w:keepNext w:val="true"/>
      </w:pPr>
      <w: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pPr>
        <w:pStyle w:val="Compact"/>
        <w:numPr>
          <w:ilvl w:val="0"/>
          <w:numId w:val="1008"/>
        </w:numPr>
        <w:keepLines w:val="true"/>
        <w:keepNext w:val="true"/>
      </w:pPr>
      <w: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pPr>
        <w:pStyle w:val="Compact"/>
        <w:numPr>
          <w:ilvl w:val="0"/>
          <w:numId w:val="1008"/>
        </w:numPr>
        <w:keepLines w:val="true"/>
      </w:pPr>
      <w: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pPr>
        <w:pStyle w:val="Heading3"/>
      </w:pPr>
      <w:r>
        <w:rPr>
          <w:color w:val="161B22"/>
        </w:rPr>
        <w:t xml:space="preserve">3.7.2  </w:t>
      </w:r>
      <w:bookmarkStart w:id="1109" w:name="_Toc1108"/>
      <w:r>
        <w:rPr>
          <w:b/>
          <w:bCs/>
          <w:color w:val="161B22"/>
        </w:rPr>
        <w:t xml:space="preserve">The Policy Impact Assessment Framework</w:t>
      </w:r>
      <w:bookmarkEnd w:id="1109"/>
    </w:p>
    <w:p>
      <w:pPr>
        <w:pStyle w:val="FirstParagraph"/>
      </w:pPr>
      <w:r>
        <w:t xml:space="preserve">When a new policy is identified — a proposed rule, a new CMMI model, a state legislative development — the organization needs a structured impact assessment process. The Policy Strategy service line uses a four-phase engagement structure (described in Chapter 3), but the core analytical logic can be applied internally:</w:t>
      </w:r>
    </w:p>
    <w:p>
      <w:pPr>
        <w:pStyle w:val="Compact"/>
        <w:numPr>
          <w:ilvl w:val="0"/>
          <w:numId w:val="1009"/>
        </w:numPr>
        <w:keepLines w:val="true"/>
        <w:keepNext w:val="true"/>
      </w:pPr>
      <w:r>
        <w:t xml:space="preserve">Exposure mapping: What specifically does this policy change require of our organization? What are the financial, operational, and compliance implications? What is the timeline?</w:t>
      </w:r>
    </w:p>
    <w:p>
      <w:pPr>
        <w:pStyle w:val="Compact"/>
        <w:numPr>
          <w:ilvl w:val="0"/>
          <w:numId w:val="1009"/>
        </w:numPr>
        <w:keepLines w:val="true"/>
        <w:keepNext w:val="true"/>
      </w:pPr>
      <w:r>
        <w:t xml:space="preserve">Scenario analysis: Under what range of outcomes (final rule differs from proposed rule, implementation delayed, model parameters change) does our strategic position change?</w:t>
      </w:r>
    </w:p>
    <w:p>
      <w:pPr>
        <w:pStyle w:val="Compact"/>
        <w:numPr>
          <w:ilvl w:val="0"/>
          <w:numId w:val="1009"/>
        </w:numPr>
        <w:keepLines w:val="true"/>
      </w:pPr>
      <w:r>
        <w:t xml:space="preserve">Response strategy: What is the optimal response — compliance roadmap, comment letter participation, CMMI model application, advocacy engagement?</w:t>
      </w:r>
    </w:p>
    <w:p>
      <w:pPr>
        <w:pStyle w:val="Heading2"/>
        <w:pBdr>
          <w:top w:val="single" w:sz="6" w:space="10" w:color="C9D2DF"/>
        </w:pBdr>
        <w:keepNext w:val="false"/>
      </w:pPr>
      <w:r>
        <w:rPr>
          <w:color w:val="161B22"/>
        </w:rPr>
        <w:t xml:space="preserve">3.8  </w:t>
      </w:r>
      <w:bookmarkStart w:id="1110" w:name="_Toc1109"/>
      <w:r>
        <w:rPr>
          <w:b/>
          <w:bCs/>
          <w:color w:val="161B22"/>
        </w:rPr>
        <w:t xml:space="preserve">Work This Chapter on the Platform</w:t>
      </w:r>
      <w:bookmarkEnd w:id="1110"/>
    </w:p>
    <w:p>
      <w:pPr>
        <w:pStyle w:val="FirstParagraph"/>
        <w:keepNext w:val="false"/>
      </w:pPr>
      <w:r>
        <w:t xml:space="preserve">Chapter 3 moves from policy architecture to federal-state practice. These tools quantify the waiver and Medicaid-policy decisions the chapter analyzes.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Estimate Medicaid coverage loss under H.R. 1’s work-requirement and eligibility provisions</w:t>
            </w:r>
          </w:p>
        </w:tc>
        <w:tc>
          <w:tcPr>
            <w:tcW w:w="947" w:type="dxa"/>
          </w:tcPr>
          <w:p>
            <w:pPr>
              <w:pStyle w:val="Compact"/>
              <w:jc w:val="left"/>
            </w:pPr>
            <w:r>
              <w:rPr>
                <w:b/>
                <w:bCs/>
                <w:sz w:val="18"/>
              </w:rPr>
              <w:t xml:space="preserve">Work Requirements Calculator</w:t>
            </w:r>
            <w:r>
              <w:rPr>
                <w:sz w:val="18"/>
              </w:rPr>
              <w:t xml:space="preserve"> </w:t>
            </w:r>
            <w:r>
              <w:rPr>
                <w:sz w:val="18"/>
              </w:rPr>
              <w:t xml:space="preserve">—</w:t>
            </w:r>
            <w:r>
              <w:rPr>
                <w:sz w:val="18"/>
              </w:rPr>
              <w:t xml:space="preserve"> </w:t>
            </w:r>
            <w:r>
              <w:rPr>
                <w:rStyle w:val="VerbatimChar"/>
                <w:sz w:val="18"/>
              </w:rPr>
              <w:t xml:space="preserve">/research-lab/policy-quality?tab=medicaid-wr</w:t>
            </w:r>
          </w:p>
        </w:tc>
        <w:tc>
          <w:tcPr>
            <w:tcW w:w="4062" w:type="dxa"/>
          </w:tcPr>
          <w:p>
            <w:pPr>
              <w:pStyle w:val="Compact"/>
              <w:jc w:val="left"/>
            </w:pPr>
            <w:r>
              <w:rPr>
                <w:sz w:val="18"/>
              </w:rPr>
              <w:t xml:space="preserve">The gap between nominal exemptions and real-world coverage loss from administrative churn.</w:t>
            </w:r>
          </w:p>
        </w:tc>
      </w:tr>
      <w:tr>
        <w:trPr/>
        <w:tc>
          <w:tcPr>
            <w:tcW w:w="4062" w:type="dxa"/>
          </w:tcPr>
          <w:p>
            <w:pPr>
              <w:pStyle w:val="Compact"/>
              <w:jc w:val="left"/>
            </w:pPr>
            <w:r>
              <w:rPr>
                <w:sz w:val="18"/>
              </w:rPr>
              <w:t xml:space="preserve">Model the H.R. 1 funding cliff for a state’s Medicaid program</w:t>
            </w:r>
          </w:p>
        </w:tc>
        <w:tc>
          <w:tcPr>
            <w:tcW w:w="947" w:type="dxa"/>
          </w:tcPr>
          <w:p>
            <w:pPr>
              <w:pStyle w:val="Compact"/>
              <w:jc w:val="left"/>
            </w:pPr>
            <w:r>
              <w:rPr>
                <w:b/>
                <w:bCs/>
                <w:sz w:val="18"/>
              </w:rPr>
              <w:t xml:space="preserve">H.R. 1 Cliff Scenario</w:t>
            </w:r>
            <w:r>
              <w:rPr>
                <w:sz w:val="18"/>
              </w:rPr>
              <w:t xml:space="preserve"> </w:t>
            </w:r>
            <w:r>
              <w:rPr>
                <w:sz w:val="18"/>
              </w:rPr>
              <w:t xml:space="preserve">—</w:t>
            </w:r>
            <w:r>
              <w:rPr>
                <w:sz w:val="18"/>
              </w:rPr>
              <w:t xml:space="preserve"> </w:t>
            </w:r>
            <w:r>
              <w:rPr>
                <w:rStyle w:val="VerbatimChar"/>
                <w:sz w:val="18"/>
              </w:rPr>
              <w:t xml:space="preserve">/research-lab/policy-quality?tab=hr1-cliff</w:t>
            </w:r>
          </w:p>
        </w:tc>
        <w:tc>
          <w:tcPr>
            <w:tcW w:w="4062" w:type="dxa"/>
          </w:tcPr>
          <w:p>
            <w:pPr>
              <w:pStyle w:val="Compact"/>
              <w:jc w:val="left"/>
            </w:pPr>
            <w:r>
              <w:rPr>
                <w:sz w:val="18"/>
              </w:rPr>
              <w:t xml:space="preserve">How federal policy shifts the financial assumptions every downstream pillar depends on.</w:t>
            </w:r>
          </w:p>
        </w:tc>
      </w:tr>
      <w:tr>
        <w:trPr>
          <w:cantSplit/>
        </w:trPr>
        <w:tc>
          <w:tcPr>
            <w:tcW w:w="4062" w:type="dxa"/>
          </w:tcPr>
          <w:p>
            <w:pPr>
              <w:pStyle w:val="Compact"/>
              <w:jc w:val="left"/>
            </w:pPr>
            <w:r>
              <w:rPr>
                <w:sz w:val="18"/>
              </w:rPr>
              <w:t xml:space="preserve">Test eligibility outcomes for a specific household</w:t>
            </w:r>
          </w:p>
        </w:tc>
        <w:tc>
          <w:tcPr>
            <w:tcW w:w="947" w:type="dxa"/>
          </w:tcPr>
          <w:p>
            <w:pPr>
              <w:pStyle w:val="Compact"/>
              <w:jc w:val="left"/>
            </w:pPr>
            <w:r>
              <w:rPr>
                <w:b/>
                <w:bCs/>
                <w:sz w:val="18"/>
              </w:rPr>
              <w:t xml:space="preserve">Medicaid Eligibility Simulator</w:t>
            </w:r>
            <w:r>
              <w:rPr>
                <w:sz w:val="18"/>
              </w:rPr>
              <w:t xml:space="preserve"> </w:t>
            </w:r>
            <w:r>
              <w:rPr>
                <w:sz w:val="18"/>
              </w:rPr>
              <w:t xml:space="preserve">—</w:t>
            </w:r>
            <w:r>
              <w:rPr>
                <w:sz w:val="18"/>
              </w:rPr>
              <w:t xml:space="preserve"> </w:t>
            </w:r>
            <w:r>
              <w:rPr>
                <w:rStyle w:val="VerbatimChar"/>
                <w:sz w:val="18"/>
              </w:rPr>
              <w:t xml:space="preserve">/medicaid-eligibility-simulator</w:t>
            </w:r>
          </w:p>
        </w:tc>
        <w:tc>
          <w:tcPr>
            <w:tcW w:w="4062" w:type="dxa"/>
          </w:tcPr>
          <w:p>
            <w:pPr>
              <w:pStyle w:val="Compact"/>
              <w:jc w:val="left"/>
            </w:pPr>
            <w:r>
              <w:rPr>
                <w:sz w:val="18"/>
              </w:rPr>
              <w:t xml:space="preserve">Where coverage transitions create gaps the clinical and equity pillars must absorb.</w:t>
            </w:r>
          </w:p>
        </w:tc>
      </w:tr>
    </w:tbl>
    <w:p>
      <w:pPr>
        <w:pStyle w:val="Caption"/>
        <w:spacing w:before="120"/>
      </w:pPr>
      <w:r>
        <w:rPr>
          <w:i/>
          <w:iCs/>
        </w:rPr>
        <w:t xml:space="preserve">Figure 3.H — Hands-on platform tools for the Policy Pillar in practice.</w:t>
      </w:r>
    </w:p>
    <w:p>
      <w:pPr>
        <w:pStyle w:val="Heading2"/>
        <w:pBdr>
          <w:top w:val="single" w:sz="6" w:space="10" w:color="C9D2DF"/>
        </w:pBdr>
      </w:pPr>
      <w:r>
        <w:rPr>
          <w:color w:val="161B22"/>
        </w:rPr>
        <w:t xml:space="preserve">3.9  </w:t>
      </w:r>
      <w:bookmarkStart w:id="1111" w:name="_Toc1110"/>
      <w:r>
        <w:rPr>
          <w:b/>
          <w:bCs/>
          <w:color w:val="161B22"/>
        </w:rPr>
        <w:t xml:space="preserve">Implications for You</w:t>
      </w:r>
      <w:bookmarkEnd w:id="1111"/>
    </w:p>
    <w:p>
      <w:pPr>
        <w:pStyle w:val="FirstParagraph"/>
      </w:pPr>
      <w:r>
        <w:t xml:space="preserve">If you are a Vermont hospital executive: Vermont’s participation in AHEAD as a Cohort 2 state means your organization will be operating under a CMMI total-cost-of-care model beginning January 2028. The single most consequential preparation step is HCC documentation accuracy. Under AHEAD’s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pPr>
        <w:pStyle w:val="BodyText"/>
      </w:pPr>
      <w:r>
        <w:t xml:space="preserve">If you are an AHS or GMCB official: Vermont’s AHEAD implementation plan must address the gap between CMS’s performance start date (January 2028) and the AHS-GMCB analytics vendor deployment timeline. AHEAD’s predecessor —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pPr>
        <w:pStyle w:val="BodyText"/>
      </w:pPr>
      <w:r>
        <w:t xml:space="preserve">If you are a Vermont legislator: Vermont’s AHEAD agreement creates federal financial accountability beginning January 2028. The legislature’s oversight role includes ensuring AHS has the resources to implement AHEAD support infrastructure — especially the analytics tools and the HSA Coordinator positions — before performance accountability begins. Appropriating for these positions is not optional; it is the enabling condition for the federal investment Vermont has committed to.</w:t>
      </w:r>
    </w:p>
    <w:p>
      <w:pPr>
        <w:pStyle w:val="BodyText"/>
      </w:pPr>
      <w:r>
        <w:t xml:space="preserve">If you are a national health policy professional: Vermont’s AHEAD experience will be the most detailed real-world test of whether a mandatory state payment architecture can improve outcomes under a CMMI total-cost-of-care model. The prior evidence is mixed — most CMMI models have underperformed projections. What is different about Vermont is the mandatory participation, the global budget layer beneath AHEAD, and the RBP price constraint that prevents high-cost providers from offsetting AHEAD risk through commercial rate increases. Watch Vermont’s first AHEAD performance year results carefully. They will be more informative than any model projection.</w:t>
      </w:r>
    </w:p>
    <w:p>
      <w:pPr>
        <w:pStyle w:val="BodyText"/>
      </w:pPr>
      <w:r>
        <w:rPr>
          <w:b/>
          <w:bCs/>
        </w:rPr>
        <w:t xml:space="preserve">Stakeholder communication: Who needs to know about this policy change, and what decisions does it require from the board, executive team, clinical leadership, and financial team?</w:t>
      </w:r>
    </w:p>
    <w:p>
      <w:pPr>
        <w:pStyle w:val="Heading2"/>
        <w:pBdr>
          <w:top w:val="single" w:sz="6" w:space="10" w:color="C9D2DF"/>
        </w:pBdr>
      </w:pPr>
      <w:r>
        <w:rPr>
          <w:color w:val="161B22"/>
        </w:rPr>
        <w:t xml:space="preserve">3.10  </w:t>
      </w:r>
      <w:bookmarkStart w:id="1112" w:name="_Toc1111"/>
      <w:r>
        <w:rPr>
          <w:b/>
          <w:bCs/>
          <w:color w:val="161B22"/>
        </w:rPr>
        <w:t xml:space="preserve">Key Concepts in This Chapter</w:t>
      </w:r>
      <w:bookmarkEnd w:id="1112"/>
    </w:p>
    <w:p>
      <w:pPr>
        <w:pStyle w:val="FirstParagraph"/>
        <w:spacing w:before="160" w:after="120"/>
      </w:pPr>
      <w:r>
        <w:rPr>
          <w:rFonts w:ascii="Calibri" w:hAnsi="Calibri"/>
          <w:b/>
          <w:bCs/>
          <w:color w:val="2E74B5"/>
          <w:sz w:val="20"/>
        </w:rPr>
        <w:t xml:space="preserve">Section 1115 waiver</w:t>
      </w:r>
      <w:r>
        <w:rPr>
          <w:rFonts w:ascii="Calibri" w:hAnsi="Calibri"/>
          <w:color w:val="000000"/>
          <w:sz w:val="18"/>
        </w:rPr>
        <w:br/>
      </w:r>
      <w:r>
        <w:rPr>
          <w:rFonts w:ascii="Calibri" w:hAnsi="Calibri"/>
          <w:color w:val="000000"/>
          <w:sz w:val="18"/>
        </w:rPr>
        <w:t xml:space="preserve">Authority under the Social Security Act allowing CMS to waive standard Medicaid requirements and approve experimental programs that promote program objectives. Vermont’s Global Commitment to Health demonstration is its primary 1115 vehicle.</w:t>
      </w:r>
    </w:p>
    <w:p>
      <w:pPr>
        <w:pStyle w:val="BodyText"/>
        <w:spacing w:before="160" w:after="120"/>
      </w:pPr>
      <w:r>
        <w:rPr>
          <w:rFonts w:ascii="Calibri" w:hAnsi="Calibri"/>
          <w:b/>
          <w:bCs/>
          <w:color w:val="2E74B5"/>
          <w:sz w:val="20"/>
        </w:rPr>
        <w:t xml:space="preserve">Budget neutrality</w:t>
      </w:r>
      <w:r>
        <w:rPr>
          <w:rFonts w:ascii="Calibri" w:hAnsi="Calibri"/>
          <w:color w:val="000000"/>
          <w:sz w:val="18"/>
        </w:rPr>
        <w:br/>
      </w:r>
      <w:r>
        <w:rPr>
          <w:rFonts w:ascii="Calibri" w:hAnsi="Calibri"/>
          <w:color w:val="000000"/>
          <w:sz w:val="18"/>
        </w:rPr>
        <w:t xml:space="preserve">The federal requirement that 1115 waiver spending not exceed what Medicaid spending would have been without the waiver, calculated against a negotiated without-waiver baseline.</w:t>
      </w:r>
    </w:p>
    <w:p>
      <w:pPr>
        <w:pStyle w:val="BodyText"/>
        <w:spacing w:before="160" w:after="120"/>
      </w:pPr>
      <w:r>
        <w:rPr>
          <w:rFonts w:ascii="Calibri" w:hAnsi="Calibri"/>
          <w:b/>
          <w:bCs/>
          <w:color w:val="2E74B5"/>
          <w:sz w:val="20"/>
        </w:rPr>
        <w:t xml:space="preserve">CMMI (Center for Medicare and Medicaid Innovation)</w:t>
      </w:r>
      <w:r>
        <w:rPr>
          <w:rFonts w:ascii="Calibri" w:hAnsi="Calibri"/>
          <w:color w:val="000000"/>
          <w:sz w:val="18"/>
        </w:rPr>
        <w:br/>
      </w:r>
      <w:r>
        <w:rPr>
          <w:rFonts w:ascii="Calibri" w:hAnsi="Calibri"/>
          <w:color w:val="000000"/>
          <w:sz w:val="18"/>
        </w:rPr>
        <w:t xml:space="preserve">Federal entity created by the ACA to test new payment and delivery models. Has launched 50+ models since 2010; AHEAD is the most relevant current model for state-level transformation.</w:t>
      </w:r>
    </w:p>
    <w:p>
      <w:pPr>
        <w:pStyle w:val="BodyText"/>
        <w:spacing w:before="160" w:after="120"/>
      </w:pPr>
      <w:r>
        <w:rPr>
          <w:rFonts w:ascii="Calibri" w:hAnsi="Calibri"/>
          <w:b/>
          <w:bCs/>
          <w:color w:val="2E74B5"/>
          <w:sz w:val="20"/>
        </w:rPr>
        <w:t xml:space="preserve">Two-sided risk</w:t>
      </w:r>
      <w:r>
        <w:rPr>
          <w:rFonts w:ascii="Calibri" w:hAnsi="Calibri"/>
          <w:color w:val="000000"/>
          <w:sz w:val="18"/>
        </w:rPr>
        <w:br/>
      </w:r>
      <w:r>
        <w:rPr>
          <w:rFonts w:ascii="Calibri" w:hAnsi="Calibri"/>
          <w:color w:val="000000"/>
          <w:sz w:val="18"/>
        </w:rPr>
        <w:t xml:space="preserve">A payment arrangement in which the organization shares in both savings (upside) and losses (downside) relative to a financial target. Mandatory downside risk changes organizational behavior more effectively than one-sided shared savings.</w:t>
      </w:r>
    </w:p>
    <w:p>
      <w:pPr>
        <w:pStyle w:val="BodyText"/>
        <w:spacing w:before="160" w:after="120"/>
      </w:pPr>
      <w:r>
        <w:rPr>
          <w:rFonts w:ascii="Calibri" w:hAnsi="Calibri"/>
          <w:b/>
          <w:bCs/>
          <w:color w:val="2E74B5"/>
          <w:sz w:val="20"/>
        </w:rPr>
        <w:t xml:space="preserve">Prior authorization</w:t>
      </w:r>
      <w:r>
        <w:rPr>
          <w:rFonts w:ascii="Calibri" w:hAnsi="Calibri"/>
          <w:color w:val="000000"/>
          <w:sz w:val="18"/>
        </w:rPr>
        <w:br/>
      </w:r>
      <w:r>
        <w:rPr>
          <w:rFonts w:ascii="Calibri" w:hAnsi="Calibri"/>
          <w:color w:val="000000"/>
          <w:sz w:val="18"/>
        </w:rPr>
        <w:t xml:space="preserve">Health plan requirement for pre-approval before delivering specified services. Oliver Wyman documented PA complexity as a major administrative burden for Vermont providers; Act 167 and Act 68 both address PA simplification.</w:t>
      </w:r>
    </w:p>
    <w:p>
      <w:pPr>
        <w:pStyle w:val="BodyText"/>
        <w:spacing w:before="160" w:after="120"/>
      </w:pPr>
      <w:r>
        <w:rPr>
          <w:rFonts w:ascii="Calibri" w:hAnsi="Calibri"/>
          <w:b/>
          <w:bCs/>
          <w:color w:val="2E74B5"/>
          <w:sz w:val="20"/>
        </w:rPr>
        <w:t xml:space="preserve">Making Care Primary (MCP)</w:t>
      </w:r>
      <w:r>
        <w:rPr>
          <w:rFonts w:ascii="Calibri" w:hAnsi="Calibri"/>
          <w:color w:val="000000"/>
          <w:sz w:val="18"/>
        </w:rPr>
        <w:br/>
      </w:r>
      <w:r>
        <w:rPr>
          <w:rFonts w:ascii="Calibri" w:hAnsi="Calibri"/>
          <w:color w:val="000000"/>
          <w:sz w:val="18"/>
        </w:rPr>
        <w:t xml:space="preserve">CMMI’s 8-state multi-payer primary care transformation model. A potential vehicle for states not participating in AHEAD seeking federal support for primary care investment.</w:t>
      </w:r>
    </w:p>
    <w:p>
      <w:pPr>
        <w:pStyle w:val="BodyText"/>
        <w:spacing w:before="160" w:after="120"/>
      </w:pPr>
      <w:r>
        <w:rPr>
          <w:rFonts w:ascii="Calibri" w:hAnsi="Calibri"/>
          <w:b/>
          <w:bCs/>
          <w:color w:val="2E74B5"/>
          <w:sz w:val="20"/>
        </w:rPr>
        <w:t xml:space="preserve">Federal Register</w:t>
      </w:r>
      <w:r>
        <w:rPr>
          <w:rFonts w:ascii="Calibri" w:hAnsi="Calibri"/>
          <w:color w:val="000000"/>
          <w:sz w:val="18"/>
        </w:rPr>
        <w:br/>
      </w:r>
      <w:r>
        <w:rPr>
          <w:rFonts w:ascii="Calibri" w:hAnsi="Calibri"/>
          <w:color w:val="000000"/>
          <w:sz w:val="18"/>
        </w:rPr>
        <w:t xml:space="preserve">The official journal of the U.S. federal government, where CMS and other agencies publish proposed rules (open for public comment) and final rules (legally binding). Essential monitoring source for healthcare policy practitioners.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p>
    <w:p>
      <w:r>
        <w:br w:type="page"/>
      </w:r>
    </w:p>
    <w:p>
      <w:pPr>
        <w:pStyle w:val="Heading1"/>
      </w:pPr>
      <w:bookmarkStart w:id="1113" w:name="_Toc1112"/>
      <w:r>
        <w:rPr>
          <w:b/>
          <w:bCs/>
          <w:color w:val="161B22"/>
        </w:rPr>
        <w:t xml:space="preserve">Chapter 4: The Technology Pillar — Data Infrastructure for a Transformed Health System</w:t>
      </w:r>
      <w:bookmarkEnd w:id="111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data infrastructure investment — VHCURES, VITL, and the AHS-GMCB analytics platform — is building the operating system that mandatory payment reform requires to function.</w:t>
      </w:r>
    </w:p>
    <w:p>
      <w:pPr>
        <w:pStyle w:val="BodyText"/>
      </w:pPr>
      <w: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Equity in the six-pillar sequence. Vermont’s VHCURES, VITL, and AHS-GMCB analytics platform are this chapter’s worked example of what building (and struggling to fully integrate) these three assets looks like in practice.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You cannot manage what you cannot measure.</w:t>
      </w:r>
    </w:p>
    <w:p>
      <w:pPr>
        <w:spacing w:before="0" w:after="0" w:line="160" w:lineRule="auto"/>
      </w:pPr>
    </w:p>
    <w:p>
      <w:pPr>
        <w:pStyle w:val="Heading2"/>
        <w:pBdr>
          <w:top w:val="single" w:sz="6" w:space="10" w:color="C9D2DF"/>
        </w:pBdr>
        <w:keepNext w:val="false"/>
      </w:pPr>
      <w:r>
        <w:rPr>
          <w:color w:val="161B22"/>
        </w:rPr>
        <w:t xml:space="preserve">4.1  </w:t>
      </w:r>
      <w:bookmarkStart w:id="1114" w:name="_Toc1113"/>
      <w:r>
        <w:rPr>
          <w:b/>
          <w:bCs/>
          <w:color w:val="161B22"/>
        </w:rPr>
        <w:t xml:space="preserve">The Technology Pillar: Why Data Infrastructure Is the Foundation of Everything Else</w:t>
      </w:r>
      <w:bookmarkEnd w:id="1114"/>
    </w:p>
    <w:p>
      <w:pPr>
        <w:pStyle w:val="Heading3"/>
        <w:keepNext w:val="false"/>
      </w:pPr>
      <w:r>
        <w:rPr>
          <w:color w:val="161B22"/>
        </w:rPr>
        <w:t xml:space="preserve">4.1.1  </w:t>
      </w:r>
      <w:bookmarkStart w:id="1115" w:name="_Toc1114"/>
      <w:r>
        <w:rPr>
          <w:b/>
          <w:bCs/>
          <w:color w:val="161B22"/>
        </w:rPr>
        <w:t xml:space="preserve">Vermont’s Health Data Infrastructure — Three Layers</w:t>
      </w:r>
      <w:bookmarkEnd w:id="1115"/>
    </w:p>
    <w:tbl>
      <w:tblPr>
        <w:tblStyle w:val="HTRTable"/>
        <w:tblLook w:firstRow="1" w:lastRow="0" w:firstColumn="0" w:lastColumn="0" w:noHBand="0" w:noVBand="1" w:val="0020"/>
        <w:tblW w:w="9072" w:type="dxa"/>
        <w:tblLayout w:type="fixed"/>
      </w:tblPr>
      <w:tblGrid>
        <w:gridCol w:w="3225"/>
        <w:gridCol w:w="5835"/>
      </w:tblGrid>
      <w:tr>
        <w:trPr>
          <w:tblHeader w:val="on"/>
          <w:cantSplit/>
        </w:trPr>
        <w:tc>
          <w:tcPr>
            <w:shd w:val="clear" w:color="auto" w:fill="1B3A6B"/>
            <w:tcW w:w="3225" w:type="dxa"/>
          </w:tcPr>
          <w:p>
            <w:pPr>
              <w:pStyle w:val="Compact"/>
            </w:pPr>
            <w:r>
              <w:rPr>
                <w:b/>
                <w:color w:val="FFFFFF"/>
                <w:sz w:val="18"/>
              </w:rPr>
              <w:t xml:space="preserve">Layer</w:t>
            </w:r>
          </w:p>
        </w:tc>
        <w:tc>
          <w:tcPr>
            <w:shd w:val="clear" w:color="auto" w:fill="1B3A6B"/>
            <w:tcW w:w="5835" w:type="dxa"/>
          </w:tcPr>
          <w:p>
            <w:pPr>
              <w:pStyle w:val="Compact"/>
            </w:pPr>
            <w:r>
              <w:rPr>
                <w:b/>
                <w:color w:val="FFFFFF"/>
                <w:sz w:val="18"/>
              </w:rPr>
              <w:t xml:space="preserve">Role in the data stack</w:t>
            </w:r>
          </w:p>
        </w:tc>
      </w:tr>
      <w:tr>
        <w:trPr>
          <w:cantSplit/>
        </w:trPr>
        <w:tc>
          <w:tcPr>
            <w:tcW w:w="3225" w:type="dxa"/>
          </w:tcPr>
          <w:p>
            <w:pPr>
              <w:pStyle w:val="Compact"/>
            </w:pPr>
            <w:r>
              <w:rPr>
                <w:b/>
                <w:bCs/>
                <w:sz w:val="18"/>
              </w:rPr>
              <w:t xml:space="preserve">Layer 1</w:t>
            </w:r>
            <w:r>
              <w:rPr>
                <w:sz w:val="18"/>
              </w:rPr>
              <w:t xml:space="preserve"> </w:t>
            </w:r>
            <w:r>
              <w:rPr>
                <w:sz w:val="18"/>
              </w:rPr>
              <w:t xml:space="preserve">— VHCURES (All-Payer</w:t>
            </w:r>
            <w:r>
              <w:rPr>
                <w:sz w:val="18"/>
              </w:rPr>
              <w:t xml:space="preserve"> </w:t>
            </w:r>
            <w:r>
              <w:rPr>
                <w:sz w:val="18"/>
              </w:rPr>
              <w:t xml:space="preserve">Claims Database)</w:t>
            </w:r>
          </w:p>
        </w:tc>
        <w:tc>
          <w:tcPr>
            <w:tcW w:w="5835" w:type="dxa"/>
          </w:tcPr>
          <w:p>
            <w:pPr>
              <w:pStyle w:val="Compact"/>
            </w:pPr>
            <w:r>
              <w:rPr>
                <w:sz w:val="18"/>
              </w:rPr>
              <w:t xml:space="preserve">Foundation for total-cost-of-care measurement and</w:t>
            </w:r>
            <w:r>
              <w:rPr>
                <w:sz w:val="18"/>
              </w:rPr>
              <w:t xml:space="preserve"> </w:t>
            </w:r>
            <w:r>
              <w:rPr>
                <w:sz w:val="18"/>
              </w:rPr>
              <w:t xml:space="preserve">HEDIS stratification. Gap: race/ethnicity data</w:t>
            </w:r>
            <w:r>
              <w:rPr>
                <w:sz w:val="18"/>
              </w:rPr>
              <w:t xml:space="preserve"> </w:t>
            </w:r>
            <w:r>
              <w:rPr>
                <w:sz w:val="18"/>
              </w:rPr>
              <w:t xml:space="preserve">incomplete in commercial claims.</w:t>
            </w:r>
          </w:p>
        </w:tc>
      </w:tr>
      <w:tr>
        <w:trPr/>
        <w:tc>
          <w:tcPr>
            <w:tcW w:w="3225" w:type="dxa"/>
          </w:tcPr>
          <w:p>
            <w:pPr>
              <w:pStyle w:val="Compact"/>
            </w:pPr>
            <w:r>
              <w:rPr>
                <w:b/>
                <w:bCs/>
                <w:sz w:val="18"/>
              </w:rPr>
              <w:t xml:space="preserve">Layer 2</w:t>
            </w:r>
            <w:r>
              <w:rPr>
                <w:sz w:val="18"/>
              </w:rPr>
              <w:t xml:space="preserve"> </w:t>
            </w:r>
            <w:r>
              <w:rPr>
                <w:sz w:val="18"/>
              </w:rPr>
              <w:t xml:space="preserve">— VITL / VHIE</w:t>
            </w:r>
            <w:r>
              <w:rPr>
                <w:sz w:val="18"/>
              </w:rPr>
              <w:t xml:space="preserve"> </w:t>
            </w:r>
            <w:r>
              <w:rPr>
                <w:sz w:val="18"/>
              </w:rPr>
              <w:t xml:space="preserve">(Health Information Exchange)</w:t>
            </w:r>
          </w:p>
        </w:tc>
        <w:tc>
          <w:tcPr>
            <w:tcW w:w="5835" w:type="dxa"/>
          </w:tcPr>
          <w:p>
            <w:pPr>
              <w:pStyle w:val="Compact"/>
            </w:pPr>
            <w:r>
              <w:rPr>
                <w:sz w:val="18"/>
              </w:rPr>
              <w:t xml:space="preserve">Clinical data substrate — diagnoses, labs,</w:t>
            </w:r>
            <w:r>
              <w:rPr>
                <w:sz w:val="18"/>
              </w:rPr>
              <w:t xml:space="preserve"> </w:t>
            </w:r>
            <w:r>
              <w:rPr>
                <w:sz w:val="18"/>
              </w:rPr>
              <w:t xml:space="preserve">medications, care plans. Voluntary participation means</w:t>
            </w:r>
            <w:r>
              <w:rPr>
                <w:sz w:val="18"/>
              </w:rPr>
              <w:t xml:space="preserve"> </w:t>
            </w:r>
            <w:r>
              <w:rPr>
                <w:sz w:val="18"/>
              </w:rPr>
              <w:t xml:space="preserve">not all providers are connected.</w:t>
            </w:r>
          </w:p>
        </w:tc>
      </w:tr>
      <w:tr>
        <w:trPr>
          <w:cantSplit/>
        </w:trPr>
        <w:tc>
          <w:tcPr>
            <w:tcW w:w="3225" w:type="dxa"/>
          </w:tcPr>
          <w:p>
            <w:pPr>
              <w:pStyle w:val="Compact"/>
            </w:pPr>
            <w:r>
              <w:rPr>
                <w:b/>
                <w:bCs/>
                <w:sz w:val="18"/>
              </w:rPr>
              <w:t xml:space="preserve">Layer 3</w:t>
            </w:r>
            <w:r>
              <w:rPr>
                <w:sz w:val="18"/>
              </w:rPr>
              <w:t xml:space="preserve"> </w:t>
            </w:r>
            <w:r>
              <w:rPr>
                <w:sz w:val="18"/>
              </w:rPr>
              <w:t xml:space="preserve">— AHS-GMCB Analytics</w:t>
            </w:r>
            <w:r>
              <w:rPr>
                <w:sz w:val="18"/>
              </w:rPr>
              <w:t xml:space="preserve"> </w:t>
            </w:r>
            <w:r>
              <w:rPr>
                <w:sz w:val="18"/>
              </w:rPr>
              <w:t xml:space="preserve">Vendor (procurement underway)</w:t>
            </w:r>
          </w:p>
        </w:tc>
        <w:tc>
          <w:tcPr>
            <w:tcW w:w="5835" w:type="dxa"/>
          </w:tcPr>
          <w:p>
            <w:pPr>
              <w:pStyle w:val="Compact"/>
            </w:pPr>
            <w:r>
              <w:rPr>
                <w:sz w:val="18"/>
              </w:rPr>
              <w:t xml:space="preserve">Modeling layer for global budget design, TCOC</w:t>
            </w:r>
            <w:r>
              <w:rPr>
                <w:sz w:val="18"/>
              </w:rPr>
              <w:t xml:space="preserve"> </w:t>
            </w:r>
            <w:r>
              <w:rPr>
                <w:sz w:val="18"/>
              </w:rPr>
              <w:t xml:space="preserve">tracking, risk stratification, and equity monitoring.</w:t>
            </w:r>
            <w:r>
              <w:rPr>
                <w:sz w:val="18"/>
              </w:rPr>
              <w:t xml:space="preserve"> </w:t>
            </w:r>
            <w:r>
              <w:rPr>
                <w:sz w:val="18"/>
              </w:rPr>
              <w:t xml:space="preserve">AHEAD launches January 2028.</w:t>
            </w:r>
          </w:p>
        </w:tc>
      </w:tr>
    </w:tbl>
    <w:p>
      <w:pPr>
        <w:pStyle w:val="Caption"/>
        <w:spacing w:before="120"/>
      </w:pPr>
      <w:r>
        <w:rPr>
          <w:i/>
          <w:iCs/>
        </w:rPr>
        <w:t xml:space="preserve">Figure 4.1 — Vermont’s three-layer health data infrastructure. Source: GMCB VHCURES documentation; Vermont HIE Strategic Plan.</w:t>
      </w:r>
    </w:p>
    <w:p>
      <w:pPr>
        <w:pStyle w:val="BodyText"/>
      </w:pPr>
      <w: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pPr>
        <w:pStyle w:val="BodyText"/>
      </w:pPr>
      <w: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Blueprint clinical data registry — is sophisticated by national standards for a state of its size. It is also, in its current form, insufficient for the management demands of a system operating under global budgets and a mandatory Statewide Strategic Plan accountability framework.</w:t>
      </w:r>
    </w:p>
    <w:p>
      <w:pPr>
        <w:pStyle w:val="BodyText"/>
      </w:pPr>
      <w: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pPr>
        <w:pStyle w:val="Heading2"/>
        <w:pBdr>
          <w:top w:val="single" w:sz="6" w:space="10" w:color="C9D2DF"/>
        </w:pBdr>
      </w:pPr>
      <w:r>
        <w:rPr>
          <w:color w:val="161B22"/>
        </w:rPr>
        <w:t xml:space="preserve">4.2  </w:t>
      </w:r>
      <w:bookmarkStart w:id="1116" w:name="_Toc1115"/>
      <w:r>
        <w:rPr>
          <w:b/>
          <w:bCs/>
          <w:color w:val="161B22"/>
        </w:rPr>
        <w:t xml:space="preserve">VHCURES — Vermont’s All-Payer Claims Database</w:t>
      </w:r>
      <w:bookmarkEnd w:id="1116"/>
    </w:p>
    <w:p>
      <w:pPr>
        <w:pStyle w:val="FirstParagraph"/>
      </w:pPr>
      <w: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pPr>
        <w:pStyle w:val="Heading3"/>
        <w:keepNext w:val="false"/>
      </w:pPr>
      <w:r>
        <w:rPr>
          <w:color w:val="161B22"/>
        </w:rPr>
        <w:t xml:space="preserve">4.2.1  </w:t>
      </w:r>
      <w:bookmarkStart w:id="1117" w:name="_Toc1116"/>
      <w:r>
        <w:rPr>
          <w:b/>
          <w:bCs/>
          <w:color w:val="161B22"/>
        </w:rPr>
        <w:t xml:space="preserve">What VHCURES Contains and What It Can Do</w:t>
      </w:r>
      <w:bookmarkEnd w:id="1117"/>
    </w:p>
    <w:p>
      <w:pPr>
        <w:pStyle w:val="FirstParagraph"/>
        <w:keepNext w:val="false"/>
      </w:pPr>
      <w:r>
        <w:t xml:space="preserve">VHCURES is a substantial data asset that gives Vermont analytical capabilities most states lack. Understanding both its capabilities and its limitations is essential for anyone designing Vermont’s technology infrastructure.</w:t>
      </w:r>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60%</w:t>
            </w:r>
          </w:p>
          <w:p>
            <w:pPr>
              <w:jc w:val="center"/>
              <w:spacing w:after="40"/>
            </w:pPr>
            <w:r>
              <w:rPr>
                <w:rFonts w:ascii="Calibri" w:hAnsi="Calibri"/>
                <w:b/>
                <w:sz w:val="16"/>
                <w:color w:val="1B3A6B"/>
              </w:rPr>
              <w:t>Commercial Population Covered</w:t>
            </w:r>
          </w:p>
        </w:tc>
        <w:tc>
          <w:tcPr>
            <w:tcW w:w="2268" w:type="dxa"/>
            <w:shd w:val="clear" w:color="auto" w:fill="E8F0FB"/>
            <w:vAlign w:val="center"/>
          </w:tcPr>
          <w:p>
            <w:pPr>
              <w:jc w:val="center"/>
              <w:spacing w:after="20" w:before="40"/>
            </w:pPr>
            <w:r>
              <w:rPr>
                <w:rFonts w:ascii="Calibri" w:hAnsi="Calibri"/>
                <w:b/>
                <w:sz w:val="16"/>
                <w:color w:val="1B3A6B"/>
              </w:rPr>
              <w:t>100%</w:t>
            </w:r>
          </w:p>
          <w:p>
            <w:pPr>
              <w:jc w:val="center"/>
              <w:spacing w:after="40"/>
            </w:pPr>
            <w:r>
              <w:rPr>
                <w:rFonts w:ascii="Calibri" w:hAnsi="Calibri"/>
                <w:b/>
                <w:sz w:val="16"/>
                <w:color w:val="1B3A6B"/>
              </w:rPr>
              <w:t>Medicaid &amp; Medicare Enrollees</w:t>
            </w:r>
          </w:p>
        </w:tc>
        <w:tc>
          <w:tcPr>
            <w:tcW w:w="2268" w:type="dxa"/>
            <w:shd w:val="clear" w:color="auto" w:fill="E8F0FB"/>
            <w:vAlign w:val="center"/>
          </w:tcPr>
          <w:p>
            <w:pPr>
              <w:jc w:val="center"/>
              <w:spacing w:after="20" w:before="40"/>
            </w:pPr>
            <w:r>
              <w:rPr>
                <w:rFonts w:ascii="Calibri" w:hAnsi="Calibri"/>
                <w:b/>
                <w:sz w:val="16"/>
                <w:color w:val="1B3A6B"/>
              </w:rPr>
              <w:t>Claims + Rx</w:t>
            </w:r>
          </w:p>
          <w:p>
            <w:pPr>
              <w:jc w:val="center"/>
              <w:spacing w:after="40"/>
            </w:pPr>
            <w:r>
              <w:rPr>
                <w:rFonts w:ascii="Calibri" w:hAnsi="Calibri"/>
                <w:b/>
                <w:sz w:val="16"/>
                <w:color w:val="1B3A6B"/>
              </w:rPr>
              <w:t>Data Types Held</w:t>
            </w:r>
          </w:p>
        </w:tc>
        <w:tc>
          <w:tcPr>
            <w:tcW w:w="2268" w:type="dxa"/>
            <w:shd w:val="clear" w:color="auto" w:fill="E8F0FB"/>
            <w:vAlign w:val="center"/>
          </w:tcPr>
          <w:p>
            <w:pPr>
              <w:jc w:val="center"/>
              <w:spacing w:after="20" w:before="40"/>
            </w:pPr>
            <w:r>
              <w:rPr>
                <w:rFonts w:ascii="Calibri" w:hAnsi="Calibri"/>
                <w:b/>
                <w:sz w:val="16"/>
                <w:color w:val="1B3A6B"/>
              </w:rPr>
              <w:t>12–18+ Mo</w:t>
            </w:r>
          </w:p>
          <w:p>
            <w:pPr>
              <w:jc w:val="center"/>
              <w:spacing w:after="40"/>
            </w:pPr>
            <w:r>
              <w:rPr>
                <w:rFonts w:ascii="Calibri" w:hAnsi="Calibri"/>
                <w:b/>
                <w:sz w:val="16"/>
                <w:color w:val="1B3A6B"/>
              </w:rPr>
              <w:t>Typical Data Lag</w:t>
            </w:r>
          </w:p>
        </w:tc>
      </w:tr>
    </w:tbl>
    <w:p>
      <w:pPr>
        <w:spacing w:after="120"/>
      </w:pPr>
    </w:p>
    <w:p>
      <w:pPr>
        <w:pStyle w:val="Caption"/>
      </w:pPr>
      <w:r>
        <w:rPr>
          <w:i/>
          <w:iCs/>
        </w:rPr>
        <w:t xml:space="preserve">Figure 4.2 — VHCURES data coverage summary. Commercial coverage is partial because ERISA exempts self-insured employers; extracts hold up to five years of eligibility and paid claims. Source: GMCB VHCURES documentation.</w:t>
      </w:r>
    </w:p>
    <w:p>
      <w:pPr>
        <w:pStyle w:val="BodyText"/>
      </w:pPr>
      <w: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is calculated from VHCURES via VUHDDS); hospital price transparency analysis (the GMCB’s 2026 RBP report used VHCURES-derived 2024 claims data to show hospital prices ranging from 279% to 697% of Medicare for outpatient services); and prescription drug affordability analysis (GMCB’s 2025 report on drug pricing used VHCURES to model the impact of IRA drug negotiations on Vermont spending). This is a powerful analytical platform that has produced some of the most credible and consequential health policy analysis in recent Vermont history.</w:t>
      </w:r>
    </w:p>
    <w:p>
      <w:pPr>
        <w:pStyle w:val="Heading3"/>
        <w:keepNext w:val="false"/>
      </w:pPr>
      <w:r>
        <w:rPr>
          <w:color w:val="161B22"/>
        </w:rPr>
        <w:t xml:space="preserve">4.2.2  </w:t>
      </w:r>
      <w:bookmarkStart w:id="1118" w:name="_Toc1117"/>
      <w:r>
        <w:rPr>
          <w:b/>
          <w:bCs/>
          <w:color w:val="161B22"/>
        </w:rPr>
        <w:t xml:space="preserve">VHCURES Limitations — Where the Gaps Are</w:t>
      </w:r>
      <w:bookmarkEnd w:id="1118"/>
    </w:p>
    <w:p>
      <w:pPr>
        <w:pStyle w:val="FirstParagraph"/>
        <w:keepNext w:val="false"/>
      </w:pPr>
      <w: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HTRTable"/>
        <w:tblLook w:firstRow="1" w:lastRow="0" w:firstColumn="0" w:lastColumn="0" w:noHBand="0" w:noVBand="1" w:val="0020"/>
        <w:tblW w:w="9072" w:type="dxa"/>
        <w:tblLayout w:type="fixed"/>
      </w:tblPr>
      <w:tblGrid>
        <w:gridCol w:w="1485"/>
        <w:gridCol w:w="5010"/>
        <w:gridCol w:w="2580"/>
      </w:tblGrid>
      <w:tr>
        <w:trPr>
          <w:tblHeader w:val="on"/>
          <w:cantSplit/>
        </w:trPr>
        <w:tc>
          <w:tcPr>
            <w:shd w:val="clear" w:color="auto" w:fill="1B3A6B"/>
            <w:tcW w:w="1485" w:type="dxa"/>
          </w:tcPr>
          <w:p>
            <w:pPr>
              <w:pStyle w:val="Compact"/>
              <w:jc w:val="left"/>
            </w:pPr>
            <w:r>
              <w:rPr>
                <w:b/>
                <w:color w:val="FFFFFF"/>
                <w:sz w:val="18"/>
              </w:rPr>
              <w:t xml:space="preserve">Limitation</w:t>
            </w:r>
          </w:p>
        </w:tc>
        <w:tc>
          <w:tcPr>
            <w:shd w:val="clear" w:color="auto" w:fill="1B3A6B"/>
            <w:tcW w:w="5010" w:type="dxa"/>
          </w:tcPr>
          <w:p>
            <w:pPr>
              <w:pStyle w:val="Compact"/>
              <w:jc w:val="left"/>
            </w:pPr>
            <w:r>
              <w:rPr>
                <w:b/>
                <w:color w:val="FFFFFF"/>
                <w:sz w:val="18"/>
              </w:rPr>
              <w:t xml:space="preserve">What it means for transformation</w:t>
            </w:r>
          </w:p>
        </w:tc>
        <w:tc>
          <w:tcPr>
            <w:shd w:val="clear" w:color="auto" w:fill="1B3A6B"/>
            <w:tcW w:w="2580" w:type="dxa"/>
          </w:tcPr>
          <w:p>
            <w:pPr>
              <w:pStyle w:val="Compact"/>
              <w:jc w:val="left"/>
            </w:pPr>
            <w:r>
              <w:rPr>
                <w:b/>
                <w:color w:val="FFFFFF"/>
                <w:sz w:val="18"/>
              </w:rPr>
              <w:t xml:space="preserve">Required improvement</w:t>
            </w:r>
          </w:p>
        </w:tc>
      </w:tr>
      <w:tr>
        <w:trPr>
          <w:cantSplit/>
        </w:trPr>
        <w:tc>
          <w:tcPr>
            <w:tcW w:w="1485" w:type="dxa"/>
          </w:tcPr>
          <w:p>
            <w:pPr>
              <w:pStyle w:val="Compact"/>
              <w:jc w:val="left"/>
            </w:pPr>
            <w:r>
              <w:rPr>
                <w:sz w:val="18"/>
              </w:rPr>
              <w:t xml:space="preserve">Incomplete commercial coverage (60%)</w:t>
            </w:r>
          </w:p>
        </w:tc>
        <w:tc>
          <w:tcPr>
            <w:tcW w:w="5010" w:type="dxa"/>
          </w:tcPr>
          <w:p>
            <w:pPr>
              <w:pStyle w:val="Compact"/>
              <w:jc w:val="left"/>
            </w:pPr>
            <w:r>
              <w:rPr>
                <w:sz w:val="18"/>
              </w:rPr>
              <w:t xml:space="preserve">The 40% of commercially insured Vermonters in ERISA self-insured employer plans — many of them higher-income, higher-resource patients — are not in VHCURES unless their employer voluntarily submits. Total cost of care calculations and population health analyses are systematically missing a significant portion of the commercially insured population. Under federal law, self-insured employers cannot be required to submit data to state APCDs.</w:t>
            </w:r>
          </w:p>
        </w:tc>
        <w:tc>
          <w:tcPr>
            <w:tcW w:w="2580" w:type="dxa"/>
          </w:tcPr>
          <w:p>
            <w:pPr>
              <w:pStyle w:val="Compact"/>
              <w:jc w:val="left"/>
            </w:pPr>
            <w:r>
              <w:rPr>
                <w:sz w:val="18"/>
              </w:rPr>
              <w:t xml:space="preserve">Voluntary submission incentives; federal ERISA reform advocacy; use of commercial insurer aggregate data for the covered portion; flag analyses as partial in all public reporting</w:t>
            </w:r>
          </w:p>
        </w:tc>
      </w:tr>
      <w:tr>
        <w:trPr/>
        <w:tc>
          <w:tcPr>
            <w:tcW w:w="1485" w:type="dxa"/>
          </w:tcPr>
          <w:p>
            <w:pPr>
              <w:pStyle w:val="Compact"/>
              <w:jc w:val="left"/>
            </w:pPr>
            <w:r>
              <w:rPr>
                <w:sz w:val="18"/>
              </w:rPr>
              <w:t xml:space="preserve">Data lag of 12-18+ months</w:t>
            </w:r>
          </w:p>
        </w:tc>
        <w:tc>
          <w:tcPr>
            <w:tcW w:w="5010" w:type="dxa"/>
          </w:tcPr>
          <w:p>
            <w:pPr>
              <w:pStyle w:val="Compact"/>
              <w:jc w:val="left"/>
            </w:pPr>
            <w:r>
              <w:rPr>
                <w:sz w:val="18"/>
              </w:rPr>
              <w:t xml:space="preserve">The most recent VHCURES data typically reflects conditions 12-18 months prior to analysis. The November 2025 AHS transformation report explicitly acknowledged that most available measures reflect 2023 or earlier data. Under global budgets, where hospitals need to understand their population health performance in near-real-time to manage within their budget cap, this lag makes VHCURES insufficient as a management tool.</w:t>
            </w:r>
          </w:p>
        </w:tc>
        <w:tc>
          <w:tcPr>
            <w:tcW w:w="2580" w:type="dxa"/>
          </w:tcPr>
          <w:p>
            <w:pPr>
              <w:pStyle w:val="Compact"/>
              <w:jc w:val="left"/>
            </w:pPr>
            <w:r>
              <w:rPr>
                <w:sz w:val="18"/>
              </w:rPr>
              <w:t xml:space="preserve">AHEAD Model requires more timely data reporting; RHT Program analytics investments; GMCB FY27 hospital budget guidance requires hospitals to report more frequently; push for 60-90 day claims lag instead of 12-18 months</w:t>
            </w:r>
          </w:p>
        </w:tc>
      </w:tr>
      <w:tr>
        <w:trPr/>
        <w:tc>
          <w:tcPr>
            <w:tcW w:w="1485" w:type="dxa"/>
          </w:tcPr>
          <w:p>
            <w:pPr>
              <w:pStyle w:val="Compact"/>
              <w:jc w:val="left"/>
            </w:pPr>
            <w:r>
              <w:rPr>
                <w:sz w:val="18"/>
              </w:rPr>
              <w:t xml:space="preserve">No behavioral health or SDOH data integration</w:t>
            </w:r>
          </w:p>
        </w:tc>
        <w:tc>
          <w:tcPr>
            <w:tcW w:w="5010" w:type="dxa"/>
          </w:tcPr>
          <w:p>
            <w:pPr>
              <w:pStyle w:val="Compact"/>
              <w:jc w:val="left"/>
            </w:pPr>
            <w:r>
              <w:rPr>
                <w:sz w:val="18"/>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p>
        </w:tc>
        <w:tc>
          <w:tcPr>
            <w:tcW w:w="2580" w:type="dxa"/>
          </w:tcPr>
          <w:p>
            <w:pPr>
              <w:pStyle w:val="Compact"/>
              <w:jc w:val="left"/>
            </w:pPr>
            <w:r>
              <w:rPr>
                <w:sz w:val="18"/>
              </w:rPr>
              <w:t xml:space="preserve">VHCURES-VHIE integration per HIE Steering Committee statutory mandate; Act 167 HIE provisions; SDOH data collection through Blueprint HRSN screening linked to VHCURES identifiers with appropriate consent framework</w:t>
            </w:r>
          </w:p>
        </w:tc>
      </w:tr>
      <w:tr>
        <w:trPr>
          <w:cantSplit/>
        </w:trPr>
        <w:tc>
          <w:tcPr>
            <w:tcW w:w="1485" w:type="dxa"/>
          </w:tcPr>
          <w:p>
            <w:pPr>
              <w:pStyle w:val="Compact"/>
              <w:jc w:val="left"/>
            </w:pPr>
            <w:r>
              <w:rPr>
                <w:sz w:val="18"/>
              </w:rPr>
              <w:t xml:space="preserve">No clinical results, only billing records</w:t>
            </w:r>
          </w:p>
        </w:tc>
        <w:tc>
          <w:tcPr>
            <w:tcW w:w="5010" w:type="dxa"/>
          </w:tcPr>
          <w:p>
            <w:pPr>
              <w:pStyle w:val="Compact"/>
              <w:jc w:val="left"/>
            </w:pPr>
            <w:r>
              <w:rPr>
                <w:sz w:val="18"/>
              </w:rPr>
              <w:t xml:space="preserve">VHCURES records that a service was delivered and paid for, but not what it found. A claim shows an HbA1c test was performed; it does not carry the result. This is why claims-only quality measurement systematically underestimates performance, and why the hybrid measures Act 68 depends on cannot be produced from VHCURES alone.</w:t>
            </w:r>
          </w:p>
        </w:tc>
        <w:tc>
          <w:tcPr>
            <w:tcW w:w="2580" w:type="dxa"/>
          </w:tcPr>
          <w:p>
            <w:pPr>
              <w:pStyle w:val="Compact"/>
              <w:jc w:val="left"/>
            </w:pPr>
            <w:r>
              <w:rPr>
                <w:sz w:val="18"/>
              </w:rPr>
              <w:t xml:space="preserve">Clinical-claims linkage through the UHDS; MDWAS weekly refresh as the primary path; VHCURES retained for retrospective analysis rather than management</w:t>
            </w:r>
          </w:p>
        </w:tc>
      </w:tr>
    </w:tbl>
    <w:p>
      <w:pPr>
        <w:pStyle w:val="Caption"/>
        <w:spacing w:before="120"/>
      </w:pPr>
      <w:r>
        <w:rPr>
          <w:i/>
          <w:iCs/>
        </w:rPr>
        <w:t xml:space="preserve">Figure 4.3 — VHCURES structural limitations and required improvements. Sources: GMCB VHCURES data documentation; Oliver Wyman Act 167 Report; AHS Transformation Reports; Act 68 of 2025.</w:t>
      </w:r>
    </w:p>
    <w:p>
      <w:pPr>
        <w:pStyle w:val="Heading2"/>
        <w:pBdr>
          <w:top w:val="single" w:sz="6" w:space="10" w:color="C9D2DF"/>
        </w:pBdr>
      </w:pPr>
      <w:r>
        <w:rPr>
          <w:color w:val="161B22"/>
        </w:rPr>
        <w:t xml:space="preserve">4.3  </w:t>
      </w:r>
      <w:bookmarkStart w:id="1119" w:name="_Toc1118"/>
      <w:r>
        <w:rPr>
          <w:b/>
          <w:bCs/>
          <w:color w:val="161B22"/>
        </w:rPr>
        <w:t xml:space="preserve">The Vermont HIE — VITL, the Governance Shift, and the Integration Imperative</w:t>
      </w:r>
      <w:bookmarkEnd w:id="1119"/>
    </w:p>
    <w:p>
      <w:pPr>
        <w:pStyle w:val="FirstParagraph"/>
      </w:pPr>
      <w: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Vermont has been building this infrastructure since 2009, when VITL was designated as the Regional Extension Center to help primary care providers adopt electronic health records.</w:t>
      </w:r>
    </w:p>
    <w:p>
      <w:pPr>
        <w:pStyle w:val="Heading3"/>
      </w:pPr>
      <w:r>
        <w:rPr>
          <w:color w:val="161B22"/>
        </w:rPr>
        <w:t xml:space="preserve">4.3.1  </w:t>
      </w:r>
      <w:bookmarkStart w:id="1120" w:name="_Toc1119"/>
      <w:r>
        <w:rPr>
          <w:b/>
          <w:bCs/>
          <w:color w:val="161B22"/>
        </w:rPr>
        <w:t xml:space="preserve">Perception vs. Reality — What the Exchange Actually Delivers</w:t>
      </w:r>
      <w:bookmarkEnd w:id="1120"/>
    </w:p>
    <w:p>
      <w:pPr>
        <w:pStyle w:val="FirstParagraph"/>
      </w:pPr>
      <w:r>
        <w:t xml:space="preserve">The VHCURES limitations catalogued above are that database’s own. The exchange has a separate set, and in Oliver Wyman’s assessment a more consequential one: the gap between what Vermont appears to have in a statewide HIE and what the exchange can actually be used for. The finding is worth quoting because it is the more damaging of the two:</w:t>
      </w:r>
    </w:p>
    <w:p>
      <w:pPr>
        <w:pStyle w:val="Compact"/>
        <w:numPr>
          <w:ilvl w:val="0"/>
          <w:numId w:val="1010"/>
        </w:numPr>
        <w:keepLines w:val="true"/>
        <w:keepNext w:val="true"/>
      </w:pPr>
      <w:r>
        <w:t xml:space="preserve">Perception: Vermont has a statewide Health Information Exchange, operated under exclusive statutory designation by VITL.</w:t>
      </w:r>
    </w:p>
    <w:p>
      <w:pPr>
        <w:pStyle w:val="Compact"/>
        <w:numPr>
          <w:ilvl w:val="0"/>
          <w:numId w:val="1010"/>
        </w:numPr>
        <w:keepLines w:val="true"/>
      </w:pPr>
      <w:r>
        <w:t xml:space="preserve">Reality: Participation is voluntary and many community-based providers are not included. The exchange lacks pharmacy claims data and is not viewed as</w:t>
      </w:r>
      <w:r>
        <w:t xml:space="preserve"> </w:t>
      </w:r>
      <w:r>
        <w:t xml:space="preserve">‘user friendly’</w:t>
      </w:r>
      <w:r>
        <w:t xml:space="preserve"> </w:t>
      </w:r>
      <w:r>
        <w:t xml:space="preserve">by providers.</w:t>
      </w:r>
    </w:p>
    <w:p>
      <w:pPr>
        <w:pStyle w:val="FirstParagraph"/>
        <w:keepNext w:val="false"/>
      </w:pPr>
      <w: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pPr>
        <w:pStyle w:val="BodyText"/>
        <w:keepNext w:val="false"/>
      </w:pPr>
      <w:r>
        <w:t xml:space="preserve">Vermont’s technology investments — the VHCURES-VHIE integration mandate, the RHT Program interoperability grants, the AHEAD data sharing requirements — are all aimed at closing this gap between VITL’s nominal existence and the functional interoperability Vermont’s care coordination model requires.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w:t>
            </w:r>
            <w:r>
              <w:rPr>
                <w:sz w:val="20"/>
                <w:szCs w:val="20"/>
              </w:rPr>
              <w:t xml:space="preserve"> </w:t>
            </w:r>
            <w:r>
              <w:rPr>
                <w:sz w:val="20"/>
                <w:szCs w:val="20"/>
              </w:rPr>
              <w:t xml:space="preserve">“do these systems exist?”</w:t>
            </w:r>
            <w:r>
              <w:rPr>
                <w:sz w:val="20"/>
                <w:szCs w:val="20"/>
              </w:rPr>
              <w:t xml:space="preserve"> </w:t>
            </w:r>
            <w:r>
              <w:rPr>
                <w:sz w:val="20"/>
                <w:szCs w:val="20"/>
              </w:rPr>
              <w:t xml:space="preserve">but</w:t>
            </w:r>
            <w:r>
              <w:rPr>
                <w:sz w:val="20"/>
                <w:szCs w:val="20"/>
              </w:rPr>
              <w:t xml:space="preserve"> </w:t>
            </w:r>
            <w:r>
              <w:rPr>
                <w:sz w:val="20"/>
                <w:szCs w:val="20"/>
              </w:rPr>
              <w:t xml:space="preserve">“can a hospital or payer act on this data inside the decision window that matters?”</w:t>
            </w:r>
            <w:r>
              <w:rPr>
                <w:sz w:val="20"/>
                <w:szCs w:val="20"/>
              </w:rPr>
              <w:t xml:space="preserve"> </w:t>
            </w:r>
            <w:r>
              <w:rPr>
                <w:sz w:val="20"/>
                <w:szCs w:val="20"/>
              </w:rPr>
              <w:t xml:space="preserve">— and Vermont’s VITL integration timeline is a useful benchmark for how long that gap typically takes to close even with statutory mandates and dedicated funding behind it.</w:t>
            </w:r>
          </w:p>
        </w:tc>
      </w:tr>
    </w:tbl>
    <w:p>
      <w:pPr>
        <w:spacing w:after="120"/>
      </w:pPr>
    </w:p>
    <w:p>
      <w:pPr>
        <w:pStyle w:val="Heading3"/>
      </w:pPr>
      <w:r>
        <w:rPr>
          <w:color w:val="161B22"/>
        </w:rPr>
        <w:t xml:space="preserve">4.3.2  </w:t>
      </w:r>
      <w:bookmarkStart w:id="1121" w:name="_Toc1120"/>
      <w:r>
        <w:rPr>
          <w:b/>
          <w:bCs/>
          <w:color w:val="161B22"/>
        </w:rPr>
        <w:t xml:space="preserve">The 2025 Governance Shift: Act 62 Transfers HIE Authority to DVHA</w:t>
      </w:r>
      <w:bookmarkEnd w:id="1121"/>
    </w:p>
    <w:p>
      <w:pPr>
        <w:pStyle w:val="FirstParagraph"/>
      </w:pPr>
      <w:r>
        <w:t xml:space="preserve">Effective July 1, 2025, Act 62 of 2025 made a significant governance change: responsibility for Vermont’s statewide Health Information Technology Plan was transferred from the Green Mountain Care Board to the Department of Vermont Health Access (DVHA). Prior to this, GMCB had authority to review and approve the HIE Strategic Plan, VHIE Connectivity Criteria, and VITL’s budget. Under Act 62, DVHA now coordinates Vermont’s statewide HIT Plan in consultation with the HIE Steering Committee, with annual revisions submitted by November 1 and comprehensive updates every five years.</w:t>
      </w:r>
    </w:p>
    <w:p>
      <w:pPr>
        <w:pStyle w:val="BodyText"/>
      </w:pPr>
      <w:r>
        <w:t xml:space="preserve">The governance rationale for this shift is significant: DVHA has direct operational relationships with healthcare providers through its Medicaid contracts, Blueprint for Health administration, and AHEAD Model management. Moving HIT plan responsibility to DVHA aligns the technology strategy with the healthcare delivery transformation authority. It also means that Vermont’s AHEAD implementation — which requires robust data exchange for population health management and global budget monitoring — is now coordinated by the same agency managing the data infrastructure.</w:t>
      </w:r>
    </w:p>
    <w:p>
      <w:pPr>
        <w:pStyle w:val="Heading3"/>
      </w:pPr>
      <w:r>
        <w:rPr>
          <w:color w:val="161B22"/>
        </w:rPr>
        <w:t xml:space="preserve">4.3.3  </w:t>
      </w:r>
      <w:bookmarkStart w:id="1122" w:name="_Toc1121"/>
      <w:r>
        <w:rPr>
          <w:b/>
          <w:bCs/>
          <w:color w:val="161B22"/>
        </w:rPr>
        <w:t xml:space="preserve">The Exclusive-Operator Problem — Why the Statutory Monopoly Has to End</w:t>
      </w:r>
      <w:bookmarkEnd w:id="1122"/>
    </w:p>
    <w:p>
      <w:pPr>
        <w:pStyle w:val="FirstParagraph"/>
      </w:pPr>
      <w:r>
        <w:t xml:space="preserve">There is a structural problem underneath every limitation described so far, and Vermont has been reluctant to name it. Act 61 of 2009 designated VITL as the</w:t>
      </w:r>
      <w:r>
        <w:t xml:space="preserve"> </w:t>
      </w:r>
      <w:r>
        <w:rPr>
          <w:b/>
          <w:bCs/>
        </w:rPr>
        <w:t xml:space="preserve">exclusive</w:t>
      </w:r>
      <w:r>
        <w:t xml:space="preserve"> </w:t>
      </w:r>
      <w:r>
        <w:t xml:space="preserve">operator of the statewide Health Information Exchange Network. Not the selected operator, subject to periodic recompetition. Not the incumbent, subject to challenge. The exclusive one, by statute, indefinitely.</w:t>
      </w:r>
    </w:p>
    <w:p>
      <w:pPr>
        <w:pStyle w:val="BodyText"/>
      </w:pPr>
      <w:r>
        <w:t xml:space="preserve">That designation was defensible in 2009. Vermont was standing up an exchange from nothing, federal HITECH money was flowing, and a single designated nonprofit was a reasonable way to get an exchange built. Seventeen years later the same provision is the single largest structural impediment to the Technology pillar, and it should be repealed.</w:t>
      </w:r>
    </w:p>
    <w:p>
      <w:pPr>
        <w:pStyle w:val="BodyText"/>
      </w:pPr>
      <w:r>
        <w:t xml:space="preserve">The argument is not about VITL’s people or its intentions. It is about what a statutory monopoly does to any organization, however well-run. A vendor that cannot be replaced does not have to compete. It does not have to win renewal on performance, price, or usability, because there is no alternative bidder and no credible threat of one. Every incentive that normally drives a technology vendor to improve — the risk of losing the contract, the pressure of a competitor’s better product, the discipline of a real procurement — has been legislated away. What remains is an annual contract administered by DVHA with a counterparty the state is not free to change.</w:t>
      </w:r>
    </w:p>
    <w:p>
      <w:pPr>
        <w:pStyle w:val="BodyText"/>
      </w:pPr>
      <w:r>
        <w:t xml:space="preserve">The results are exactly what that structure predicts, and Vermont has already documented them. Oliver Wyman’s own assessment found the exchange lacking pharmacy claims data and</w:t>
      </w:r>
      <w:r>
        <w:t xml:space="preserve"> </w:t>
      </w:r>
      <w:r>
        <w:t xml:space="preserve">“not viewed as</w:t>
      </w:r>
      <w:r>
        <w:t xml:space="preserve"> </w:t>
      </w:r>
      <w:r>
        <w:t xml:space="preserve">‘user friendly’</w:t>
      </w:r>
      <w:r>
        <w:t xml:space="preserve"> </w:t>
      </w:r>
      <w:r>
        <w:t xml:space="preserve">by providers”</w:t>
      </w:r>
      <w:r>
        <w:t xml:space="preserve"> </w:t>
      </w:r>
      <w:r>
        <w:t xml:space="preserve">— an extraordinary finding about infrastructure the state has funded for the better part of two decades. Provider participation outside hospitals remains voluntary and incomplete. The FHIR API work that the entire integration mandate depends on has been slow to arrive. None of these is a mystery. They are the ordinary consequence of removing competitive pressure from a service and then expressing surprise when the service does not improve.</w:t>
      </w:r>
    </w:p>
    <w:p>
      <w:pPr>
        <w:pStyle w:val="BodyText"/>
      </w:pPr>
      <w:r>
        <w:t xml:space="preserve">Oliver Wyman’s recommended remedy — more funding for VITL — gets the diagnosis backward. Additional funding into a monopoly does not purchase better performance; it purchases the same performance at higher cost, and it deepens the dependency that created the problem. Vermont has now spent well over $100 million cumulatively on HIT and HIE infrastructure since 2009. The question is not whether the state has invested enough. It is whether the structure it invested through was ever capable of converting that money into capability.</w:t>
      </w:r>
    </w:p>
    <w:p>
      <w:pPr>
        <w:pStyle w:val="BodyText"/>
      </w:pPr>
      <w:r>
        <w:t xml:space="preserve">There is a second cost that is easy to miss because it never appears as a line item. A statutory monopoly does not merely underperform; it forecloses alternatives. Every year the exclusive designation stands is a year in which no other organization can propose a better statewide exchange, no vendor can compete on usability or price, and no procurement can test whether Vermont is getting value. The innovation that does not happen leaves no invoice.</w:t>
      </w:r>
    </w:p>
    <w:p>
      <w:pPr>
        <w:pStyle w:val="BodyText"/>
      </w:pPr>
      <w:r>
        <w:t xml:space="preserve">The practical path forward does not require dismantling anything abruptly, and it should not. Clinical data must keep flowing while the transition is made. But three things follow directly:</w:t>
      </w:r>
    </w:p>
    <w:p>
      <w:pPr>
        <w:pStyle w:val="BodyText"/>
      </w:pPr>
      <w:r>
        <w:rPr>
          <w:b/>
          <w:bCs/>
        </w:rPr>
        <w:t xml:space="preserve">Repeal or amend the exclusive designation.</w:t>
      </w:r>
      <w:r>
        <w:t xml:space="preserve"> </w:t>
      </w:r>
      <w:r>
        <w:t xml:space="preserve">The statutory language making any single organization the permanent operator of state health data infrastructure should be struck. Replace it with periodic competitive procurement on defined performance standards — the arrangement Vermont applies to essentially every other vendor relationship of comparable size.</w:t>
      </w:r>
    </w:p>
    <w:p>
      <w:pPr>
        <w:pStyle w:val="BodyText"/>
      </w:pPr>
      <w:r>
        <w:rPr>
          <w:b/>
          <w:bCs/>
        </w:rPr>
        <w:t xml:space="preserve">Build a second, state-controlled ingestion path.</w:t>
      </w:r>
      <w:r>
        <w:t xml:space="preserve"> </w:t>
      </w:r>
      <w:r>
        <w:t xml:space="preserve">Vermont should not depend on a single external intermediary for the core data pipeline of a federally matched program the state is accountable for. Establishing a direct provider-to-UHDS pathway in parallel with the existing feed is straightforward risk reduction, and it creates the alternative that makes competition possible.</w:t>
      </w:r>
    </w:p>
    <w:p>
      <w:pPr>
        <w:pStyle w:val="BodyText"/>
      </w:pPr>
      <w:r>
        <w:rPr>
          <w:b/>
          <w:bCs/>
        </w:rPr>
        <w:t xml:space="preserve">Wind the intermediary role down deliberately.</w:t>
      </w:r>
      <w:r>
        <w:t xml:space="preserve"> </w:t>
      </w:r>
      <w:r>
        <w:t xml:space="preserve">As direct governance and technical interfaces mature, the requirement that clinical data pass through a designated nonprofit should be phased out. Data should move from provider to the state’s data infrastructure directly, under state-directed governance.</w:t>
      </w:r>
    </w:p>
    <w:p>
      <w:pPr>
        <w:pStyle w:val="BodyText"/>
      </w:pPr>
      <w:r>
        <w:t xml:space="preserve">This belongs in AHS’s Statewide Health Care Delivery Strategic Plan, due to the legislature in December 2028. AHS contains DVHA, which administers the VITL contract annually; the agency that manages the relationship is the agency best positioned to tell the legislature the relationship’s structure is wrong. A restructuring roadmap that reorganizes agency boxes while leaving the exclusive-operator statute untouched will have left the binding constraint in place.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vendor that cannot be replaced does not have to compete.</w:t>
      </w:r>
    </w:p>
    <w:p>
      <w:pPr>
        <w:spacing w:before="0" w:after="0" w:line="160" w:lineRule="auto"/>
      </w:pPr>
    </w:p>
    <w:p>
      <w:pPr>
        <w:pStyle w:val="Heading3"/>
      </w:pPr>
      <w:r>
        <w:rPr>
          <w:color w:val="161B22"/>
        </w:rPr>
        <w:t xml:space="preserve">4.3.4  </w:t>
      </w:r>
      <w:bookmarkStart w:id="1123" w:name="_Toc1122"/>
      <w:r>
        <w:rPr>
          <w:b/>
          <w:bCs/>
          <w:color w:val="161B22"/>
        </w:rPr>
        <w:t xml:space="preserve">The Integration Mandate: One Health Record Per Person</w:t>
      </w:r>
      <w:bookmarkEnd w:id="1123"/>
    </w:p>
    <w:p>
      <w:pPr>
        <w:pStyle w:val="FirstParagraph"/>
        <w:keepNext w:val="false"/>
      </w:pPr>
      <w: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pPr>
        <w:pStyle w:val="BodyText"/>
        <w:keepNext w:val="false"/>
      </w:pPr>
      <w:r>
        <w:t xml:space="preserve">The practical path to this integration has three components that must be executed in sequence:</w:t>
      </w:r>
    </w:p>
    <w:tbl>
      <w:tblPr>
        <w:tblStyle w:val="HTRTable"/>
        <w:tblLook w:firstRow="1" w:lastRow="0" w:firstColumn="0" w:lastColumn="0" w:noHBand="0" w:noVBand="1" w:val="0020"/>
        <w:tblW w:w="9072" w:type="dxa"/>
        <w:tblLayout w:type="fixed"/>
      </w:tblPr>
      <w:tblGrid>
        <w:gridCol w:w="1605"/>
        <w:gridCol w:w="3225"/>
        <w:gridCol w:w="1815"/>
        <w:gridCol w:w="2445"/>
      </w:tblGrid>
      <w:tr>
        <w:trPr>
          <w:tblHeader w:val="on"/>
          <w:cantSplit/>
        </w:trPr>
        <w:tc>
          <w:tcPr>
            <w:shd w:val="clear" w:color="auto" w:fill="1B3A6B"/>
            <w:tcW w:w="1605" w:type="dxa"/>
          </w:tcPr>
          <w:p>
            <w:pPr>
              <w:pStyle w:val="Compact"/>
              <w:jc w:val="left"/>
            </w:pPr>
            <w:r>
              <w:rPr>
                <w:b/>
                <w:color w:val="FFFFFF"/>
                <w:sz w:val="18"/>
              </w:rPr>
              <w:t xml:space="preserve">Step</w:t>
            </w:r>
          </w:p>
        </w:tc>
        <w:tc>
          <w:tcPr>
            <w:shd w:val="clear" w:color="auto" w:fill="1B3A6B"/>
            <w:tcW w:w="3225" w:type="dxa"/>
          </w:tcPr>
          <w:p>
            <w:pPr>
              <w:pStyle w:val="Compact"/>
              <w:jc w:val="left"/>
            </w:pPr>
            <w:r>
              <w:rPr>
                <w:b/>
                <w:color w:val="FFFFFF"/>
                <w:sz w:val="18"/>
              </w:rPr>
              <w:t xml:space="preserve">What it requires</w:t>
            </w:r>
          </w:p>
        </w:tc>
        <w:tc>
          <w:tcPr>
            <w:shd w:val="clear" w:color="auto" w:fill="1B3A6B"/>
            <w:tcW w:w="1815" w:type="dxa"/>
          </w:tcPr>
          <w:p>
            <w:pPr>
              <w:pStyle w:val="Compact"/>
              <w:jc w:val="left"/>
            </w:pPr>
            <w:r>
              <w:rPr>
                <w:b/>
                <w:color w:val="FFFFFF"/>
                <w:sz w:val="18"/>
              </w:rPr>
              <w:t xml:space="preserve">Timeline</w:t>
            </w:r>
          </w:p>
        </w:tc>
        <w:tc>
          <w:tcPr>
            <w:shd w:val="clear" w:color="auto" w:fill="1B3A6B"/>
            <w:tcW w:w="2445" w:type="dxa"/>
          </w:tcPr>
          <w:p>
            <w:pPr>
              <w:pStyle w:val="Compact"/>
              <w:jc w:val="left"/>
            </w:pPr>
            <w:r>
              <w:rPr>
                <w:b/>
                <w:color w:val="FFFFFF"/>
                <w:sz w:val="18"/>
              </w:rPr>
              <w:t xml:space="preserve">Current status</w:t>
            </w:r>
          </w:p>
        </w:tc>
      </w:tr>
      <w:tr>
        <w:trPr>
          <w:cantSplit/>
        </w:trPr>
        <w:tc>
          <w:tcPr>
            <w:tcW w:w="1605" w:type="dxa"/>
          </w:tcPr>
          <w:p>
            <w:pPr>
              <w:pStyle w:val="Compact"/>
              <w:jc w:val="left"/>
            </w:pPr>
            <w:r>
              <w:rPr>
                <w:sz w:val="18"/>
              </w:rPr>
              <w:t xml:space="preserve">1. VHCURES-VHIE claims-clinical integration</w:t>
            </w:r>
          </w:p>
        </w:tc>
        <w:tc>
          <w:tcPr>
            <w:tcW w:w="3225" w:type="dxa"/>
          </w:tcPr>
          <w:p>
            <w:pPr>
              <w:pStyle w:val="Compact"/>
              <w:jc w:val="left"/>
            </w:pPr>
            <w:r>
              <w:rPr>
                <w:sz w:val="18"/>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p>
        </w:tc>
        <w:tc>
          <w:tcPr>
            <w:tcW w:w="1815" w:type="dxa"/>
          </w:tcPr>
          <w:p>
            <w:pPr>
              <w:pStyle w:val="Compact"/>
              <w:jc w:val="left"/>
            </w:pPr>
            <w:r>
              <w:rPr>
                <w:sz w:val="18"/>
              </w:rPr>
              <w:t xml:space="preserve">DVHA leading; AHEAD Model requires this for population health management; target 2026-2027</w:t>
            </w:r>
          </w:p>
        </w:tc>
        <w:tc>
          <w:tcPr>
            <w:tcW w:w="2445" w:type="dxa"/>
          </w:tcPr>
          <w:p>
            <w:pPr>
              <w:pStyle w:val="Compact"/>
              <w:jc w:val="left"/>
            </w:pPr>
            <w:r>
              <w:rPr>
                <w:sz w:val="18"/>
              </w:rPr>
              <w:t xml:space="preserve">HIE Steering Committee has a statutory directive to include data integration strategy in HIE plans; VHCURES-VITL linkage already used for Blueprint HEDIS measurement; full bidirectional integration not yet operational</w:t>
            </w:r>
          </w:p>
        </w:tc>
      </w:tr>
      <w:tr>
        <w:trPr/>
        <w:tc>
          <w:tcPr>
            <w:tcW w:w="1605" w:type="dxa"/>
          </w:tcPr>
          <w:p>
            <w:pPr>
              <w:pStyle w:val="Compact"/>
              <w:jc w:val="left"/>
            </w:pPr>
            <w:r>
              <w:rPr>
                <w:sz w:val="18"/>
              </w:rPr>
              <w:t xml:space="preserve">2. Mental health and SUD data integration</w:t>
            </w:r>
          </w:p>
        </w:tc>
        <w:tc>
          <w:tcPr>
            <w:tcW w:w="3225" w:type="dxa"/>
          </w:tcPr>
          <w:p>
            <w:pPr>
              <w:pStyle w:val="Compact"/>
              <w:jc w:val="left"/>
            </w:pPr>
            <w:r>
              <w:rPr>
                <w:sz w:val="18"/>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p>
        </w:tc>
        <w:tc>
          <w:tcPr>
            <w:tcW w:w="1815" w:type="dxa"/>
          </w:tcPr>
          <w:p>
            <w:pPr>
              <w:pStyle w:val="Compact"/>
              <w:jc w:val="left"/>
            </w:pPr>
            <w:r>
              <w:rPr>
                <w:sz w:val="18"/>
              </w:rPr>
              <w:t xml:space="preserve">2027-2028; requires federal 42 CFR Part 2 compliance pathway</w:t>
            </w:r>
          </w:p>
        </w:tc>
        <w:tc>
          <w:tcPr>
            <w:tcW w:w="2445" w:type="dxa"/>
          </w:tcPr>
          <w:p>
            <w:pPr>
              <w:pStyle w:val="Compact"/>
              <w:jc w:val="left"/>
            </w:pPr>
            <w:r>
              <w:rPr>
                <w:sz w:val="18"/>
              </w:rPr>
              <w:t xml:space="preserve">DVHA working with VITL on consent policy; 2025 federal regulatory changes to 42 CFR Part 2 may simplify compliance pathway; behavioral health CCBHC expansion creates urgency</w:t>
            </w:r>
          </w:p>
        </w:tc>
      </w:tr>
      <w:tr>
        <w:trPr>
          <w:cantSplit/>
        </w:trPr>
        <w:tc>
          <w:tcPr>
            <w:tcW w:w="1605" w:type="dxa"/>
          </w:tcPr>
          <w:p>
            <w:pPr>
              <w:pStyle w:val="Compact"/>
              <w:jc w:val="left"/>
            </w:pPr>
            <w:r>
              <w:rPr>
                <w:sz w:val="18"/>
              </w:rPr>
              <w:t xml:space="preserve">3. SDOH data integration</w:t>
            </w:r>
          </w:p>
        </w:tc>
        <w:tc>
          <w:tcPr>
            <w:tcW w:w="3225" w:type="dxa"/>
          </w:tcPr>
          <w:p>
            <w:pPr>
              <w:pStyle w:val="Compact"/>
              <w:jc w:val="left"/>
            </w:pPr>
            <w:r>
              <w:rPr>
                <w:sz w:val="18"/>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p>
        </w:tc>
        <w:tc>
          <w:tcPr>
            <w:tcW w:w="1815" w:type="dxa"/>
          </w:tcPr>
          <w:p>
            <w:pPr>
              <w:pStyle w:val="Compact"/>
              <w:jc w:val="left"/>
            </w:pPr>
            <w:r>
              <w:rPr>
                <w:sz w:val="18"/>
              </w:rPr>
              <w:t xml:space="preserve">2028 and beyond; requires cross-agency data governance agreement</w:t>
            </w:r>
          </w:p>
        </w:tc>
        <w:tc>
          <w:tcPr>
            <w:tcW w:w="2445" w:type="dxa"/>
          </w:tcPr>
          <w:p>
            <w:pPr>
              <w:pStyle w:val="Compact"/>
              <w:jc w:val="left"/>
            </w:pPr>
            <w:r>
              <w:rPr>
                <w:sz w:val="18"/>
              </w:rPr>
              <w:t xml:space="preserve">Blueprint HRSN screening generates SDOH data but it is not yet linked to VHCURES or VHIE at scale; AHS HSA Coordinator model (Chapter 3) provides the cross-agency governance vehicle</w:t>
            </w:r>
          </w:p>
        </w:tc>
      </w:tr>
    </w:tbl>
    <w:p>
      <w:pPr>
        <w:pStyle w:val="Caption"/>
        <w:spacing w:before="120"/>
      </w:pPr>
      <w:r>
        <w:rPr>
          <w:i/>
          <w:iCs/>
        </w:rPr>
        <w:t xml:space="preserve">Figure 4.4 — Vermont’s three-step path to integrated health records. Sources: Vermont HIE Steering Committee statutory mandate; AHS January 2025 Legislative Presentation; DVHA HIE governance documents.</w:t>
      </w:r>
    </w:p>
    <w:p>
      <w:pPr>
        <w:pStyle w:val="Heading3"/>
      </w:pPr>
      <w:r>
        <w:rPr>
          <w:color w:val="161B22"/>
        </w:rPr>
        <w:t xml:space="preserve">4.3.5  </w:t>
      </w:r>
      <w:bookmarkStart w:id="1124" w:name="_Toc1123"/>
      <w:r>
        <w:rPr>
          <w:b/>
          <w:bCs/>
          <w:color w:val="161B22"/>
        </w:rPr>
        <w:t xml:space="preserve">The Unified Health Data Space — The Vehicle for the Integration Mandate</w:t>
      </w:r>
      <w:bookmarkEnd w:id="1124"/>
    </w:p>
    <w:p>
      <w:pPr>
        <w:pStyle w:val="FirstParagraph"/>
      </w:pPr>
      <w:r>
        <w:t xml:space="preserve">The three-step path above describes what must be integrated. It does not name the thing being built. Vermont’s answer is the</w:t>
      </w:r>
      <w:r>
        <w:t xml:space="preserve"> </w:t>
      </w:r>
      <w:r>
        <w:rPr>
          <w:b/>
          <w:bCs/>
        </w:rPr>
        <w:t xml:space="preserve">Unified Health Data Space (UHDS)</w:t>
      </w:r>
      <w:r>
        <w:t xml:space="preserve"> </w:t>
      </w:r>
      <w:r>
        <w:t xml:space="preserve">— the second-generation successor to the VHIE, and the vehicle through which the Act 68 §10 integration mandate is actually delivered.</w:t>
      </w:r>
    </w:p>
    <w:p>
      <w:pPr>
        <w:pStyle w:val="BodyText"/>
      </w:pPr>
      <w:r>
        <w:t xml:space="preserve">The distinction between the two is not cosmetic. A traditional health information exchange is a network for moving messages between systems that each remain, fundamentally, private silos. The UHDS treats the combined data asset — clinical, claims, SDOH, and public health — as a single piece of public infrastructure, governed the way a state governs the electric grid or the water system. The formal name for that philosophy is the</w:t>
      </w:r>
      <w:r>
        <w:t xml:space="preserve"> </w:t>
      </w:r>
      <w:r>
        <w:rPr>
          <w:b/>
          <w:bCs/>
        </w:rPr>
        <w:t xml:space="preserve">Health Data Utility</w:t>
      </w:r>
      <w:r>
        <w:t xml:space="preserve"> </w:t>
      </w:r>
      <w:r>
        <w:t xml:space="preserve">model: health data as essential public service, funded through stable public mechanisms and managed for the public good rather than as any one participant’s private asset. The UHDS is Vermont’s implementation of it.</w:t>
      </w:r>
    </w:p>
    <w:p>
      <w:pPr>
        <w:pStyle w:val="BodyText"/>
      </w:pPr>
      <w:r>
        <w:t xml:space="preserve">Two statutory changes made this possible, and one of them is easy to miss. Act 68 (2025), §10 legislatively mandated the integration of clinical, claims, and SDOH data into a single record, and required AHS to report to the legislature by January 15, 2026 on the advantages of that integration — a deadline AHS met. But the enabling change came earlier and quieter:</w:t>
      </w:r>
      <w:r>
        <w:t xml:space="preserve"> </w:t>
      </w:r>
      <w:r>
        <w:rPr>
          <w:b/>
          <w:bCs/>
        </w:rPr>
        <w:t xml:space="preserve">Act 167 repealed 18 V.S.A. § 9410(e)</w:t>
      </w:r>
      <w:r>
        <w:t xml:space="preserve">, which had prevented the use of direct patient identifiers for record matching. Accurate identity resolution across organizations is the foundation every other capability rests on. Until that repeal, Vermont’s own statute forbade the technique its integration mandate requires.</w:t>
      </w:r>
    </w:p>
    <w:p>
      <w:pPr>
        <w:pStyle w:val="Heading3"/>
        <w:keepNext w:val="false"/>
      </w:pPr>
      <w:r>
        <w:rPr>
          <w:color w:val="161B22"/>
        </w:rPr>
        <w:t xml:space="preserve">4.3.6  </w:t>
      </w:r>
      <w:bookmarkStart w:id="1125" w:name="_Toc1124"/>
      <w:r>
        <w:rPr>
          <w:b/>
          <w:bCs/>
          <w:color w:val="161B22"/>
        </w:rPr>
        <w:t xml:space="preserve">The Three-Layer Architecture</w:t>
      </w:r>
      <w:bookmarkEnd w:id="1125"/>
    </w:p>
    <w:p>
      <w:pPr>
        <w:pStyle w:val="FirstParagraph"/>
        <w:keepNext w:val="false"/>
      </w:pPr>
      <w:r>
        <w:t xml:space="preserve">The UHDS is best understood as three layers, each depending on the one beneath it.</w:t>
      </w:r>
    </w:p>
    <w:tbl>
      <w:tblPr>
        <w:tblStyle w:val="HTRTable"/>
        <w:tblLook w:firstRow="1" w:lastRow="0" w:firstColumn="0" w:lastColumn="0" w:noHBand="0" w:noVBand="1" w:val="0020"/>
        <w:tblW w:w="9072" w:type="dxa"/>
        <w:tblLayout w:type="fixed"/>
      </w:tblPr>
      <w:tblGrid>
        <w:gridCol w:w="690"/>
        <w:gridCol w:w="1050"/>
        <w:gridCol w:w="3105"/>
        <w:gridCol w:w="4215"/>
      </w:tblGrid>
      <w:tr>
        <w:trPr>
          <w:tblHeader w:val="on"/>
          <w:cantSplit/>
        </w:trPr>
        <w:tc>
          <w:tcPr>
            <w:shd w:val="clear" w:color="auto" w:fill="1B3A6B"/>
            <w:tcW w:w="690" w:type="dxa"/>
          </w:tcPr>
          <w:p>
            <w:pPr>
              <w:pStyle w:val="Compact"/>
              <w:jc w:val="left"/>
            </w:pPr>
            <w:r>
              <w:rPr>
                <w:b/>
                <w:color w:val="FFFFFF"/>
                <w:sz w:val="18"/>
              </w:rPr>
              <w:t xml:space="preserve">Layer</w:t>
            </w:r>
          </w:p>
        </w:tc>
        <w:tc>
          <w:tcPr>
            <w:shd w:val="clear" w:color="auto" w:fill="1B3A6B"/>
            <w:tcW w:w="1050" w:type="dxa"/>
          </w:tcPr>
          <w:p>
            <w:pPr>
              <w:pStyle w:val="Compact"/>
              <w:jc w:val="left"/>
            </w:pPr>
            <w:r>
              <w:rPr>
                <w:b/>
                <w:color w:val="FFFFFF"/>
                <w:sz w:val="18"/>
              </w:rPr>
              <w:t xml:space="preserve">Name</w:t>
            </w:r>
          </w:p>
        </w:tc>
        <w:tc>
          <w:tcPr>
            <w:shd w:val="clear" w:color="auto" w:fill="1B3A6B"/>
            <w:tcW w:w="3105" w:type="dxa"/>
          </w:tcPr>
          <w:p>
            <w:pPr>
              <w:pStyle w:val="Compact"/>
              <w:jc w:val="left"/>
            </w:pPr>
            <w:r>
              <w:rPr>
                <w:b/>
                <w:color w:val="FFFFFF"/>
                <w:sz w:val="18"/>
              </w:rPr>
              <w:t xml:space="preserve">Components</w:t>
            </w:r>
          </w:p>
        </w:tc>
        <w:tc>
          <w:tcPr>
            <w:shd w:val="clear" w:color="auto" w:fill="1B3A6B"/>
            <w:tcW w:w="4215" w:type="dxa"/>
          </w:tcPr>
          <w:p>
            <w:pPr>
              <w:pStyle w:val="Compact"/>
              <w:jc w:val="left"/>
            </w:pPr>
            <w:r>
              <w:rPr>
                <w:b/>
                <w:color w:val="FFFFFF"/>
                <w:sz w:val="18"/>
              </w:rPr>
              <w:t xml:space="preserve">What it establishes</w:t>
            </w:r>
          </w:p>
        </w:tc>
      </w:tr>
      <w:tr>
        <w:trPr>
          <w:cantSplit/>
        </w:trPr>
        <w:tc>
          <w:tcPr>
            <w:tcW w:w="690" w:type="dxa"/>
          </w:tcPr>
          <w:p>
            <w:pPr>
              <w:pStyle w:val="Compact"/>
              <w:jc w:val="left"/>
            </w:pPr>
            <w:r>
              <w:rPr>
                <w:sz w:val="18"/>
              </w:rPr>
              <w:t xml:space="preserve">3</w:t>
            </w:r>
          </w:p>
        </w:tc>
        <w:tc>
          <w:tcPr>
            <w:tcW w:w="1050" w:type="dxa"/>
          </w:tcPr>
          <w:p>
            <w:pPr>
              <w:pStyle w:val="Compact"/>
              <w:jc w:val="left"/>
            </w:pPr>
            <w:r>
              <w:rPr>
                <w:sz w:val="18"/>
              </w:rPr>
              <w:t xml:space="preserve">End-User Services</w:t>
            </w:r>
          </w:p>
        </w:tc>
        <w:tc>
          <w:tcPr>
            <w:tcW w:w="3105" w:type="dxa"/>
          </w:tcPr>
          <w:p>
            <w:pPr>
              <w:pStyle w:val="Compact"/>
              <w:jc w:val="left"/>
            </w:pPr>
            <w:r>
              <w:rPr>
                <w:sz w:val="18"/>
              </w:rPr>
              <w:t xml:space="preserve">VITLAccess provider portal; real-time ADT event notifications; Advanced Analytics Layer</w:t>
            </w:r>
          </w:p>
        </w:tc>
        <w:tc>
          <w:tcPr>
            <w:tcW w:w="4215" w:type="dxa"/>
          </w:tcPr>
          <w:p>
            <w:pPr>
              <w:pStyle w:val="Compact"/>
              <w:jc w:val="left"/>
            </w:pPr>
            <w:r>
              <w:rPr>
                <w:sz w:val="18"/>
              </w:rPr>
              <w:t xml:space="preserve">What clinicians and state leaders actually touch — including the analytics used for regionalization and global-budget modeling</w:t>
            </w:r>
          </w:p>
        </w:tc>
      </w:tr>
      <w:tr>
        <w:trPr/>
        <w:tc>
          <w:tcPr>
            <w:tcW w:w="690" w:type="dxa"/>
          </w:tcPr>
          <w:p>
            <w:pPr>
              <w:pStyle w:val="Compact"/>
              <w:jc w:val="left"/>
            </w:pPr>
            <w:r>
              <w:rPr>
                <w:sz w:val="18"/>
              </w:rPr>
              <w:t xml:space="preserve">2</w:t>
            </w:r>
          </w:p>
        </w:tc>
        <w:tc>
          <w:tcPr>
            <w:tcW w:w="1050" w:type="dxa"/>
          </w:tcPr>
          <w:p>
            <w:pPr>
              <w:pStyle w:val="Compact"/>
              <w:jc w:val="left"/>
            </w:pPr>
            <w:r>
              <w:rPr>
                <w:sz w:val="18"/>
              </w:rPr>
              <w:t xml:space="preserve">Exchange Services</w:t>
            </w:r>
          </w:p>
        </w:tc>
        <w:tc>
          <w:tcPr>
            <w:tcW w:w="3105" w:type="dxa"/>
          </w:tcPr>
          <w:p>
            <w:pPr>
              <w:pStyle w:val="Compact"/>
              <w:jc w:val="left"/>
            </w:pPr>
            <w:r>
              <w:rPr>
                <w:sz w:val="18"/>
              </w:rPr>
              <w:t xml:space="preserve">FHIR APIs; Clinical Data Repository</w:t>
            </w:r>
          </w:p>
        </w:tc>
        <w:tc>
          <w:tcPr>
            <w:tcW w:w="4215" w:type="dxa"/>
          </w:tcPr>
          <w:p>
            <w:pPr>
              <w:pStyle w:val="Compact"/>
              <w:jc w:val="left"/>
            </w:pPr>
            <w:r>
              <w:rPr>
                <w:sz w:val="18"/>
              </w:rPr>
              <w:t xml:space="preserve">Moves and stores data as a single source of truth, prioritized around the weekly-refreshed MDWAS pipeline rather than the lagging VHCURES feed</w:t>
            </w:r>
          </w:p>
        </w:tc>
      </w:tr>
      <w:tr>
        <w:trPr>
          <w:cantSplit/>
        </w:trPr>
        <w:tc>
          <w:tcPr>
            <w:tcW w:w="690" w:type="dxa"/>
          </w:tcPr>
          <w:p>
            <w:pPr>
              <w:pStyle w:val="Compact"/>
              <w:jc w:val="left"/>
            </w:pPr>
            <w:r>
              <w:rPr>
                <w:sz w:val="18"/>
              </w:rPr>
              <w:t xml:space="preserve">1</w:t>
            </w:r>
          </w:p>
        </w:tc>
        <w:tc>
          <w:tcPr>
            <w:tcW w:w="1050" w:type="dxa"/>
          </w:tcPr>
          <w:p>
            <w:pPr>
              <w:pStyle w:val="Compact"/>
              <w:jc w:val="left"/>
            </w:pPr>
            <w:r>
              <w:rPr>
                <w:sz w:val="18"/>
              </w:rPr>
              <w:t xml:space="preserve">Foundational Services</w:t>
            </w:r>
          </w:p>
        </w:tc>
        <w:tc>
          <w:tcPr>
            <w:tcW w:w="3105" w:type="dxa"/>
          </w:tcPr>
          <w:p>
            <w:pPr>
              <w:pStyle w:val="Compact"/>
              <w:jc w:val="left"/>
            </w:pPr>
            <w:r>
              <w:rPr>
                <w:sz w:val="18"/>
              </w:rPr>
              <w:t xml:space="preserve">Master Patient Index (Verato); Terminology Services (Term Atlas); Rhapsody integration engine</w:t>
            </w:r>
          </w:p>
        </w:tc>
        <w:tc>
          <w:tcPr>
            <w:tcW w:w="4215" w:type="dxa"/>
          </w:tcPr>
          <w:p>
            <w:pPr>
              <w:pStyle w:val="Compact"/>
              <w:jc w:val="left"/>
            </w:pPr>
            <w:r>
              <w:rPr>
                <w:sz w:val="18"/>
              </w:rPr>
              <w:t xml:space="preserve">Establishes</w:t>
            </w:r>
            <w:r>
              <w:rPr>
                <w:sz w:val="18"/>
              </w:rPr>
              <w:t xml:space="preserve"> </w:t>
            </w:r>
            <w:r>
              <w:rPr>
                <w:i/>
                <w:iCs/>
                <w:sz w:val="18"/>
              </w:rPr>
              <w:t xml:space="preserve">who a patient is</w:t>
            </w:r>
            <w:r>
              <w:rPr>
                <w:sz w:val="18"/>
              </w:rPr>
              <w:t xml:space="preserve"> </w:t>
            </w:r>
            <w:r>
              <w:rPr>
                <w:sz w:val="18"/>
              </w:rPr>
              <w:t xml:space="preserve">and ensures every system speaks the same clinical vocabulary (SNOMED CT, LOINC). Without it, nothing above is trustworthy</w:t>
            </w:r>
          </w:p>
        </w:tc>
      </w:tr>
    </w:tbl>
    <w:p>
      <w:pPr>
        <w:pStyle w:val="Caption"/>
        <w:spacing w:before="120"/>
      </w:pPr>
      <w:r>
        <w:rPr>
          <w:i/>
          <w:iCs/>
        </w:rPr>
        <w:t xml:space="preserve">Figure 4.5 — The UHDS three-layer architecture. Each layer is dependent on the one below it. Sources: Vermont UHDS Transition Plan; DVHA HIE program documentation.</w:t>
      </w:r>
    </w:p>
    <w:p>
      <w:pPr>
        <w:pStyle w:val="Heading3"/>
      </w:pPr>
      <w:r>
        <w:rPr>
          <w:color w:val="161B22"/>
        </w:rPr>
        <w:t xml:space="preserve">4.3.7  </w:t>
      </w:r>
      <w:bookmarkStart w:id="1126" w:name="_Toc1125"/>
      <w:r>
        <w:rPr>
          <w:b/>
          <w:bCs/>
          <w:color w:val="161B22"/>
        </w:rPr>
        <w:t xml:space="preserve">Why Integration Is the Load-Bearing Element</w:t>
      </w:r>
      <w:bookmarkEnd w:id="1126"/>
    </w:p>
    <w:p>
      <w:pPr>
        <w:pStyle w:val="FirstParagraph"/>
      </w:pPr>
      <w:r>
        <w:t xml:space="preserve">The argument for merging these data types is often made in the abstract. It is more persuasive stated as three specific blind spots, each of which the others close.</w:t>
      </w:r>
    </w:p>
    <w:p>
      <w:pPr>
        <w:pStyle w:val="BodyText"/>
      </w:pPr>
      <w:r>
        <w:t xml:space="preserve">Clinical data alone answers</w:t>
      </w:r>
      <w:r>
        <w:t xml:space="preserve"> </w:t>
      </w:r>
      <w:r>
        <w:rPr>
          <w:i/>
          <w:iCs/>
        </w:rPr>
        <w:t xml:space="preserve">what was done</w:t>
      </w:r>
      <w:r>
        <w:t xml:space="preserve"> </w:t>
      </w:r>
      <w:r>
        <w:t xml:space="preserve">but never</w:t>
      </w:r>
      <w:r>
        <w:t xml:space="preserve"> </w:t>
      </w:r>
      <w:r>
        <w:rPr>
          <w:i/>
          <w:iCs/>
        </w:rPr>
        <w:t xml:space="preserve">whether it was worth doing</w:t>
      </w:r>
      <w:r>
        <w:t xml:space="preserve">. An exchange solves the narrow version of this problem — a provider can see that the same test was run last week at a different hospital, and avoid repeating it. But duplicate-test avoidance is the smallest possible version of the value question, and it is the only version an HIE can answer on its own. The larger question is the one value-based care exists to ask: of everything delivered to this population, which services improved outcomes and which consumed resources without changing anything? Distinguishing high-value from low-value care requires knowing what a service cost, what it was intended to accomplish, and what happened to the patient afterward — three facts that live in three different systems. A clinical record shows the intervention. It cannot price it, cannot compare it against the alternative that was not chosen, and cannot tell you that a fifth imaging study in eighteen months changed no decision. Under fee-for-service that blindness is merely expensive. Under a global budget it is fatal, because a hospital operating within a fixed revenue envelope must eliminate low-value volume specifically — and cannot eliminate what it cannot identify.</w:t>
      </w:r>
    </w:p>
    <w:p>
      <w:pPr>
        <w:pStyle w:val="BodyText"/>
      </w:pPr>
      <w:r>
        <w:t xml:space="preserve">Claims data alone shows that a visit happened and was paid for, but not the blood pressure reading or the lab result, which means it substantially underestimates quality, particularly for discontinuously insured patients. SDOH data alone is frequently trapped in unstructured text or a separate agency’s records, invisible to the treating clinician at the point of care.</w:t>
      </w:r>
    </w:p>
    <w:p>
      <w:pPr>
        <w:pStyle w:val="BodyText"/>
      </w:pPr>
      <w:r>
        <w:t xml:space="preserve">Three consequences follow directly, and each maps to a capability Vermont’s transformation agenda already assumes it will have.</w:t>
      </w:r>
    </w:p>
    <w:p>
      <w:pPr>
        <w:pStyle w:val="BodyText"/>
      </w:pPr>
      <w:r>
        <w:rPr>
          <w:b/>
          <w:bCs/>
        </w:rPr>
        <w:t xml:space="preserve">Hybrid quality measures become possible.</w:t>
      </w:r>
      <w:r>
        <w:t xml:space="preserve"> </w:t>
      </w:r>
      <w:r>
        <w:t xml:space="preserve">The standardized metrics that combine a claims-identified eligible population with a clinical result — CMS 167 for hypertension control, CMS 204 for diabetes and HbA1c control — require both data types in the same place. Absent integration, these measures can only be produced through manual chart abstraction: paying staff to read individual records by hand. Vermont’s program materials put that avoidable burden at</w:t>
      </w:r>
      <w:r>
        <w:t xml:space="preserve"> </w:t>
      </w:r>
      <w:r>
        <w:rPr>
          <w:b/>
          <w:bCs/>
        </w:rPr>
        <w:t xml:space="preserve">over $14 million annually statewide</w:t>
      </w:r>
      <w:r>
        <w:t xml:space="preserve">.</w:t>
      </w:r>
    </w:p>
    <w:p>
      <w:pPr>
        <w:pStyle w:val="BodyText"/>
      </w:pPr>
      <w:r>
        <w:rPr>
          <w:b/>
          <w:bCs/>
        </w:rPr>
        <w:t xml:space="preserve">Risk prediction measurably improves.</w:t>
      </w:r>
      <w:r>
        <w:t xml:space="preserve"> </w:t>
      </w:r>
      <w:r>
        <w:t xml:space="preserve">Combining EHR and claims data identifies meaningfully more high-risk patients than claims data alone. That improvement is the entire basis for the earlier, targeted interventions on which Act 167’s cost-reduction strategy depends.</w:t>
      </w:r>
    </w:p>
    <w:p>
      <w:pPr>
        <w:pStyle w:val="BodyText"/>
      </w:pPr>
      <w:r>
        <w:rPr>
          <w:b/>
          <w:bCs/>
        </w:rPr>
        <w:t xml:space="preserve">SDOH integration closes the loop on root cause.</w:t>
      </w:r>
      <w:r>
        <w:t xml:space="preserve"> </w:t>
      </w:r>
      <w:r>
        <w:t xml:space="preserve">A patient repeatedly readmitted for diabetes complications may, on the clinical record alone, appear to need a different medication. Only the SDOH layer reveals whether the actual barrier is a lack of transportation to the pharmacy or a food-insecure household — the finding that redirects an expensive clinical intervention into a far cheaper social referral.</w:t>
      </w:r>
    </w:p>
    <w:p>
      <w:pPr>
        <w:pStyle w:val="Heading3"/>
      </w:pPr>
      <w:r>
        <w:rPr>
          <w:color w:val="161B22"/>
        </w:rPr>
        <w:t xml:space="preserve">4.3.8  </w:t>
      </w:r>
      <w:bookmarkStart w:id="1127" w:name="_Toc1126"/>
      <w:r>
        <w:rPr>
          <w:b/>
          <w:bCs/>
          <w:color w:val="161B22"/>
        </w:rPr>
        <w:t xml:space="preserve">The MDWAS-First Path and Why Multi-Payer Scaling Is Not Optional</w:t>
      </w:r>
      <w:bookmarkEnd w:id="1127"/>
    </w:p>
    <w:p>
      <w:pPr>
        <w:pStyle w:val="FirstParagraph"/>
      </w:pPr>
      <w:r>
        <w:t xml:space="preserve">Vermont’s claims integration runs primarily through the</w:t>
      </w:r>
      <w:r>
        <w:t xml:space="preserve"> </w:t>
      </w:r>
      <w:r>
        <w:rPr>
          <w:b/>
          <w:bCs/>
        </w:rPr>
        <w:t xml:space="preserve">Medicaid Data Warehouse &amp; Analytics Solution (MDWAS)</w:t>
      </w:r>
      <w:r>
        <w:t xml:space="preserve">, live since November 2024, rather than through VHCURES. The reason is timeliness: MDWAS refreshes weekly and carries an integrated opt-out consent model compliant with Act 53, where VHCURES operates on a nine-to-twelve-month reporting lag, lacks an opt-out mechanism, and — because of ERISA preemption — excludes large segments of the commercially insured population. For retrospective research VHCURES remains serviceable. For intervening in a patient’s care, a nine-month lag is not a data source; it is a historical record.</w:t>
      </w:r>
    </w:p>
    <w:p>
      <w:pPr>
        <w:pStyle w:val="BodyText"/>
      </w:pPr>
      <w:r>
        <w:t xml:space="preserve">Population coverage scales in three deliberate phases: Medicaid clinical and claims data went live in 2024; Medicare data scales across 2026–2028, meeting AHEAD Model reporting requirements and supporting hospital global-budget monitoring; and full multi-payer integration, incorporating commercial claims and standardized SDOH data, follows in 2029–2030.</w:t>
      </w:r>
    </w:p>
    <w:p>
      <w:pPr>
        <w:pStyle w:val="BodyText"/>
      </w:pPr>
      <w:r>
        <w:t xml:space="preserve">That final phase is not a nice-to-have. Medicaid represents roughly 24% of Vermont’s primary coverage and Medicare 21% and rising, with commercial and private coverage accounting for roughly half the state. A data space that stops at Medicaid, however well it performs, is by construction blind to how three-quarters of Vermonters actually receive and pay for care. Every argument in this book about global budgets, regionalization, and total-cost-of-care modeling implicitly assumes multi-payer data, because none of those decisions can be made responsibly from one payer’s quarter of the picture.</w:t>
      </w:r>
    </w:p>
    <w:p>
      <w:pPr>
        <w:pStyle w:val="Heading3"/>
      </w:pPr>
      <w:r>
        <w:rPr>
          <w:color w:val="161B22"/>
        </w:rPr>
        <w:t xml:space="preserve">4.3.9  </w:t>
      </w:r>
      <w:bookmarkStart w:id="1128" w:name="_Toc1127"/>
      <w:r>
        <w:rPr>
          <w:b/>
          <w:bCs/>
          <w:color w:val="161B22"/>
        </w:rPr>
        <w:t xml:space="preserve">The Privacy Shield</w:t>
      </w:r>
      <w:bookmarkEnd w:id="1128"/>
    </w:p>
    <w:p>
      <w:pPr>
        <w:pStyle w:val="FirstParagraph"/>
      </w:pPr>
      <w:r>
        <w:t xml:space="preserve">Concentrating this much health data in one place requires a correspondingly rigorous privacy architecture, and Vermont’s applies protection tiers by data sensitivity rather than a single blanket policy. General health data flows under an opt-out model per Act 53, with patients retaining the right to object at any time. Substance use disorder data governed by 42 CFR Part 2 requires granular opt-in — technically segregated records, explicit authorization, security labeling, and role-based access limited to personnel with an established treatment relationship. Public health reporting applies cell-size suppression, withholding any output group smaller than ten to prevent re-identification. Payer and provider proprietary data is expressed in price-standardized utilization units rather than raw negotiated rates.</w:t>
      </w:r>
    </w:p>
    <w:p>
      <w:pPr>
        <w:pStyle w:val="BodyText"/>
      </w:pPr>
      <w:r>
        <w:t xml:space="preserve">It is worth naming the risk this design creates rather than arguing it away. Consolidating a state’s health data into a single asset produces a concentration liability proportional to that asset’s value — the same property that makes the UHDS useful makes it a target. The tiered architecture is the mitigation, not a refutation.</w:t>
      </w:r>
    </w:p>
    <w:p>
      <w:pPr>
        <w:pStyle w:val="BodyText"/>
      </w:pPr>
      <w:r>
        <w:t xml:space="preserve">Vermont has direct evidence on both sides of this ledger. During the COVID-19 pandemic, the Department of Health used the VITLAccess portal to conduct case investigations without repeatedly burdening frontline clinicians with records requests, and stood up faster data-delivery relationships for contact tracing and immunization tracking. And in October 2020, when a ransomware attack forced the University of Vermont Health Network’s six hospitals offline for nearly a month — an incident that cost an estimated $50 to $65 million and which federal prosecutors described as leaving the medical center unable to provide critical services for over two weeks — the statewide exchange provided the continuity-of-access channel that let providers, EMS agencies, and referral hospitals reach patient records while UVMMC’s own systems were dark. A statewide exchange is not merely a quality-reporting convenience. It is emergency infrastructure, and it has already been tested as such.</w:t>
      </w:r>
    </w:p>
    <w:p>
      <w:pPr>
        <w:pStyle w:val="Heading3"/>
      </w:pPr>
      <w:r>
        <w:rPr>
          <w:color w:val="161B22"/>
        </w:rPr>
        <w:t xml:space="preserve">4.3.10  </w:t>
      </w:r>
      <w:bookmarkStart w:id="1129" w:name="_Toc1128"/>
      <w:r>
        <w:rPr>
          <w:b/>
          <w:bCs/>
          <w:color w:val="161B22"/>
        </w:rPr>
        <w:t xml:space="preserve">The RHT Dependency</w:t>
      </w:r>
      <w:bookmarkEnd w:id="1129"/>
    </w:p>
    <w:p>
      <w:pPr>
        <w:pStyle w:val="FirstParagraph"/>
      </w:pPr>
      <w:r>
        <w:t xml:space="preserve">One implication deserves emphasis because it is routinely understated. Vermont’s program materials tend to present the Rural Health Transformation Program as a funding stream parallel to the UHDS — a separate pot of federal money for a separate set of projects. The coupling is far tighter than that framing suggests. RHT pays for a portfolio of care-redesign shared services: a centralized transfer center and bed-availability tool, statewide e-consult expansion, a closed-loop referral system, remote patient monitoring, mobile integrated health, a vendor-neutral imaging archive, and a shared-EHR feasibility assessment. The UHDS is the substrate nearly every one of them runs on.</w:t>
      </w:r>
    </w:p>
    <w:p>
      <w:pPr>
        <w:pStyle w:val="BodyText"/>
      </w:pPr>
      <w:r>
        <w:t xml:space="preserve">Each of those projects is, in isolation, a vendor-supplied point solution. What converts it into measurable health system transformation is the data layer beneath it. A centralized transfer center only functions if bed capacity and provider availability is tied with a correctly matched patient record across every facility in real time. Strip the UHDS out of the picture and Vermont’s $195 million-per-year RHT investment becomes a collection of disconnected purchases that cannot be attributed to a patient’s record, linked to cost data, or reported to CMS as evidence that the investment worked.</w:t>
      </w:r>
    </w:p>
    <w:p>
      <w:pPr>
        <w:pStyle w:val="BodyText"/>
      </w:pPr>
      <w:r>
        <w:t xml:space="preserve">This is the sequencing argument of Chapter 1 restated in infrastructure terms. The Technology pillar is not one workstream among six; it is the substrate the other five run on, and the RHT dependency is the clearest available demonstration of what happens when capital arrives ahead of the data capability meant to carry it.</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Capital arriving ahead of the data capability meant to carry it does not buy transformation. It buys disconnected purchases.</w:t>
      </w:r>
    </w:p>
    <w:p>
      <w:pPr>
        <w:spacing w:before="0" w:after="0" w:line="160" w:lineRule="auto"/>
      </w:pPr>
    </w:p>
    <w:p>
      <w:pPr>
        <w:pStyle w:val="Heading3"/>
      </w:pPr>
      <w:r>
        <w:rPr>
          <w:color w:val="161B22"/>
        </w:rPr>
        <w:t xml:space="preserve">4.3.11  </w:t>
      </w:r>
      <w:bookmarkStart w:id="1130" w:name="_Toc1129"/>
      <w:r>
        <w:rPr>
          <w:b/>
          <w:bCs/>
          <w:color w:val="161B22"/>
        </w:rPr>
        <w:t xml:space="preserve">The Statewide EHR Question — Vermont’s Active Feasibility Assessment</w:t>
      </w:r>
      <w:bookmarkEnd w:id="1130"/>
    </w:p>
    <w:p>
      <w:pPr>
        <w:pStyle w:val="FirstParagraph"/>
        <w:keepNext w:val="false"/>
      </w:pPr>
      <w:r>
        <w:t xml:space="preserve">Oliver Wyman’s community meetings generated a clear finding about EHR fragmentation: providers cannot efficiently coordinate care across facilities when different hospitals run different EHR systems that do not share data effectively. Vermont’s 14 hospitals currently use four different EHR vendors — Epic (dominant at UVMMC), Oracle Health (formerly Cerner), TruBridge (formerly CPSI, used by smaller community hospitals), and Meditech — plus various additional software for laboratory management, pharmacy, and other functions.</w:t>
      </w:r>
    </w:p>
    <w:p>
      <w:pPr>
        <w:pStyle w:val="BodyText"/>
        <w:keepNext w:val="false"/>
      </w:pPr>
      <w: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w:t>
      </w:r>
      <w:r>
        <w:t xml:space="preserve"> </w:t>
      </w:r>
      <w:r>
        <w:t xml:space="preserve">‘what a statewide EHR would look like in line with the Act 167 Report.’</w:t>
      </w:r>
    </w:p>
    <w:tbl>
      <w:tblPr>
        <w:tblStyle w:val="HTRTable"/>
        <w:tblLook w:firstRow="1" w:lastRow="0" w:firstColumn="0" w:lastColumn="0" w:noHBand="0" w:noVBand="1" w:val="0020"/>
        <w:tblW w:w="9072" w:type="dxa"/>
        <w:tblLayout w:type="fixed"/>
      </w:tblPr>
      <w:tblGrid>
        <w:gridCol w:w="4455"/>
        <w:gridCol w:w="4605"/>
      </w:tblGrid>
      <w:tr>
        <w:trPr>
          <w:tblHeader w:val="on"/>
          <w:cantSplit/>
        </w:trPr>
        <w:tc>
          <w:tcPr>
            <w:shd w:val="clear" w:color="auto" w:fill="1B3A6B"/>
            <w:tcW w:w="4455" w:type="dxa"/>
          </w:tcPr>
          <w:p>
            <w:pPr>
              <w:pStyle w:val="Compact"/>
              <w:jc w:val="left"/>
            </w:pPr>
            <w:r>
              <w:rPr>
                <w:b/>
                <w:color w:val="FFFFFF"/>
                <w:sz w:val="18"/>
              </w:rPr>
              <w:t xml:space="preserve">Case for a statewide EHR</w:t>
            </w:r>
          </w:p>
        </w:tc>
        <w:tc>
          <w:tcPr>
            <w:shd w:val="clear" w:color="auto" w:fill="1B3A6B"/>
            <w:tcW w:w="4605" w:type="dxa"/>
          </w:tcPr>
          <w:p>
            <w:pPr>
              <w:pStyle w:val="Compact"/>
              <w:jc w:val="left"/>
            </w:pPr>
            <w:r>
              <w:rPr>
                <w:b/>
                <w:color w:val="FFFFFF"/>
                <w:sz w:val="18"/>
              </w:rPr>
              <w:t xml:space="preserve">Case against (or caution)</w:t>
            </w:r>
          </w:p>
        </w:tc>
      </w:tr>
      <w:tr>
        <w:trPr>
          <w:cantSplit/>
        </w:trPr>
        <w:tc>
          <w:tcPr>
            <w:tcW w:w="4455" w:type="dxa"/>
          </w:tcPr>
          <w:p>
            <w:pPr>
              <w:pStyle w:val="Compact"/>
              <w:jc w:val="left"/>
            </w:pPr>
            <w:r>
              <w:rPr>
                <w:sz w:val="18"/>
              </w:rPr>
              <w:t xml:space="preserve">Eliminates interface complexity — data is naturally shared across providers on the same platform</w:t>
            </w:r>
          </w:p>
        </w:tc>
        <w:tc>
          <w:tcPr>
            <w:tcW w:w="4605" w:type="dxa"/>
          </w:tcPr>
          <w:p>
            <w:pPr>
              <w:pStyle w:val="Compact"/>
              <w:jc w:val="left"/>
            </w:pPr>
            <w:r>
              <w:rPr>
                <w:sz w:val="18"/>
              </w:rPr>
              <w:t xml:space="preserve">Capital cost is substantial — major EHR implementations run $100-300M for large health systems; statewide scope amplifies this</w:t>
            </w:r>
          </w:p>
        </w:tc>
      </w:tr>
      <w:tr>
        <w:trPr/>
        <w:tc>
          <w:tcPr>
            <w:tcW w:w="4455" w:type="dxa"/>
          </w:tcPr>
          <w:p>
            <w:pPr>
              <w:pStyle w:val="Compact"/>
              <w:jc w:val="left"/>
            </w:pPr>
            <w:r>
              <w:rPr>
                <w:sz w:val="18"/>
              </w:rPr>
              <w:t xml:space="preserve">Community meeting participants specifically cited EMR fragmentation as a barrier:</w:t>
            </w:r>
            <w:r>
              <w:rPr>
                <w:sz w:val="18"/>
              </w:rPr>
              <w:t xml:space="preserve"> </w:t>
            </w:r>
            <w:r>
              <w:rPr>
                <w:sz w:val="18"/>
              </w:rPr>
              <w:t xml:space="preserve">‘EMR systems don’t talk to each other and it’s difficult to transfer from one center to another’</w:t>
            </w:r>
          </w:p>
        </w:tc>
        <w:tc>
          <w:tcPr>
            <w:tcW w:w="4605" w:type="dxa"/>
          </w:tcPr>
          <w:p>
            <w:pPr>
              <w:pStyle w:val="Compact"/>
              <w:jc w:val="left"/>
            </w:pPr>
            <w:r>
              <w:rPr>
                <w:sz w:val="18"/>
              </w:rPr>
              <w:t xml:space="preserve">Disruption risk — forced EHR migrations have caused significant clinical workflow disruption and temporary quality problems at major health systems</w:t>
            </w:r>
          </w:p>
        </w:tc>
      </w:tr>
      <w:tr>
        <w:trPr/>
        <w:tc>
          <w:tcPr>
            <w:tcW w:w="4455" w:type="dxa"/>
          </w:tcPr>
          <w:p>
            <w:pPr>
              <w:pStyle w:val="Compact"/>
              <w:jc w:val="left"/>
            </w:pPr>
            <w:r>
              <w:rPr>
                <w:sz w:val="18"/>
              </w:rPr>
              <w:t xml:space="preserve">Reduces per-provider IT infrastructure cost — smaller hospitals cannot afford full IT departments; shared infrastructure is more efficient</w:t>
            </w:r>
          </w:p>
        </w:tc>
        <w:tc>
          <w:tcPr>
            <w:tcW w:w="4605" w:type="dxa"/>
          </w:tcPr>
          <w:p>
            <w:pPr>
              <w:pStyle w:val="Compact"/>
              <w:jc w:val="left"/>
            </w:pPr>
            <w:r>
              <w:rPr>
                <w:sz w:val="18"/>
              </w:rPr>
              <w:t xml:space="preserve">FHIR-based interoperability (see Section 4) may make data exchange manageable without a single EHR, reducing the case for the disruption of migration</w:t>
            </w:r>
          </w:p>
        </w:tc>
      </w:tr>
      <w:tr>
        <w:trPr/>
        <w:tc>
          <w:tcPr>
            <w:tcW w:w="4455" w:type="dxa"/>
          </w:tcPr>
          <w:p>
            <w:pPr>
              <w:pStyle w:val="Compact"/>
              <w:jc w:val="left"/>
            </w:pPr>
            <w:r>
              <w:rPr>
                <w:sz w:val="18"/>
              </w:rPr>
              <w:t xml:space="preserve">Enables real-time population health data that VHCURES’s 12-18 month lag cannot provide</w:t>
            </w:r>
          </w:p>
        </w:tc>
        <w:tc>
          <w:tcPr>
            <w:tcW w:w="4605" w:type="dxa"/>
          </w:tcPr>
          <w:p>
            <w:pPr>
              <w:pStyle w:val="Compact"/>
              <w:jc w:val="left"/>
            </w:pPr>
            <w:r>
              <w:rPr>
                <w:sz w:val="18"/>
              </w:rPr>
              <w:t xml:space="preserve">Vendor lock-in — a single-vendor statewide EHR creates significant dependence on that vendor’s pricing, contract terms, and long-term viability</w:t>
            </w:r>
          </w:p>
        </w:tc>
      </w:tr>
      <w:tr>
        <w:trPr/>
        <w:tc>
          <w:tcPr>
            <w:tcW w:w="4455" w:type="dxa"/>
          </w:tcPr>
          <w:p>
            <w:pPr>
              <w:pStyle w:val="Compact"/>
              <w:jc w:val="left"/>
            </w:pPr>
            <w:r>
              <w:rPr>
                <w:sz w:val="18"/>
              </w:rPr>
              <w:t xml:space="preserve">Maryland’s experience: common data infrastructure enabled the HSCRC to manage global budgets effectively</w:t>
            </w:r>
          </w:p>
        </w:tc>
        <w:tc>
          <w:tcPr>
            <w:tcW w:w="4605" w:type="dxa"/>
          </w:tcPr>
          <w:p>
            <w:pPr>
              <w:pStyle w:val="Compact"/>
              <w:jc w:val="left"/>
            </w:pPr>
            <w:r>
              <w:rPr>
                <w:sz w:val="18"/>
              </w:rPr>
              <w:t xml:space="preserve">ERISA self-insured employers — outside state authority — would still not be in the system even with a statewide EHR</w:t>
            </w:r>
          </w:p>
        </w:tc>
      </w:tr>
      <w:tr>
        <w:trPr>
          <w:cantSplit/>
        </w:trPr>
        <w:tc>
          <w:tcPr>
            <w:tcW w:w="4455" w:type="dxa"/>
          </w:tcPr>
          <w:p>
            <w:pPr>
              <w:pStyle w:val="Compact"/>
              <w:jc w:val="left"/>
            </w:pPr>
            <w:r>
              <w:rPr>
                <w:sz w:val="18"/>
              </w:rPr>
              <w:t xml:space="preserve">RHT Program IT advance funds can support the capital investment — this is an explicitly authorized use of RHT funds</w:t>
            </w:r>
          </w:p>
        </w:tc>
        <w:tc>
          <w:tcPr>
            <w:tcW w:w="4605" w:type="dxa"/>
          </w:tcPr>
          <w:p>
            <w:pPr>
              <w:pStyle w:val="Compact"/>
              <w:jc w:val="left"/>
            </w:pPr>
            <w:r>
              <w:rPr>
                <w:sz w:val="18"/>
              </w:rPr>
              <w:t xml:space="preserve">Vermont’s diverse provider landscape (hospitals, FQHCs, private practices, mental health agencies) may not all be able to adopt a single platform</w:t>
            </w:r>
          </w:p>
        </w:tc>
      </w:tr>
    </w:tbl>
    <w:p>
      <w:pPr>
        <w:pStyle w:val="Caption"/>
        <w:spacing w:before="120"/>
      </w:pPr>
      <w:r>
        <w:rPr>
          <w:i/>
          <w:iCs/>
        </w:rPr>
        <w:t xml:space="preserve">Figure 4.6 — Vermont statewide EHR: case for and against. The feasibility assessment underway will weigh these factors against Vermont’s specific cost, disruption tolerance, and FHIR interoperability capacity.</w:t>
      </w:r>
    </w:p>
    <w:p>
      <w:pPr>
        <w:pStyle w:val="BodyText"/>
      </w:pPr>
      <w: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four EHR platforms at an acceptable implementation cost, the case for a single statewide EHR weakens significantly. Section 4 develops the FHIR picture. AHS’s feasibility assessment should produce a clear answer on this question by 2026-2027 — in time to inform the 2028 Strategic Plan.</w:t>
      </w:r>
    </w:p>
    <w:p>
      <w:pPr>
        <w:pStyle w:val="Heading2"/>
        <w:pBdr>
          <w:top w:val="single" w:sz="6" w:space="10" w:color="C9D2DF"/>
        </w:pBdr>
      </w:pPr>
      <w:r>
        <w:rPr>
          <w:color w:val="161B22"/>
        </w:rPr>
        <w:t xml:space="preserve">4.4  </w:t>
      </w:r>
      <w:bookmarkStart w:id="1131" w:name="_Toc1130"/>
      <w:r>
        <w:rPr>
          <w:b/>
          <w:bCs/>
          <w:color w:val="161B22"/>
        </w:rPr>
        <w:t xml:space="preserve">The Vermont Clinically Integrated Network — A New Technology Institution</w:t>
      </w:r>
      <w:bookmarkEnd w:id="1131"/>
    </w:p>
    <w:p>
      <w:pPr>
        <w:pStyle w:val="FirstParagraph"/>
      </w:pPr>
      <w:r>
        <w:t xml:space="preserve">Vermont’s Rural Health Transformation Program application includes one of the most significant technology investments in the entire $195M award: the creation of a Clinically Integrated Network (CIN) linking Vermont’s hospitals and community providers into a coordinated clinical and data-sharing infrastructure. Vermont is one of four states (along with Arkansas, Nevada, and Oregon) that explicitly included CIN creation in their RHT applications, reflecting a national trend toward CINs as the organizational vehicle for rural health system integration.</w:t>
      </w:r>
    </w:p>
    <w:p>
      <w:pPr>
        <w:pStyle w:val="Heading3"/>
      </w:pPr>
      <w:r>
        <w:rPr>
          <w:color w:val="161B22"/>
        </w:rPr>
        <w:t xml:space="preserve">4.4.1  </w:t>
      </w:r>
      <w:bookmarkStart w:id="1132" w:name="_Toc1131"/>
      <w:r>
        <w:rPr>
          <w:b/>
          <w:bCs/>
          <w:color w:val="161B22"/>
        </w:rPr>
        <w:t xml:space="preserve">What a Clinically Integrated Network Does</w:t>
      </w:r>
      <w:bookmarkEnd w:id="1132"/>
    </w:p>
    <w:p>
      <w:pPr>
        <w:pStyle w:val="FirstParagraph"/>
      </w:pPr>
      <w: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pPr>
        <w:pStyle w:val="Heading3"/>
      </w:pPr>
      <w:r>
        <w:rPr>
          <w:color w:val="161B22"/>
        </w:rPr>
        <w:t xml:space="preserve">4.4.2  </w:t>
      </w:r>
      <w:bookmarkStart w:id="1133" w:name="_Toc1132"/>
      <w:r>
        <w:rPr>
          <w:b/>
          <w:bCs/>
          <w:color w:val="161B22"/>
        </w:rPr>
        <w:t xml:space="preserve">What the Vermont CIN Will Provide</w:t>
      </w:r>
      <w:bookmarkEnd w:id="1133"/>
    </w:p>
    <w:p>
      <w:pPr>
        <w:pStyle w:val="FirstParagraph"/>
      </w:pPr>
      <w:r>
        <w:t xml:space="preserve">Vermont’s RHT Program application describes the Shared Services initiative — which includes the CIN infrastructure — as providing five specific functions for participating hospitals and providers:</w:t>
      </w:r>
    </w:p>
    <w:p>
      <w:pPr>
        <w:pStyle w:val="Compact"/>
        <w:numPr>
          <w:ilvl w:val="0"/>
          <w:numId w:val="1011"/>
        </w:numPr>
        <w:keepLines w:val="true"/>
        <w:keepNext w:val="true"/>
      </w:pPr>
      <w: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pPr>
        <w:pStyle w:val="Compact"/>
        <w:numPr>
          <w:ilvl w:val="0"/>
          <w:numId w:val="1011"/>
        </w:numPr>
        <w:keepLines w:val="true"/>
        <w:keepNext w:val="true"/>
      </w:pPr>
      <w:r>
        <w:t xml:space="preserve">Shared clinical protocols: Standardized clinical pathways for high-volume conditions — sepsis, heart failure, COPD, mental health crisis — that all participating providers adopt, enabling consistent quality regardless of which facility a patient uses.</w:t>
      </w:r>
    </w:p>
    <w:p>
      <w:pPr>
        <w:pStyle w:val="Compact"/>
        <w:numPr>
          <w:ilvl w:val="0"/>
          <w:numId w:val="1011"/>
        </w:numPr>
        <w:keepLines w:val="true"/>
        <w:keepNext w:val="true"/>
      </w:pPr>
      <w: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pPr>
        <w:pStyle w:val="Compact"/>
        <w:numPr>
          <w:ilvl w:val="0"/>
          <w:numId w:val="1011"/>
        </w:numPr>
        <w:keepLines w:val="true"/>
        <w:keepNext w:val="true"/>
      </w:pPr>
      <w:r>
        <w:t xml:space="preserve">Administrative shared services: Shared infrastructure for billing, coding, credentialing, HR, and IT support — reducing the administrative overhead that drives Vermont’s $1,303 per-discharge administrative cost premium over national benchmarks.</w:t>
      </w:r>
    </w:p>
    <w:p>
      <w:pPr>
        <w:pStyle w:val="Compact"/>
        <w:numPr>
          <w:ilvl w:val="0"/>
          <w:numId w:val="1011"/>
        </w:numPr>
        <w:keepLines w:val="true"/>
      </w:pPr>
      <w: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pPr>
        <w:pStyle w:val="FirstParagraph"/>
      </w:pPr>
      <w: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pPr>
        <w:pStyle w:val="Heading2"/>
        <w:pBdr>
          <w:top w:val="single" w:sz="6" w:space="10" w:color="C9D2DF"/>
        </w:pBdr>
      </w:pPr>
      <w:r>
        <w:rPr>
          <w:color w:val="161B22"/>
        </w:rPr>
        <w:t xml:space="preserve">4.5  </w:t>
      </w:r>
      <w:bookmarkStart w:id="1134" w:name="_Toc1133"/>
      <w:r>
        <w:rPr>
          <w:b/>
          <w:bCs/>
          <w:color w:val="161B22"/>
        </w:rPr>
        <w:t xml:space="preserve">FHIR Interoperability — The National Standard and Vermont’s Compliance Path</w:t>
      </w:r>
      <w:bookmarkEnd w:id="1134"/>
    </w:p>
    <w:p>
      <w:pPr>
        <w:pStyle w:val="FirstParagraph"/>
      </w:pPr>
      <w:r>
        <w:t xml:space="preserve">FHIR (Fast Healthcare Interoperability Resources) is the HL7 standard for healthcare data exchange that CMS mandated for payers and providers beginning in 2021 and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pPr>
        <w:pStyle w:val="Heading3"/>
      </w:pPr>
      <w:r>
        <w:rPr>
          <w:color w:val="161B22"/>
        </w:rPr>
        <w:t xml:space="preserve">4.5.1  </w:t>
      </w:r>
      <w:bookmarkStart w:id="1135" w:name="_Toc1134"/>
      <w:r>
        <w:rPr>
          <w:b/>
          <w:bCs/>
          <w:color w:val="161B22"/>
        </w:rPr>
        <w:t xml:space="preserve">What FHIR Enables That Vermont Currently Cannot Do</w:t>
      </w:r>
      <w:bookmarkEnd w:id="1135"/>
    </w:p>
    <w:p>
      <w:pPr>
        <w:pStyle w:val="FirstParagraph"/>
      </w:pPr>
      <w:r>
        <w:t xml:space="preserve">Vermont’s current health data infrastructure predates widespread FHIR adoption and was built around older data exchange standards. The operational implications are concrete:</w:t>
      </w:r>
    </w:p>
    <w:p>
      <w:pPr>
        <w:pStyle w:val="Compact"/>
        <w:numPr>
          <w:ilvl w:val="0"/>
          <w:numId w:val="1012"/>
        </w:numPr>
        <w:keepLines w:val="true"/>
        <w:keepNext w:val="true"/>
      </w:pPr>
      <w:r>
        <w:t xml:space="preserve">Patient matching across facilities: Without FHIR-based master patient index integration, Vermont still lacks reliable patient matching across all providers. Community meeting participants described needing to contact 31 separate EMS agencies for patient transfers — a fragmentation problem that a FHIR-enabled patient matching system would substantially reduce.</w:t>
      </w:r>
    </w:p>
    <w:p>
      <w:pPr>
        <w:pStyle w:val="Compact"/>
        <w:numPr>
          <w:ilvl w:val="0"/>
          <w:numId w:val="1012"/>
        </w:numPr>
        <w:keepLines w:val="true"/>
        <w:keepNext w:val="true"/>
      </w:pPr>
      <w: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pPr>
        <w:pStyle w:val="Compact"/>
        <w:numPr>
          <w:ilvl w:val="0"/>
          <w:numId w:val="1012"/>
        </w:numPr>
        <w:keepLines w:val="true"/>
        <w:keepNext w:val="true"/>
      </w:pPr>
      <w:r>
        <w:t xml:space="preserve">Attribution accuracy for global budgets: AHEAD’s hospital global budgets require accurate attribution of patients to hospitals for Medicare FFS. FHIR-based data exchange enables more precise attribution by tracking care delivery across providers in near-real-time, reducing the attribution disputes that complicate global budget performance measurement.</w:t>
      </w:r>
    </w:p>
    <w:p>
      <w:pPr>
        <w:pStyle w:val="Compact"/>
        <w:numPr>
          <w:ilvl w:val="0"/>
          <w:numId w:val="1012"/>
        </w:numPr>
        <w:keepLines w:val="true"/>
      </w:pPr>
      <w: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pPr>
        <w:pStyle w:val="Heading3"/>
      </w:pPr>
      <w:r>
        <w:rPr>
          <w:color w:val="161B22"/>
        </w:rPr>
        <w:t xml:space="preserve">4.5.2  </w:t>
      </w:r>
      <w:bookmarkStart w:id="1136" w:name="_Toc1135"/>
      <w:r>
        <w:rPr>
          <w:b/>
          <w:bCs/>
          <w:color w:val="161B22"/>
        </w:rPr>
        <w:t xml:space="preserve">Vermont’s FHIR Compliance Status</w:t>
      </w:r>
      <w:bookmarkEnd w:id="1136"/>
    </w:p>
    <w:p>
      <w:pPr>
        <w:pStyle w:val="FirstParagraph"/>
        <w:keepNext w:val="false"/>
      </w:pPr>
      <w:r>
        <w:t xml:space="preserve">Vermont’s larger hospitals — particularly UVMMC with its Epic EHR — are FHIR-compliant for the CMS-mandated payer-to-patient and payer-to-payer API requirements. The critical gap is at smaller community hospitals (on TruBridge and Meditech platforms) and at community-based providers (mental health agencies, skilled nursing facilities, home health agencies) that lack FHIR-capable systems entirely.</w:t>
      </w:r>
    </w:p>
    <w:p>
      <w:pPr>
        <w:pStyle w:val="BodyText"/>
        <w:keepNext w:val="false"/>
      </w:pPr>
      <w: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HTRTable"/>
        <w:tblLook w:firstRow="1" w:lastRow="0" w:firstColumn="0" w:lastColumn="0" w:noHBand="0" w:noVBand="1" w:val="0020"/>
        <w:tblW w:w="9072" w:type="dxa"/>
        <w:tblLayout w:type="fixed"/>
      </w:tblPr>
      <w:tblGrid>
        <w:gridCol w:w="2550"/>
        <w:gridCol w:w="6525"/>
      </w:tblGrid>
      <w:tr>
        <w:trPr>
          <w:tblHeader w:val="on"/>
          <w:cantSplit/>
        </w:trPr>
        <w:tc>
          <w:tcPr>
            <w:shd w:val="clear" w:color="auto" w:fill="1B3A6B"/>
            <w:tcW w:w="2550" w:type="dxa"/>
          </w:tcPr>
          <w:p>
            <w:pPr>
              <w:pStyle w:val="Compact"/>
              <w:jc w:val="left"/>
            </w:pPr>
            <w:r>
              <w:rPr>
                <w:b/>
                <w:color w:val="FFFFFF"/>
                <w:sz w:val="18"/>
              </w:rPr>
              <w:t xml:space="preserve">FHIR compliance level</w:t>
            </w:r>
          </w:p>
        </w:tc>
        <w:tc>
          <w:tcPr>
            <w:shd w:val="clear" w:color="auto" w:fill="1B3A6B"/>
            <w:tcW w:w="6525" w:type="dxa"/>
          </w:tcPr>
          <w:p>
            <w:pPr>
              <w:pStyle w:val="Compact"/>
              <w:jc w:val="left"/>
            </w:pPr>
            <w:r>
              <w:rPr>
                <w:b/>
                <w:color w:val="FFFFFF"/>
                <w:sz w:val="18"/>
              </w:rPr>
              <w:t xml:space="preserve">Vermont providers and current status</w:t>
            </w:r>
          </w:p>
        </w:tc>
      </w:tr>
      <w:tr>
        <w:trPr>
          <w:cantSplit/>
        </w:trPr>
        <w:tc>
          <w:tcPr>
            <w:tcW w:w="2550" w:type="dxa"/>
          </w:tcPr>
          <w:p>
            <w:pPr>
              <w:pStyle w:val="Compact"/>
              <w:jc w:val="left"/>
            </w:pPr>
            <w:r>
              <w:rPr>
                <w:sz w:val="18"/>
              </w:rPr>
              <w:t xml:space="preserve">Full FHIR R4 compliance</w:t>
            </w:r>
          </w:p>
        </w:tc>
        <w:tc>
          <w:tcPr>
            <w:tcW w:w="6525" w:type="dxa"/>
          </w:tcPr>
          <w:p>
            <w:pPr>
              <w:pStyle w:val="Compact"/>
              <w:jc w:val="left"/>
            </w:pPr>
            <w:r>
              <w:rPr>
                <w:sz w:val="18"/>
              </w:rPr>
              <w:t xml:space="preserve">UVMMC (Epic); Vermont hospitals on Oracle Health (Cerner) post-2022 upgrade; major commercial payers (BCBS VT, MVP)</w:t>
            </w:r>
          </w:p>
        </w:tc>
      </w:tr>
      <w:tr>
        <w:trPr/>
        <w:tc>
          <w:tcPr>
            <w:tcW w:w="2550" w:type="dxa"/>
          </w:tcPr>
          <w:p>
            <w:pPr>
              <w:pStyle w:val="Compact"/>
              <w:jc w:val="left"/>
            </w:pPr>
            <w:r>
              <w:rPr>
                <w:sz w:val="18"/>
              </w:rPr>
              <w:t xml:space="preserve">Partial FHIR implementation</w:t>
            </w:r>
          </w:p>
        </w:tc>
        <w:tc>
          <w:tcPr>
            <w:tcW w:w="6525" w:type="dxa"/>
          </w:tcPr>
          <w:p>
            <w:pPr>
              <w:pStyle w:val="Compact"/>
              <w:jc w:val="left"/>
            </w:pPr>
            <w:r>
              <w:rPr>
                <w:sz w:val="18"/>
              </w:rPr>
              <w:t xml:space="preserve">Central Vermont Medical Center; hospitals on Meditech Expanse (FHIR-capable but may require configuration)</w:t>
            </w:r>
          </w:p>
        </w:tc>
      </w:tr>
      <w:tr>
        <w:trPr/>
        <w:tc>
          <w:tcPr>
            <w:tcW w:w="2550" w:type="dxa"/>
          </w:tcPr>
          <w:p>
            <w:pPr>
              <w:pStyle w:val="Compact"/>
              <w:jc w:val="left"/>
            </w:pPr>
            <w:r>
              <w:rPr>
                <w:sz w:val="18"/>
              </w:rPr>
              <w:t xml:space="preserve">Limited / no FHIR</w:t>
            </w:r>
          </w:p>
        </w:tc>
        <w:tc>
          <w:tcPr>
            <w:tcW w:w="6525" w:type="dxa"/>
          </w:tcPr>
          <w:p>
            <w:pPr>
              <w:pStyle w:val="Compact"/>
              <w:jc w:val="left"/>
            </w:pPr>
            <w:r>
              <w:rPr>
                <w:sz w:val="18"/>
              </w:rPr>
              <w:t xml:space="preserve">Smaller community hospitals on TruBridge legacy; most Designated Mental Health Agencies; many skilled nursing facilities; independent primary care practices on older EHR versions</w:t>
            </w:r>
          </w:p>
        </w:tc>
      </w:tr>
      <w:tr>
        <w:trPr>
          <w:cantSplit/>
        </w:trPr>
        <w:tc>
          <w:tcPr>
            <w:tcW w:w="2550" w:type="dxa"/>
          </w:tcPr>
          <w:p>
            <w:pPr>
              <w:pStyle w:val="Compact"/>
              <w:jc w:val="left"/>
            </w:pPr>
            <w:r>
              <w:rPr>
                <w:sz w:val="18"/>
              </w:rPr>
              <w:t xml:space="preserve">FHIR investment planned (RHT Program)</w:t>
            </w:r>
          </w:p>
        </w:tc>
        <w:tc>
          <w:tcPr>
            <w:tcW w:w="6525" w:type="dxa"/>
          </w:tcPr>
          <w:p>
            <w:pPr>
              <w:pStyle w:val="Compact"/>
              <w:jc w:val="left"/>
            </w:pPr>
            <w:r>
              <w:rPr>
                <w:sz w:val="18"/>
              </w:rPr>
              <w:t xml:space="preserve">Rural and independent practices; smaller CAHs; targeted technical assistance through Vermont CIN shared services</w:t>
            </w:r>
          </w:p>
        </w:tc>
      </w:tr>
    </w:tbl>
    <w:p>
      <w:pPr>
        <w:pStyle w:val="Caption"/>
        <w:spacing w:before="120"/>
      </w:pPr>
      <w:r>
        <w:rPr>
          <w:i/>
          <w:iCs/>
        </w:rPr>
        <w:t xml:space="preserve">Figure 4.7 — Vermont FHIR compliance landscape (estimated as of 2026). Sources: AHS Legislative Presentation January 2025; Vermont RHT Program Application; GMCB HIE connectivity criteria.</w:t>
      </w:r>
    </w:p>
    <w:p>
      <w:pPr>
        <w:pStyle w:val="Heading2"/>
        <w:pBdr>
          <w:top w:val="single" w:sz="6" w:space="10" w:color="C9D2DF"/>
        </w:pBdr>
      </w:pPr>
      <w:r>
        <w:rPr>
          <w:color w:val="161B22"/>
        </w:rPr>
        <w:t xml:space="preserve">4.6  </w:t>
      </w:r>
      <w:bookmarkStart w:id="1137" w:name="_Toc1136"/>
      <w:r>
        <w:rPr>
          <w:b/>
          <w:bCs/>
          <w:color w:val="161B22"/>
        </w:rPr>
        <w:t xml:space="preserve">AI and Digital Health Technologies — Vermont’s Targeted Investment Strategy</w:t>
      </w:r>
      <w:bookmarkEnd w:id="1137"/>
    </w:p>
    <w:p>
      <w:pPr>
        <w:pStyle w:val="FirstParagraph"/>
      </w:pPr>
      <w:r>
        <w:t xml:space="preserve">Vermont’s RHT Program application is notable among the 47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pPr>
        <w:pStyle w:val="Heading3"/>
      </w:pPr>
      <w:r>
        <w:rPr>
          <w:color w:val="161B22"/>
        </w:rPr>
        <w:t xml:space="preserve">4.6.1  </w:t>
      </w:r>
      <w:bookmarkStart w:id="1138" w:name="_Toc1137"/>
      <w:r>
        <w:rPr>
          <w:b/>
          <w:bCs/>
          <w:color w:val="161B22"/>
        </w:rPr>
        <w:t xml:space="preserve">AI Scribe Technology: Addressing the Documentation Burden Crisis</w:t>
      </w:r>
      <w:bookmarkEnd w:id="1138"/>
    </w:p>
    <w:p>
      <w:pPr>
        <w:pStyle w:val="FirstParagraph"/>
      </w:pPr>
      <w: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w:t>
      </w:r>
    </w:p>
    <w:p>
      <w:pPr>
        <w:pStyle w:val="BodyText"/>
      </w:pPr>
      <w:r>
        <w:t xml:space="preserve">This is a direct response to a Vermont workforce problem: physician and clinician burnout driven by documentation burden is a primary contributor to provider attrition and is reducing Vermont’s effective primary care capacity. A provider spending two hours daily on documentation has approximately 25% less time for patient care than one whose documentation is automated. At Vermont’s scale — where the primary care FTE shortage is already projected at 370 by 2030 — recovering two hours per provider per day through AI documentation support is equivalent to adding significant additional clinical capacity without hiring new providers.</w:t>
      </w:r>
    </w:p>
    <w:p>
      <w:pPr>
        <w:pStyle w:val="BodyText"/>
      </w:pPr>
      <w:r>
        <w:t xml:space="preserve">The evidence base for AI scribe technology is strong and growing. A 2024 quality improvement study published in JAMA Network Open found that ambient scribe tools were associated with improved documentation efficiency and reduced documentation burden. Clinicians used the technology spent less time writing notes during visits and reported less after-hours charting. Community providers at national rural health conferences have independently identified ambient AI as the single technology investment most likely to address workforce shortages while supporting billing processes and clinical decision-making simultaneously.</w:t>
      </w:r>
    </w:p>
    <w:p>
      <w:pPr>
        <w:pStyle w:val="Heading3"/>
      </w:pPr>
      <w:r>
        <w:rPr>
          <w:color w:val="161B22"/>
        </w:rPr>
        <w:t xml:space="preserve">4.6.2  </w:t>
      </w:r>
      <w:bookmarkStart w:id="1139" w:name="_Toc1138"/>
      <w:r>
        <w:rPr>
          <w:b/>
          <w:bCs/>
          <w:color w:val="161B22"/>
        </w:rPr>
        <w:t xml:space="preserve">Remote Patient Monitoring: Managing Chronic Disease Outside the Hospital</w:t>
      </w:r>
      <w:bookmarkEnd w:id="1139"/>
    </w:p>
    <w:p>
      <w:pPr>
        <w:pStyle w:val="FirstParagraph"/>
      </w:pPr>
      <w: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pPr>
        <w:pStyle w:val="BodyText"/>
      </w:pPr>
      <w: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pPr>
        <w:pStyle w:val="BodyText"/>
      </w:pPr>
      <w: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pPr>
        <w:pStyle w:val="Heading3"/>
      </w:pPr>
      <w:r>
        <w:rPr>
          <w:color w:val="161B22"/>
        </w:rPr>
        <w:t xml:space="preserve">4.6.3  </w:t>
      </w:r>
      <w:bookmarkStart w:id="1140" w:name="_Toc1139"/>
      <w:r>
        <w:rPr>
          <w:b/>
          <w:bCs/>
          <w:color w:val="161B22"/>
        </w:rPr>
        <w:t xml:space="preserve">Telehealth: Specialty Access for Rural Vermont</w:t>
      </w:r>
      <w:bookmarkEnd w:id="1140"/>
    </w:p>
    <w:p>
      <w:pPr>
        <w:pStyle w:val="FirstParagraph"/>
      </w:pPr>
      <w:r>
        <w:t xml:space="preserve">Vermont’s RHT Program application includes specific telehealth investments to expand specialty care access in rural hospitals — allowing specialists at RSC facilities to provide consultation to patients at Tier 2 and Tier 3 facilities without requiring patient transfer. This is the technology enabler for Oliver Wyman’s regionalization blueprint: rather than requiring every COE specialty to maintain physical presence at every community hospital, telehealth enables COE specialists to provide consultation across the network while patients remain near their homes.</w:t>
      </w:r>
    </w:p>
    <w:p>
      <w:pPr>
        <w:pStyle w:val="BodyText"/>
      </w:pPr>
      <w:r>
        <w:t xml:space="preserve">Vermont’s broadband landscape is a constraint: the RHT application notes that 80% of rural Vermonters have broadband access, compared to 85% in non-rural areas. The gap, while relatively small by national rural standards, means that home-based telehealth cannot reach all Vermont patients. Vermont’s proposed broadband expansion (Oliver Wyman’s third priority legislative change recommendation) is the infrastructure prerequisite for telehealth reaching the communities that need it most. The RHT Program’s explicit inclusion of broadband infrastructure as an allowable use reflects this reality.</w:t>
      </w:r>
    </w:p>
    <w:p>
      <w:pPr>
        <w:pStyle w:val="BodyText"/>
      </w:pPr>
      <w:r>
        <w:t xml:space="preserve">Vermont’s telehealth strategy from the RHT application has four specific applications: specialty consultations (neurology, psychiatry, oncology) at rural hospitals; tele-ICU support for rural hospitals managing critical patients before transfer; tele-behavioral health for community mental health and CCBHC services; and community paramedicine — enabling EMTs and paramedics to provide extended care in patients’ homes with real-time physician supervision via telehealth, reducing 911 calls and ED visits for non-emergency conditions.</w:t>
      </w:r>
    </w:p>
    <w:p>
      <w:pPr>
        <w:pStyle w:val="Heading3"/>
      </w:pPr>
      <w:r>
        <w:rPr>
          <w:color w:val="161B22"/>
        </w:rPr>
        <w:t xml:space="preserve">4.6.4  </w:t>
      </w:r>
      <w:bookmarkStart w:id="1141" w:name="_Toc1140"/>
      <w:r>
        <w:rPr>
          <w:b/>
          <w:bCs/>
          <w:color w:val="161B22"/>
        </w:rPr>
        <w:t xml:space="preserve">Diagnostic AI: The Emerging Standard of Care</w:t>
      </w:r>
      <w:bookmarkEnd w:id="1141"/>
    </w:p>
    <w:p>
      <w:pPr>
        <w:pStyle w:val="FirstParagraph"/>
      </w:pPr>
      <w:r>
        <w:t xml:space="preserve">The book’s Part V discussion of diagnostic AI maturation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pPr>
        <w:pStyle w:val="BodyText"/>
      </w:pPr>
      <w:r>
        <w:t xml:space="preserve">A rural Vermont hospital with one radiologist who handles all imaging across multiple modalities cannot maintain the same expert pattern recognition as a high-volume academic center reading 50 chest CTs daily. AI-assisted radiology reading — which has demonstrated accuracy equal to or exceeding specialist readers for specific modalities like chest X-ray, mammography, and retinal imaging —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pPr>
        <w:pStyle w:val="BodyText"/>
      </w:pPr>
      <w: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pPr>
        <w:pStyle w:val="Heading3"/>
      </w:pPr>
      <w:r>
        <w:rPr>
          <w:color w:val="161B22"/>
        </w:rPr>
        <w:t xml:space="preserve">4.6.5  </w:t>
      </w:r>
      <w:bookmarkStart w:id="1142" w:name="_Toc1141"/>
      <w:r>
        <w:rPr>
          <w:b/>
          <w:bCs/>
          <w:color w:val="161B22"/>
        </w:rPr>
        <w:t xml:space="preserve">Price Transparency Technology</w:t>
      </w:r>
      <w:bookmarkEnd w:id="1142"/>
    </w:p>
    <w:p>
      <w:pPr>
        <w:pStyle w:val="FirstParagraph"/>
      </w:pPr>
      <w:r>
        <w:t xml:space="preserve">Vermont’s RHT Program application includes a price transparency and insurance competition initiative — building the technology infrastructure to make hospital pricing legible to patients, payers, and regulators. GMCB was already developing a hospital price transparency dashboard as of February 2026 (first release forthcoming), providing the public with access to 2024 claims data showing hospital prices relative to Medicare. The RHT investment extends this infrastructure to enable patient-facing price comparison tools that allow Vermonters to see what a procedure costs at different facilities before choosing where to receive care.</w:t>
      </w:r>
    </w:p>
    <w:p>
      <w:pPr>
        <w:pStyle w:val="BodyText"/>
      </w:pPr>
      <w: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pPr>
        <w:pStyle w:val="Heading2"/>
        <w:pBdr>
          <w:top w:val="single" w:sz="6" w:space="10" w:color="C9D2DF"/>
        </w:pBdr>
      </w:pPr>
      <w:r>
        <w:rPr>
          <w:color w:val="161B22"/>
        </w:rPr>
        <w:t xml:space="preserve">4.7  </w:t>
      </w:r>
      <w:bookmarkStart w:id="1143" w:name="_Toc1142"/>
      <w:r>
        <w:rPr>
          <w:b/>
          <w:bCs/>
          <w:color w:val="161B22"/>
        </w:rPr>
        <w:t xml:space="preserve">AI Governance — Vermont’s Responsibility Before the Risk Arrives</w:t>
      </w:r>
      <w:bookmarkEnd w:id="1143"/>
    </w:p>
    <w:p>
      <w:pPr>
        <w:pStyle w:val="FirstParagraph"/>
      </w:pPr>
      <w:r>
        <w:t xml:space="preserve">The book’s Part V discussion of AI governance as a clinical requirement — moving from a quality initiative to a regulatory requirement as FDA, ONC, and CMS develop AI governance frameworks —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pPr>
        <w:pStyle w:val="BodyText"/>
      </w:pPr>
      <w:r>
        <w:t xml:space="preserve">Vermont does not currently have a statewide AI governance framework for clinical AI.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pPr>
        <w:pStyle w:val="Heading3"/>
      </w:pPr>
      <w:r>
        <w:rPr>
          <w:color w:val="161B22"/>
        </w:rPr>
        <w:t xml:space="preserve">4.7.1  </w:t>
      </w:r>
      <w:bookmarkStart w:id="1144" w:name="_Toc1143"/>
      <w:r>
        <w:rPr>
          <w:b/>
          <w:bCs/>
          <w:color w:val="161B22"/>
        </w:rPr>
        <w:t xml:space="preserve">Vermont AI Governance Framework: Minimum Requirements</w:t>
      </w:r>
      <w:bookmarkEnd w:id="1144"/>
    </w:p>
    <w:p>
      <w:pPr>
        <w:pStyle w:val="FirstParagraph"/>
      </w:pPr>
      <w:r>
        <w:t xml:space="preserve">Drawing on the AI Governance Checklist and Vermont’s specific clinical AI deployment context, Vermont’s Statewide Strategic Plan should establish minimum AI governance requirements for clinical AI deployed in Vermont healthcare settings. At minimum, these should include:</w:t>
      </w:r>
    </w:p>
    <w:p>
      <w:pPr>
        <w:pStyle w:val="Compact"/>
        <w:numPr>
          <w:ilvl w:val="0"/>
          <w:numId w:val="1013"/>
        </w:numPr>
        <w:keepLines w:val="true"/>
        <w:keepNext w:val="true"/>
      </w:pPr>
      <w:r>
        <w:t xml:space="preserve">Pre-deployment bias testing: Any AI model used for clinical decision support, diagnostic assistance, or care gap identification must be tested for differential performance across race/ethnicity, age, sex, income, and geographic subgroups before deployment. Vermont’s equity goals require that AI tools do not introduce or amplify health disparities.</w:t>
      </w:r>
    </w:p>
    <w:p>
      <w:pPr>
        <w:pStyle w:val="Compact"/>
        <w:numPr>
          <w:ilvl w:val="0"/>
          <w:numId w:val="1013"/>
        </w:numPr>
        <w:keepLines w:val="true"/>
        <w:keepNext w:val="true"/>
      </w:pPr>
      <w:r>
        <w:t xml:space="preserve">Performance monitoring: Deployed AI tools must have ongoing performance monitoring with predefined thresholds that trigger review or suspension. An AI model trained on national data may perform differently in Vermont’s specific patient population — particularly in rural areas and among dual-eligible patients with complex social needs.</w:t>
      </w:r>
    </w:p>
    <w:p>
      <w:pPr>
        <w:pStyle w:val="Compact"/>
        <w:numPr>
          <w:ilvl w:val="0"/>
          <w:numId w:val="1013"/>
        </w:numPr>
        <w:keepLines w:val="true"/>
        <w:keepNext w:val="true"/>
      </w:pPr>
      <w:r>
        <w:t xml:space="preserve">Transparency requirements: Patients must be informed when AI tools are involved in their care. Clinicians must understand the basis and limitations of AI outputs.</w:t>
      </w:r>
      <w:r>
        <w:t xml:space="preserve"> </w:t>
      </w:r>
      <w:r>
        <w:t xml:space="preserve">‘Black box’</w:t>
      </w:r>
      <w:r>
        <w:t xml:space="preserve"> </w:t>
      </w:r>
      <w:r>
        <w:t xml:space="preserve">AI with no explainability is inappropriate for clinical settings regardless of its overall accuracy.</w:t>
      </w:r>
    </w:p>
    <w:p>
      <w:pPr>
        <w:pStyle w:val="Compact"/>
        <w:numPr>
          <w:ilvl w:val="0"/>
          <w:numId w:val="1013"/>
        </w:numPr>
        <w:keepLines w:val="true"/>
        <w:keepNext w:val="true"/>
      </w:pPr>
      <w:r>
        <w:t xml:space="preserve">Vendor accountability: Technology vendors providing clinical AI to Vermont providers must agree to performance monitoring, bias testing disclosure, and incident reporting. Contract terms must include performance standards and remedies for underperformance.</w:t>
      </w:r>
    </w:p>
    <w:p>
      <w:pPr>
        <w:pStyle w:val="Compact"/>
        <w:numPr>
          <w:ilvl w:val="0"/>
          <w:numId w:val="1013"/>
        </w:numPr>
        <w:keepLines w:val="true"/>
      </w:pPr>
      <w:r>
        <w:t xml:space="preserve">Equity monitoring: AI performance must be specifically monitored for Vermont’s highest-risk equity populations — Northeast Kingdom rural residents, Medicaid patients, elderly patients with complex needs, and patients whose primary language is not English.</w:t>
      </w:r>
    </w:p>
    <w:p>
      <w:pPr>
        <w:pStyle w:val="FirstParagraph"/>
      </w:pPr>
      <w: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pPr>
        <w:pStyle w:val="Heading2"/>
        <w:pBdr>
          <w:top w:val="single" w:sz="6" w:space="10" w:color="C9D2DF"/>
        </w:pBdr>
        <w:keepNext w:val="false"/>
      </w:pPr>
      <w:r>
        <w:rPr>
          <w:color w:val="161B22"/>
        </w:rPr>
        <w:t xml:space="preserve">4.8  </w:t>
      </w:r>
      <w:bookmarkStart w:id="1145" w:name="_Toc1144"/>
      <w:r>
        <w:rPr>
          <w:b/>
          <w:bCs/>
          <w:color w:val="161B22"/>
        </w:rPr>
        <w:t xml:space="preserve">Vermont’s Target Technology Architecture — A Framework for the Strategic Plan</w:t>
      </w:r>
      <w:bookmarkEnd w:id="1145"/>
    </w:p>
    <w:p>
      <w:pPr>
        <w:pStyle w:val="FirstParagraph"/>
        <w:keepNext w:val="false"/>
      </w:pPr>
      <w: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HTRTable"/>
        <w:tblLook w:firstRow="1" w:lastRow="0" w:firstColumn="0" w:lastColumn="0" w:noHBand="0" w:noVBand="1" w:val="0020"/>
        <w:tblW w:w="9072" w:type="dxa"/>
        <w:tblLayout w:type="fixed"/>
      </w:tblPr>
      <w:tblGrid>
        <w:gridCol w:w="1455"/>
        <w:gridCol w:w="7620"/>
      </w:tblGrid>
      <w:tr>
        <w:trPr>
          <w:tblHeader w:val="on"/>
          <w:cantSplit/>
        </w:trPr>
        <w:tc>
          <w:tcPr>
            <w:shd w:val="clear" w:color="auto" w:fill="1B3A6B"/>
            <w:tcW w:w="1455" w:type="dxa"/>
          </w:tcPr>
          <w:p>
            <w:pPr>
              <w:pStyle w:val="Compact"/>
            </w:pPr>
            <w:r>
              <w:rPr>
                <w:b/>
                <w:color w:val="FFFFFF"/>
                <w:sz w:val="18"/>
              </w:rPr>
              <w:t xml:space="preserve">Layer</w:t>
            </w:r>
          </w:p>
        </w:tc>
        <w:tc>
          <w:tcPr>
            <w:shd w:val="clear" w:color="auto" w:fill="1B3A6B"/>
            <w:tcW w:w="7620" w:type="dxa"/>
          </w:tcPr>
          <w:p>
            <w:pPr>
              <w:pStyle w:val="Compact"/>
            </w:pPr>
            <w:r>
              <w:rPr>
                <w:b/>
                <w:color w:val="FFFFFF"/>
                <w:sz w:val="18"/>
              </w:rPr>
              <w:t xml:space="preserve">Components</w:t>
            </w:r>
          </w:p>
        </w:tc>
      </w:tr>
      <w:tr>
        <w:trPr>
          <w:cantSplit/>
        </w:trPr>
        <w:tc>
          <w:tcPr>
            <w:tcW w:w="1455" w:type="dxa"/>
          </w:tcPr>
          <w:p>
            <w:pPr>
              <w:pStyle w:val="Compact"/>
            </w:pPr>
            <w:r>
              <w:rPr>
                <w:b/>
                <w:bCs/>
                <w:sz w:val="18"/>
              </w:rPr>
              <w:t xml:space="preserve">Layer 5 (Top)</w:t>
            </w:r>
            <w:r>
              <w:rPr>
                <w:sz w:val="18"/>
              </w:rPr>
              <w:t xml:space="preserve"> </w:t>
            </w:r>
            <w:r>
              <w:rPr>
                <w:sz w:val="18"/>
              </w:rPr>
              <w:t xml:space="preserve">— Advanced</w:t>
            </w:r>
            <w:r>
              <w:rPr>
                <w:sz w:val="18"/>
              </w:rPr>
              <w:t xml:space="preserve"> </w:t>
            </w:r>
            <w:r>
              <w:rPr>
                <w:sz w:val="18"/>
              </w:rPr>
              <w:t xml:space="preserve">Analytics &amp; AI Applications</w:t>
            </w:r>
          </w:p>
        </w:tc>
        <w:tc>
          <w:tcPr>
            <w:tcW w:w="7620" w:type="dxa"/>
          </w:tcPr>
          <w:p>
            <w:pPr>
              <w:pStyle w:val="Compact"/>
              <w:numPr>
                <w:ilvl w:val="0"/>
                <w:numId w:val="1014"/>
              </w:numPr>
            </w:pPr>
            <w:r>
              <w:rPr>
                <w:sz w:val="18"/>
              </w:rPr>
              <w:t xml:space="preserve">Population health analytics platform (joint AHS-GMCB</w:t>
            </w:r>
            <w:r>
              <w:rPr>
                <w:sz w:val="18"/>
              </w:rPr>
              <w:t xml:space="preserve"> </w:t>
            </w:r>
            <w:r>
              <w:rPr>
                <w:sz w:val="18"/>
              </w:rPr>
              <w:t xml:space="preserve">vendor): models transformation scenarios, evaluates</w:t>
            </w:r>
            <w:r>
              <w:rPr>
                <w:sz w:val="18"/>
              </w:rPr>
              <w:t xml:space="preserve"> </w:t>
            </w:r>
            <w:r>
              <w:rPr>
                <w:sz w:val="18"/>
              </w:rPr>
              <w:t xml:space="preserve">hospital proposals, tracks outcome metrics</w:t>
            </w:r>
          </w:p>
          <w:p>
            <w:pPr>
              <w:pStyle w:val="Compact"/>
              <w:numPr>
                <w:ilvl w:val="0"/>
                <w:numId w:val="1014"/>
              </w:numPr>
            </w:pPr>
            <w:r>
              <w:rPr>
                <w:sz w:val="18"/>
              </w:rPr>
              <w:t xml:space="preserve">AI scribe &amp; documentation automation: RHT grants; CIN</w:t>
            </w:r>
            <w:r>
              <w:rPr>
                <w:sz w:val="18"/>
              </w:rPr>
              <w:t xml:space="preserve"> </w:t>
            </w:r>
            <w:r>
              <w:rPr>
                <w:sz w:val="18"/>
              </w:rPr>
              <w:t xml:space="preserve">enterprise contract</w:t>
            </w:r>
          </w:p>
          <w:p>
            <w:pPr>
              <w:pStyle w:val="Compact"/>
              <w:numPr>
                <w:ilvl w:val="0"/>
                <w:numId w:val="1014"/>
              </w:numPr>
            </w:pPr>
            <w:r>
              <w:rPr>
                <w:sz w:val="18"/>
              </w:rPr>
              <w:t xml:space="preserve">Diagnostic AI: network-wide deployment via CIN shared</w:t>
            </w:r>
            <w:r>
              <w:rPr>
                <w:sz w:val="18"/>
              </w:rPr>
              <w:t xml:space="preserve"> </w:t>
            </w:r>
            <w:r>
              <w:rPr>
                <w:sz w:val="18"/>
              </w:rPr>
              <w:t xml:space="preserve">services with shared AI governance</w:t>
            </w:r>
          </w:p>
          <w:p>
            <w:pPr>
              <w:pStyle w:val="Compact"/>
              <w:numPr>
                <w:ilvl w:val="0"/>
                <w:numId w:val="1014"/>
              </w:numPr>
            </w:pPr>
            <w:r>
              <w:rPr>
                <w:sz w:val="18"/>
              </w:rPr>
              <w:t xml:space="preserve">Remote patient monitoring: RPM for CHF, COPD, diabetes;</w:t>
            </w:r>
            <w:r>
              <w:rPr>
                <w:sz w:val="18"/>
              </w:rPr>
              <w:t xml:space="preserve"> </w:t>
            </w:r>
            <w:r>
              <w:rPr>
                <w:sz w:val="18"/>
              </w:rPr>
              <w:t xml:space="preserve">community paramedicine integration</w:t>
            </w:r>
          </w:p>
          <w:p>
            <w:pPr>
              <w:pStyle w:val="Compact"/>
              <w:numPr>
                <w:ilvl w:val="0"/>
                <w:numId w:val="1014"/>
              </w:numPr>
            </w:pPr>
            <w:r>
              <w:rPr>
                <w:sz w:val="18"/>
              </w:rPr>
              <w:t xml:space="preserve">Price transparency dashboard: GMCB public tool;</w:t>
            </w:r>
            <w:r>
              <w:rPr>
                <w:sz w:val="18"/>
              </w:rPr>
              <w:t xml:space="preserve"> </w:t>
            </w:r>
            <w:r>
              <w:rPr>
                <w:sz w:val="18"/>
              </w:rPr>
              <w:t xml:space="preserve">patient-facing comparison via RHT</w:t>
            </w:r>
          </w:p>
        </w:tc>
      </w:tr>
      <w:tr>
        <w:trPr/>
        <w:tc>
          <w:tcPr>
            <w:tcW w:w="1455" w:type="dxa"/>
          </w:tcPr>
          <w:p>
            <w:pPr>
              <w:pStyle w:val="Compact"/>
            </w:pPr>
            <w:r>
              <w:rPr>
                <w:b/>
                <w:bCs/>
                <w:sz w:val="18"/>
              </w:rPr>
              <w:t xml:space="preserve">Layer 4</w:t>
            </w:r>
            <w:r>
              <w:rPr>
                <w:sz w:val="18"/>
              </w:rPr>
              <w:t xml:space="preserve"> </w:t>
            </w:r>
            <w:r>
              <w:rPr>
                <w:sz w:val="18"/>
              </w:rPr>
              <w:t xml:space="preserve">— Population</w:t>
            </w:r>
            <w:r>
              <w:rPr>
                <w:sz w:val="18"/>
              </w:rPr>
              <w:t xml:space="preserve"> </w:t>
            </w:r>
            <w:r>
              <w:rPr>
                <w:sz w:val="18"/>
              </w:rPr>
              <w:t xml:space="preserve">Health Management</w:t>
            </w:r>
          </w:p>
        </w:tc>
        <w:tc>
          <w:tcPr>
            <w:tcW w:w="7620" w:type="dxa"/>
          </w:tcPr>
          <w:p>
            <w:pPr>
              <w:pStyle w:val="Compact"/>
              <w:numPr>
                <w:ilvl w:val="0"/>
                <w:numId w:val="1015"/>
              </w:numPr>
            </w:pPr>
            <w:r>
              <w:rPr>
                <w:sz w:val="18"/>
              </w:rPr>
              <w:t xml:space="preserve">Blueprint clinical data registry: HEDIS measurement,</w:t>
            </w:r>
            <w:r>
              <w:rPr>
                <w:sz w:val="18"/>
              </w:rPr>
              <w:t xml:space="preserve"> </w:t>
            </w:r>
            <w:r>
              <w:rPr>
                <w:sz w:val="18"/>
              </w:rPr>
              <w:t xml:space="preserve">care-gap reporting, population risk stratification</w:t>
            </w:r>
          </w:p>
          <w:p>
            <w:pPr>
              <w:pStyle w:val="Compact"/>
              <w:numPr>
                <w:ilvl w:val="0"/>
                <w:numId w:val="1015"/>
              </w:numPr>
            </w:pPr>
            <w:r>
              <w:rPr>
                <w:sz w:val="18"/>
              </w:rPr>
              <w:t xml:space="preserve">Attribution management: patient-to-hospital attribution</w:t>
            </w:r>
            <w:r>
              <w:rPr>
                <w:sz w:val="18"/>
              </w:rPr>
              <w:t xml:space="preserve"> </w:t>
            </w:r>
            <w:r>
              <w:rPr>
                <w:sz w:val="18"/>
              </w:rPr>
              <w:t xml:space="preserve">for AHEAD global budgets; PC AHEAD attribution</w:t>
            </w:r>
          </w:p>
          <w:p>
            <w:pPr>
              <w:pStyle w:val="Compact"/>
              <w:numPr>
                <w:ilvl w:val="0"/>
                <w:numId w:val="1015"/>
              </w:numPr>
            </w:pPr>
            <w:r>
              <w:rPr>
                <w:sz w:val="18"/>
              </w:rPr>
              <w:t xml:space="preserve">SDOH screening data: Blueprint HRSN results linked to</w:t>
            </w:r>
            <w:r>
              <w:rPr>
                <w:sz w:val="18"/>
              </w:rPr>
              <w:t xml:space="preserve"> </w:t>
            </w:r>
            <w:r>
              <w:rPr>
                <w:sz w:val="18"/>
              </w:rPr>
              <w:t xml:space="preserve">health records</w:t>
            </w:r>
          </w:p>
          <w:p>
            <w:pPr>
              <w:pStyle w:val="Compact"/>
              <w:numPr>
                <w:ilvl w:val="0"/>
                <w:numId w:val="1015"/>
              </w:numPr>
            </w:pPr>
            <w:r>
              <w:rPr>
                <w:sz w:val="18"/>
              </w:rPr>
              <w:t xml:space="preserve">Care coordination registry: CHT patient registries; CCBHC</w:t>
            </w:r>
            <w:r>
              <w:rPr>
                <w:sz w:val="18"/>
              </w:rPr>
              <w:t xml:space="preserve"> </w:t>
            </w:r>
            <w:r>
              <w:rPr>
                <w:sz w:val="18"/>
              </w:rPr>
              <w:t xml:space="preserve">care-management data</w:t>
            </w:r>
          </w:p>
        </w:tc>
      </w:tr>
      <w:tr>
        <w:trPr/>
        <w:tc>
          <w:tcPr>
            <w:tcW w:w="1455" w:type="dxa"/>
          </w:tcPr>
          <w:p>
            <w:pPr>
              <w:pStyle w:val="Compact"/>
            </w:pPr>
            <w:r>
              <w:rPr>
                <w:b/>
                <w:bCs/>
                <w:sz w:val="18"/>
              </w:rPr>
              <w:t xml:space="preserve">Layer 3</w:t>
            </w:r>
            <w:r>
              <w:rPr>
                <w:sz w:val="18"/>
              </w:rPr>
              <w:t xml:space="preserve"> </w:t>
            </w:r>
            <w:r>
              <w:rPr>
                <w:sz w:val="18"/>
              </w:rPr>
              <w:t xml:space="preserve">— Integrated</w:t>
            </w:r>
            <w:r>
              <w:rPr>
                <w:sz w:val="18"/>
              </w:rPr>
              <w:t xml:space="preserve"> </w:t>
            </w:r>
            <w:r>
              <w:rPr>
                <w:sz w:val="18"/>
              </w:rPr>
              <w:t xml:space="preserve">Health Record (Target State)</w:t>
            </w:r>
          </w:p>
        </w:tc>
        <w:tc>
          <w:tcPr>
            <w:tcW w:w="7620" w:type="dxa"/>
          </w:tcPr>
          <w:p>
            <w:pPr>
              <w:pStyle w:val="Compact"/>
              <w:numPr>
                <w:ilvl w:val="0"/>
                <w:numId w:val="1016"/>
              </w:numPr>
            </w:pPr>
            <w:r>
              <w:rPr>
                <w:sz w:val="18"/>
              </w:rPr>
              <w:t xml:space="preserve">VHCURES–VHIE integration: claims merged with clinical data</w:t>
            </w:r>
            <w:r>
              <w:rPr>
                <w:sz w:val="18"/>
              </w:rPr>
              <w:t xml:space="preserve"> </w:t>
            </w:r>
            <w:r>
              <w:rPr>
                <w:sz w:val="18"/>
              </w:rPr>
              <w:t xml:space="preserve">per HIE Steering Committee mandate</w:t>
            </w:r>
          </w:p>
          <w:p>
            <w:pPr>
              <w:pStyle w:val="Compact"/>
              <w:numPr>
                <w:ilvl w:val="0"/>
                <w:numId w:val="1016"/>
              </w:numPr>
            </w:pPr>
            <w:r>
              <w:rPr>
                <w:sz w:val="18"/>
              </w:rPr>
              <w:t xml:space="preserve">Mental health &amp; SUD data integration: 42 CFR Part 2</w:t>
            </w:r>
            <w:r>
              <w:rPr>
                <w:sz w:val="18"/>
              </w:rPr>
              <w:t xml:space="preserve"> </w:t>
            </w:r>
            <w:r>
              <w:rPr>
                <w:sz w:val="18"/>
              </w:rPr>
              <w:t xml:space="preserve">compliant consent; CCBHC and DA data</w:t>
            </w:r>
          </w:p>
          <w:p>
            <w:pPr>
              <w:pStyle w:val="Compact"/>
              <w:numPr>
                <w:ilvl w:val="0"/>
                <w:numId w:val="1016"/>
              </w:numPr>
            </w:pPr>
            <w:r>
              <w:rPr>
                <w:sz w:val="18"/>
              </w:rPr>
              <w:t xml:space="preserve">SDOH data integration: social-service utilization linked</w:t>
            </w:r>
            <w:r>
              <w:rPr>
                <w:sz w:val="18"/>
              </w:rPr>
              <w:t xml:space="preserve"> </w:t>
            </w:r>
            <w:r>
              <w:rPr>
                <w:sz w:val="18"/>
              </w:rPr>
              <w:t xml:space="preserve">to the health record with privacy protections</w:t>
            </w:r>
          </w:p>
          <w:p>
            <w:pPr>
              <w:pStyle w:val="Compact"/>
              <w:numPr>
                <w:ilvl w:val="0"/>
                <w:numId w:val="1016"/>
              </w:numPr>
            </w:pPr>
            <w:r>
              <w:rPr>
                <w:sz w:val="18"/>
              </w:rPr>
              <w:t xml:space="preserve">Single patient identity: master patient index across all</w:t>
            </w:r>
            <w:r>
              <w:rPr>
                <w:sz w:val="18"/>
              </w:rPr>
              <w:t xml:space="preserve"> </w:t>
            </w:r>
            <w:r>
              <w:rPr>
                <w:sz w:val="18"/>
              </w:rPr>
              <w:t xml:space="preserve">14 hospitals and community providers</w:t>
            </w:r>
          </w:p>
        </w:tc>
      </w:tr>
      <w:tr>
        <w:trPr/>
        <w:tc>
          <w:tcPr>
            <w:tcW w:w="1455" w:type="dxa"/>
          </w:tcPr>
          <w:p>
            <w:pPr>
              <w:pStyle w:val="Compact"/>
            </w:pPr>
            <w:r>
              <w:rPr>
                <w:b/>
                <w:bCs/>
                <w:sz w:val="18"/>
              </w:rPr>
              <w:t xml:space="preserve">Layer 2</w:t>
            </w:r>
            <w:r>
              <w:rPr>
                <w:sz w:val="18"/>
              </w:rPr>
              <w:t xml:space="preserve"> </w:t>
            </w:r>
            <w:r>
              <w:rPr>
                <w:sz w:val="18"/>
              </w:rPr>
              <w:t xml:space="preserve">— Data Exchange</w:t>
            </w:r>
            <w:r>
              <w:rPr>
                <w:sz w:val="18"/>
              </w:rPr>
              <w:t xml:space="preserve"> </w:t>
            </w:r>
            <w:r>
              <w:rPr>
                <w:sz w:val="18"/>
              </w:rPr>
              <w:t xml:space="preserve">Infrastructure</w:t>
            </w:r>
          </w:p>
        </w:tc>
        <w:tc>
          <w:tcPr>
            <w:tcW w:w="7620" w:type="dxa"/>
          </w:tcPr>
          <w:p>
            <w:pPr>
              <w:pStyle w:val="Compact"/>
              <w:numPr>
                <w:ilvl w:val="0"/>
                <w:numId w:val="1017"/>
              </w:numPr>
            </w:pPr>
            <w:r>
              <w:rPr>
                <w:sz w:val="18"/>
              </w:rPr>
              <w:t xml:space="preserve">Vermont Health Information Exchange (VHIE/VITL): clinical</w:t>
            </w:r>
            <w:r>
              <w:rPr>
                <w:sz w:val="18"/>
              </w:rPr>
              <w:t xml:space="preserve"> </w:t>
            </w:r>
            <w:r>
              <w:rPr>
                <w:sz w:val="18"/>
              </w:rPr>
              <w:t xml:space="preserve">data exchange; connectivity mandated by Act 68</w:t>
            </w:r>
          </w:p>
          <w:p>
            <w:pPr>
              <w:pStyle w:val="Compact"/>
              <w:numPr>
                <w:ilvl w:val="0"/>
                <w:numId w:val="1017"/>
              </w:numPr>
            </w:pPr>
            <w:r>
              <w:rPr>
                <w:sz w:val="18"/>
              </w:rPr>
              <w:t xml:space="preserve">FHIR R4 APIs: CMS-mandated payer and provider APIs;</w:t>
            </w:r>
            <w:r>
              <w:rPr>
                <w:sz w:val="18"/>
              </w:rPr>
              <w:t xml:space="preserve"> </w:t>
            </w:r>
            <w:r>
              <w:rPr>
                <w:sz w:val="18"/>
              </w:rPr>
              <w:t xml:space="preserve">expanding to community providers via RHT grants</w:t>
            </w:r>
          </w:p>
          <w:p>
            <w:pPr>
              <w:pStyle w:val="Compact"/>
              <w:numPr>
                <w:ilvl w:val="0"/>
                <w:numId w:val="1017"/>
              </w:numPr>
            </w:pPr>
            <w:r>
              <w:rPr>
                <w:sz w:val="18"/>
              </w:rPr>
              <w:t xml:space="preserve">Vermont Clinically Integrated Network: shared data</w:t>
            </w:r>
            <w:r>
              <w:rPr>
                <w:sz w:val="18"/>
              </w:rPr>
              <w:t xml:space="preserve"> </w:t>
            </w:r>
            <w:r>
              <w:rPr>
                <w:sz w:val="18"/>
              </w:rPr>
              <w:t xml:space="preserve">standards, protocols, exchange agreements across 14</w:t>
            </w:r>
            <w:r>
              <w:rPr>
                <w:sz w:val="18"/>
              </w:rPr>
              <w:t xml:space="preserve"> </w:t>
            </w:r>
            <w:r>
              <w:rPr>
                <w:sz w:val="18"/>
              </w:rPr>
              <w:t xml:space="preserve">hospitals</w:t>
            </w:r>
          </w:p>
          <w:p>
            <w:pPr>
              <w:pStyle w:val="Compact"/>
              <w:numPr>
                <w:ilvl w:val="0"/>
                <w:numId w:val="1017"/>
              </w:numPr>
            </w:pPr>
            <w:r>
              <w:rPr>
                <w:sz w:val="18"/>
              </w:rPr>
              <w:t xml:space="preserve">CommonWell / Carequality: national network connectivity</w:t>
            </w:r>
            <w:r>
              <w:rPr>
                <w:sz w:val="18"/>
              </w:rPr>
              <w:t xml:space="preserve"> </w:t>
            </w:r>
            <w:r>
              <w:rPr>
                <w:sz w:val="18"/>
              </w:rPr>
              <w:t xml:space="preserve">for out-of-state care records</w:t>
            </w:r>
          </w:p>
        </w:tc>
      </w:tr>
      <w:tr>
        <w:trPr>
          <w:cantSplit/>
        </w:trPr>
        <w:tc>
          <w:tcPr>
            <w:tcW w:w="1455" w:type="dxa"/>
          </w:tcPr>
          <w:p>
            <w:pPr>
              <w:pStyle w:val="Compact"/>
            </w:pPr>
            <w:r>
              <w:rPr>
                <w:b/>
                <w:bCs/>
                <w:sz w:val="18"/>
              </w:rPr>
              <w:t xml:space="preserve">Layer 1 (Foundation)</w:t>
            </w:r>
            <w:r>
              <w:rPr>
                <w:sz w:val="18"/>
              </w:rPr>
              <w:t xml:space="preserve"> </w:t>
            </w:r>
            <w:r>
              <w:rPr>
                <w:sz w:val="18"/>
              </w:rPr>
              <w:t xml:space="preserve">—</w:t>
            </w:r>
            <w:r>
              <w:rPr>
                <w:sz w:val="18"/>
              </w:rPr>
              <w:t xml:space="preserve"> </w:t>
            </w:r>
            <w:r>
              <w:rPr>
                <w:sz w:val="18"/>
              </w:rPr>
              <w:t xml:space="preserve">Core Data Assets</w:t>
            </w:r>
          </w:p>
        </w:tc>
        <w:tc>
          <w:tcPr>
            <w:tcW w:w="7620" w:type="dxa"/>
          </w:tcPr>
          <w:p>
            <w:pPr>
              <w:pStyle w:val="Compact"/>
              <w:numPr>
                <w:ilvl w:val="0"/>
                <w:numId w:val="1018"/>
              </w:numPr>
            </w:pPr>
            <w:r>
              <w:rPr>
                <w:sz w:val="18"/>
              </w:rPr>
              <w:t xml:space="preserve">VHCURES (all-payer claims database): 100%</w:t>
            </w:r>
            <w:r>
              <w:rPr>
                <w:sz w:val="18"/>
              </w:rPr>
              <w:t xml:space="preserve"> </w:t>
            </w:r>
            <w:r>
              <w:rPr>
                <w:sz w:val="18"/>
              </w:rPr>
              <w:t xml:space="preserve">Medicaid/Medicare; 60% commercial; GMCB-managed; Onpoint</w:t>
            </w:r>
            <w:r>
              <w:rPr>
                <w:sz w:val="18"/>
              </w:rPr>
              <w:t xml:space="preserve"> </w:t>
            </w:r>
            <w:r>
              <w:rPr>
                <w:sz w:val="18"/>
              </w:rPr>
              <w:t xml:space="preserve">vendor</w:t>
            </w:r>
          </w:p>
          <w:p>
            <w:pPr>
              <w:pStyle w:val="Compact"/>
              <w:numPr>
                <w:ilvl w:val="0"/>
                <w:numId w:val="1018"/>
              </w:numPr>
            </w:pPr>
            <w:r>
              <w:rPr>
                <w:sz w:val="18"/>
              </w:rPr>
              <w:t xml:space="preserve">VUHDDS (hospital discharge database): all 14 hospitals;</w:t>
            </w:r>
            <w:r>
              <w:rPr>
                <w:sz w:val="18"/>
              </w:rPr>
              <w:t xml:space="preserve"> </w:t>
            </w:r>
            <w:r>
              <w:rPr>
                <w:sz w:val="18"/>
              </w:rPr>
              <w:t xml:space="preserve">all inpatient, outpatient, ED discharges</w:t>
            </w:r>
          </w:p>
          <w:p>
            <w:pPr>
              <w:pStyle w:val="Compact"/>
              <w:numPr>
                <w:ilvl w:val="0"/>
                <w:numId w:val="1018"/>
              </w:numPr>
            </w:pPr>
            <w:r>
              <w:rPr>
                <w:sz w:val="18"/>
              </w:rPr>
              <w:t xml:space="preserve">EHR systems at 14 hospitals: Epic (UVMMC), Oracle Health</w:t>
            </w:r>
            <w:r>
              <w:rPr>
                <w:sz w:val="18"/>
              </w:rPr>
              <w:t xml:space="preserve"> </w:t>
            </w:r>
            <w:r>
              <w:rPr>
                <w:sz w:val="18"/>
              </w:rPr>
              <w:t xml:space="preserve">(CVMC, others), TruBridge (CAHs), Meditech (others)</w:t>
            </w:r>
          </w:p>
          <w:p>
            <w:pPr>
              <w:pStyle w:val="Compact"/>
              <w:numPr>
                <w:ilvl w:val="0"/>
                <w:numId w:val="1018"/>
              </w:numPr>
            </w:pPr>
            <w:r>
              <w:rPr>
                <w:sz w:val="18"/>
              </w:rPr>
              <w:t xml:space="preserve">Blueprint clinical registry: quality-measure data linked</w:t>
            </w:r>
            <w:r>
              <w:rPr>
                <w:sz w:val="18"/>
              </w:rPr>
              <w:t xml:space="preserve"> </w:t>
            </w:r>
            <w:r>
              <w:rPr>
                <w:sz w:val="18"/>
              </w:rPr>
              <w:t xml:space="preserve">to VHCURES for population-level HEDIS</w:t>
            </w:r>
          </w:p>
          <w:p>
            <w:pPr>
              <w:pStyle w:val="Compact"/>
              <w:numPr>
                <w:ilvl w:val="0"/>
                <w:numId w:val="1018"/>
              </w:numPr>
            </w:pPr>
            <w:r>
              <w:rPr>
                <w:sz w:val="18"/>
              </w:rPr>
              <w:t xml:space="preserve">GMCB regulatory data: hospital budgets, rate filings, CON</w:t>
            </w:r>
            <w:r>
              <w:rPr>
                <w:sz w:val="18"/>
              </w:rPr>
              <w:t xml:space="preserve"> </w:t>
            </w:r>
            <w:r>
              <w:rPr>
                <w:sz w:val="18"/>
              </w:rPr>
              <w:t xml:space="preserve">decisions, ACO budget data</w:t>
            </w:r>
          </w:p>
        </w:tc>
      </w:tr>
    </w:tbl>
    <w:p>
      <w:pPr>
        <w:pStyle w:val="Caption"/>
        <w:spacing w:before="120"/>
      </w:pPr>
      <w:r>
        <w:rPr>
          <w:i/>
          <w:iCs/>
        </w:rPr>
        <w:t xml:space="preserve">Figure 4.8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BodyText"/>
      </w:pPr>
      <w: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AHEAD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pPr>
        <w:pStyle w:val="Heading2"/>
        <w:pBdr>
          <w:top w:val="single" w:sz="6" w:space="10" w:color="C9D2DF"/>
        </w:pBdr>
        <w:keepNext w:val="false"/>
      </w:pPr>
      <w:r>
        <w:rPr>
          <w:color w:val="161B22"/>
        </w:rPr>
        <w:t xml:space="preserve">4.9  </w:t>
      </w:r>
      <w:bookmarkStart w:id="1146" w:name="_Toc1145"/>
      <w:r>
        <w:rPr>
          <w:b/>
          <w:bCs/>
          <w:color w:val="161B22"/>
        </w:rPr>
        <w:t xml:space="preserve">Work This Chapter on the Platform</w:t>
      </w:r>
      <w:bookmarkEnd w:id="1146"/>
    </w:p>
    <w:p>
      <w:pPr>
        <w:pStyle w:val="FirstParagraph"/>
        <w:keepNext w:val="false"/>
      </w:pPr>
      <w: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Build FHIR R4 resources and map terminology across ICD-10, SNOMED, LOINC, RxNorm</w:t>
            </w:r>
          </w:p>
        </w:tc>
        <w:tc>
          <w:tcPr>
            <w:tcW w:w="947"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4062" w:type="dxa"/>
          </w:tcPr>
          <w:p>
            <w:pPr>
              <w:pStyle w:val="Compact"/>
              <w:jc w:val="left"/>
            </w:pPr>
            <w:r>
              <w:rPr>
                <w:sz w:val="18"/>
              </w:rPr>
              <w:t xml:space="preserve">How a working data exchange differs from a data asset that merely</w:t>
            </w:r>
            <w:r>
              <w:rPr>
                <w:sz w:val="18"/>
              </w:rPr>
              <w:t xml:space="preserve"> </w:t>
            </w:r>
            <w:r>
              <w:rPr>
                <w:sz w:val="18"/>
              </w:rPr>
              <w:t xml:space="preserve">“exists.”</w:t>
            </w:r>
          </w:p>
        </w:tc>
      </w:tr>
      <w:tr>
        <w:trPr/>
        <w:tc>
          <w:tcPr>
            <w:tcW w:w="4062" w:type="dxa"/>
          </w:tcPr>
          <w:p>
            <w:pPr>
              <w:pStyle w:val="Compact"/>
              <w:jc w:val="left"/>
            </w:pPr>
            <w:r>
              <w:rPr>
                <w:sz w:val="18"/>
              </w:rPr>
              <w:t xml:space="preserve">Stratify a population by CMS-HCC risk and see the attribution that global budgets require</w:t>
            </w:r>
          </w:p>
        </w:tc>
        <w:tc>
          <w:tcPr>
            <w:tcW w:w="947"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4062" w:type="dxa"/>
          </w:tcPr>
          <w:p>
            <w:pPr>
              <w:pStyle w:val="Compact"/>
              <w:jc w:val="left"/>
            </w:pPr>
            <w:r>
              <w:rPr>
                <w:sz w:val="18"/>
              </w:rPr>
              <w:t xml:space="preserve">Why technology must precede economics: you cannot manage a budget for a population you cannot see.</w:t>
            </w:r>
          </w:p>
        </w:tc>
      </w:tr>
      <w:tr>
        <w:trPr/>
        <w:tc>
          <w:tcPr>
            <w:tcW w:w="4062" w:type="dxa"/>
          </w:tcPr>
          <w:p>
            <w:pPr>
              <w:pStyle w:val="Compact"/>
              <w:jc w:val="left"/>
            </w:pPr>
            <w:r>
              <w:rPr>
                <w:sz w:val="18"/>
              </w:rPr>
              <w:t xml:space="preserve">Compare EHR vendors, model adoption cost and 5-year ROI, and audit a record’s USCDI data quality</w:t>
            </w:r>
          </w:p>
        </w:tc>
        <w:tc>
          <w:tcPr>
            <w:tcW w:w="947" w:type="dxa"/>
          </w:tcPr>
          <w:p>
            <w:pPr>
              <w:pStyle w:val="Compact"/>
              <w:jc w:val="left"/>
            </w:pPr>
            <w:r>
              <w:rPr>
                <w:b/>
                <w:bCs/>
                <w:sz w:val="18"/>
              </w:rPr>
              <w:t xml:space="preserve">EMR/EHR Lab</w:t>
            </w:r>
            <w:r>
              <w:rPr>
                <w:sz w:val="18"/>
              </w:rPr>
              <w:t xml:space="preserve"> </w:t>
            </w:r>
            <w:r>
              <w:rPr>
                <w:sz w:val="18"/>
              </w:rPr>
              <w:t xml:space="preserve">—</w:t>
            </w:r>
            <w:r>
              <w:rPr>
                <w:sz w:val="18"/>
              </w:rPr>
              <w:t xml:space="preserve"> </w:t>
            </w:r>
            <w:r>
              <w:rPr>
                <w:rStyle w:val="VerbatimChar"/>
                <w:sz w:val="18"/>
              </w:rPr>
              <w:t xml:space="preserve">/research-lab/interoperability?tab=emr</w:t>
            </w:r>
          </w:p>
        </w:tc>
        <w:tc>
          <w:tcPr>
            <w:tcW w:w="4062" w:type="dxa"/>
          </w:tcPr>
          <w:p>
            <w:pPr>
              <w:pStyle w:val="Compact"/>
              <w:jc w:val="left"/>
            </w:pPr>
            <w:r>
              <w:rPr>
                <w:sz w:val="18"/>
              </w:rPr>
              <w:t xml:space="preserve">Why</w:t>
            </w:r>
            <w:r>
              <w:rPr>
                <w:sz w:val="18"/>
              </w:rPr>
              <w:t xml:space="preserve"> </w:t>
            </w:r>
            <w:r>
              <w:rPr>
                <w:sz w:val="18"/>
              </w:rPr>
              <w:t xml:space="preserve">“buying an EHR”</w:t>
            </w:r>
            <w:r>
              <w:rPr>
                <w:sz w:val="18"/>
              </w:rPr>
              <w:t xml:space="preserve"> </w:t>
            </w:r>
            <w:r>
              <w:rPr>
                <w:sz w:val="18"/>
              </w:rPr>
              <w:t xml:space="preserve">is a financial and data-quality decision, not just a software purchase — and where the documentation burden comes from.</w:t>
            </w:r>
          </w:p>
        </w:tc>
      </w:tr>
      <w:tr>
        <w:trPr>
          <w:cantSplit/>
        </w:trPr>
        <w:tc>
          <w:tcPr>
            <w:tcW w:w="4062" w:type="dxa"/>
          </w:tcPr>
          <w:p>
            <w:pPr>
              <w:pStyle w:val="Compact"/>
              <w:jc w:val="left"/>
            </w:pPr>
            <w:r>
              <w:rPr>
                <w:sz w:val="18"/>
              </w:rPr>
              <w:t xml:space="preserve">Weigh a single statewide EHR against FHIR interoperability across Vermont’s existing platforms</w:t>
            </w:r>
          </w:p>
        </w:tc>
        <w:tc>
          <w:tcPr>
            <w:tcW w:w="947" w:type="dxa"/>
          </w:tcPr>
          <w:p>
            <w:pPr>
              <w:pStyle w:val="Compact"/>
              <w:jc w:val="left"/>
            </w:pPr>
            <w:r>
              <w:rPr>
                <w:b/>
                <w:bCs/>
                <w:sz w:val="18"/>
              </w:rPr>
              <w:t xml:space="preserve">Statewide EHR Deployment Modeler</w:t>
            </w:r>
            <w:r>
              <w:rPr>
                <w:sz w:val="18"/>
              </w:rPr>
              <w:t xml:space="preserve"> </w:t>
            </w:r>
            <w:r>
              <w:rPr>
                <w:sz w:val="18"/>
              </w:rPr>
              <w:t xml:space="preserve">—</w:t>
            </w:r>
            <w:r>
              <w:rPr>
                <w:sz w:val="18"/>
              </w:rPr>
              <w:t xml:space="preserve"> </w:t>
            </w:r>
            <w:r>
              <w:rPr>
                <w:rStyle w:val="VerbatimChar"/>
                <w:sz w:val="18"/>
              </w:rPr>
              <w:t xml:space="preserve">/research-lab/interoperability?tab=statewide-ehr</w:t>
            </w:r>
          </w:p>
        </w:tc>
        <w:tc>
          <w:tcPr>
            <w:tcW w:w="4062" w:type="dxa"/>
          </w:tcPr>
          <w:p>
            <w:pPr>
              <w:pStyle w:val="Compact"/>
              <w:jc w:val="left"/>
            </w:pPr>
            <w:r>
              <w:rPr>
                <w:sz w:val="18"/>
              </w:rPr>
              <w:t xml:space="preserve">The Act 167 feasibility question: whether FHIR can deliver the data sharing without the cost and disruption of a statewide migration.</w:t>
            </w:r>
          </w:p>
        </w:tc>
      </w:tr>
    </w:tbl>
    <w:p>
      <w:pPr>
        <w:pStyle w:val="Caption"/>
        <w:spacing w:before="120"/>
      </w:pPr>
      <w:r>
        <w:rPr>
          <w:i/>
          <w:iCs/>
        </w:rPr>
        <w:t xml:space="preserve">Figure 4.H — Hands-on platform tools for the Technology Pillar.</w:t>
      </w:r>
    </w:p>
    <w:p>
      <w:pPr>
        <w:pStyle w:val="Heading2"/>
        <w:pBdr>
          <w:top w:val="single" w:sz="6" w:space="10" w:color="C9D2DF"/>
        </w:pBdr>
      </w:pPr>
      <w:r>
        <w:rPr>
          <w:color w:val="161B22"/>
        </w:rPr>
        <w:t xml:space="preserve">4.10  </w:t>
      </w:r>
      <w:bookmarkStart w:id="1147" w:name="_Toc1146"/>
      <w:r>
        <w:rPr>
          <w:b/>
          <w:bCs/>
          <w:color w:val="161B22"/>
        </w:rPr>
        <w:t xml:space="preserve">Implications for You</w:t>
      </w:r>
      <w:bookmarkEnd w:id="1147"/>
    </w:p>
    <w:p>
      <w:pPr>
        <w:pStyle w:val="FirstParagraph"/>
      </w:pPr>
      <w:r>
        <w:t xml:space="preserve">If you are a Vermont hospital executive: Your VHCURES attribution file already exists. If you have not analyzed it — understood which patients are attributed to your hospital, what their HCC profiles look like, what their utilization patterns are — you are operating without the most important information your AHEAD performance year will depend on. The hospitals that invest in VHCURES analytics capability now will enter the January 2028 performance year with a 12-to-18-month advantage in understanding their population. Those that wait for the AHS analytics vendor will be learning in their first performance year what they could have understood in advance.</w:t>
      </w:r>
    </w:p>
    <w:p>
      <w:pPr>
        <w:pStyle w:val="BodyText"/>
      </w:pPr>
      <w:r>
        <w:t xml:space="preserve">If you are an AHS or GMCB official: Vermont’s technology infrastructure has three critical components that must be operational before January 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pPr>
        <w:pStyle w:val="BodyText"/>
      </w:pPr>
      <w:r>
        <w:t xml:space="preserve">If you are a Vermont legislator: Vermont’s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pPr>
        <w:pStyle w:val="BodyText"/>
      </w:pPr>
      <w:r>
        <w:t xml:space="preserve">If you are a national health policy professional: Vermont’s technology infrastructure challenge — building integrated population health analytics for a 14-hospital system with 6,000+ providers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pPr>
        <w:pStyle w:val="BodyText"/>
      </w:pPr>
      <w: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pPr>
        <w:pStyle w:val="Heading2"/>
        <w:pBdr>
          <w:top w:val="single" w:sz="6" w:space="10" w:color="C9D2DF"/>
        </w:pBdr>
      </w:pPr>
      <w:r>
        <w:rPr>
          <w:color w:val="161B22"/>
        </w:rPr>
        <w:t xml:space="preserve">4.11  </w:t>
      </w:r>
      <w:bookmarkStart w:id="1148" w:name="_Toc1147"/>
      <w:r>
        <w:rPr>
          <w:b/>
          <w:bCs/>
          <w:color w:val="161B22"/>
        </w:rPr>
        <w:t xml:space="preserve">Key Concepts in This Chapter</w:t>
      </w:r>
      <w:bookmarkEnd w:id="1148"/>
    </w:p>
    <w:p>
      <w:pPr>
        <w:pStyle w:val="FirstParagraph"/>
        <w:spacing w:before="160" w:after="120"/>
      </w:pPr>
      <w:r>
        <w:rPr>
          <w:rFonts w:ascii="Calibri" w:hAnsi="Calibri"/>
          <w:b/>
          <w:bCs/>
          <w:color w:val="2E74B5"/>
          <w:sz w:val="20"/>
        </w:rPr>
        <w:t xml:space="preserve">VHCURES</w:t>
      </w:r>
      <w:r>
        <w:rPr>
          <w:rFonts w:ascii="Calibri" w:hAnsi="Calibri"/>
          <w:color w:val="000000"/>
          <w:sz w:val="18"/>
        </w:rPr>
        <w:br/>
      </w:r>
      <w:r>
        <w:rPr>
          <w:rFonts w:ascii="Calibri" w:hAnsi="Calibri"/>
          <w:color w:val="000000"/>
          <w:sz w:val="18"/>
        </w:rPr>
        <w:t xml:space="preserve">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p>
    <w:p>
      <w:pPr>
        <w:pStyle w:val="BodyText"/>
        <w:spacing w:before="160" w:after="120"/>
      </w:pPr>
      <w:r>
        <w:rPr>
          <w:rFonts w:ascii="Calibri" w:hAnsi="Calibri"/>
          <w:b/>
          <w:bCs/>
          <w:color w:val="2E74B5"/>
          <w:sz w:val="20"/>
        </w:rPr>
        <w:t xml:space="preserve">VITL / VHIE</w:t>
      </w:r>
      <w:r>
        <w:rPr>
          <w:rFonts w:ascii="Calibri" w:hAnsi="Calibri"/>
          <w:color w:val="000000"/>
          <w:sz w:val="18"/>
        </w:rPr>
        <w:br/>
      </w:r>
      <w:r>
        <w:rPr>
          <w:rFonts w:ascii="Calibri" w:hAnsi="Calibri"/>
          <w:color w:val="000000"/>
          <w:sz w:val="18"/>
        </w:rPr>
        <w:t xml:space="preserve">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p>
    <w:p>
      <w:pPr>
        <w:pStyle w:val="BodyText"/>
        <w:spacing w:before="160" w:after="120"/>
      </w:pPr>
      <w:r>
        <w:rPr>
          <w:rFonts w:ascii="Calibri" w:hAnsi="Calibri"/>
          <w:b/>
          <w:bCs/>
          <w:color w:val="2E74B5"/>
          <w:sz w:val="20"/>
        </w:rPr>
        <w:t xml:space="preserve">FHIR (Fast Healthcare Interoperability Resources)</w:t>
      </w:r>
      <w:r>
        <w:rPr>
          <w:rFonts w:ascii="Calibri" w:hAnsi="Calibri"/>
          <w:color w:val="000000"/>
          <w:sz w:val="18"/>
        </w:rPr>
        <w:br/>
      </w:r>
      <w:r>
        <w:rPr>
          <w:rFonts w:ascii="Calibri" w:hAnsi="Calibri"/>
          <w:color w:val="000000"/>
          <w:sz w:val="18"/>
        </w:rPr>
        <w:t xml:space="preserve">The HL7 standard for healthcare data exchange, mandated by CMS for payers and providers beginning 2021-2022. FHIR enables different health IT systems to exchange information using common data formats and APIs, without custom interfaces.</w:t>
      </w:r>
    </w:p>
    <w:p>
      <w:pPr>
        <w:pStyle w:val="BodyText"/>
        <w:spacing w:before="160" w:after="120"/>
      </w:pPr>
      <w:r>
        <w:rPr>
          <w:rFonts w:ascii="Calibri" w:hAnsi="Calibri"/>
          <w:b/>
          <w:bCs/>
          <w:color w:val="2E74B5"/>
          <w:sz w:val="20"/>
        </w:rPr>
        <w:t xml:space="preserve">Clinically Integrated Network (CIN)</w:t>
      </w:r>
      <w:r>
        <w:rPr>
          <w:rFonts w:ascii="Calibri" w:hAnsi="Calibri"/>
          <w:color w:val="000000"/>
          <w:sz w:val="18"/>
        </w:rPr>
        <w:br/>
      </w:r>
      <w:r>
        <w:rPr>
          <w:rFonts w:ascii="Calibri" w:hAnsi="Calibri"/>
          <w:color w:val="000000"/>
          <w:sz w:val="18"/>
        </w:rPr>
        <w:t xml:space="preserve">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p>
    <w:p>
      <w:pPr>
        <w:pStyle w:val="BodyText"/>
        <w:spacing w:before="160" w:after="120"/>
      </w:pPr>
      <w:r>
        <w:rPr>
          <w:rFonts w:ascii="Calibri" w:hAnsi="Calibri"/>
          <w:b/>
          <w:bCs/>
          <w:color w:val="2E74B5"/>
          <w:sz w:val="20"/>
        </w:rPr>
        <w:t xml:space="preserve">AI scribe / ambient clinical intelligence</w:t>
      </w:r>
      <w:r>
        <w:rPr>
          <w:rFonts w:ascii="Calibri" w:hAnsi="Calibri"/>
          <w:color w:val="000000"/>
          <w:sz w:val="18"/>
        </w:rPr>
        <w:br/>
      </w:r>
      <w:r>
        <w:rPr>
          <w:rFonts w:ascii="Calibri" w:hAnsi="Calibri"/>
          <w:color w:val="000000"/>
          <w:sz w:val="18"/>
        </w:rPr>
        <w:t xml:space="preserve">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p>
    <w:p>
      <w:pPr>
        <w:pStyle w:val="BodyText"/>
        <w:spacing w:before="160" w:after="120"/>
      </w:pPr>
      <w:r>
        <w:rPr>
          <w:rFonts w:ascii="Calibri" w:hAnsi="Calibri"/>
          <w:b/>
          <w:bCs/>
          <w:color w:val="2E74B5"/>
          <w:sz w:val="20"/>
        </w:rPr>
        <w:t xml:space="preserve">Remote patient monitoring (RPM)</w:t>
      </w:r>
      <w:r>
        <w:rPr>
          <w:rFonts w:ascii="Calibri" w:hAnsi="Calibri"/>
          <w:color w:val="000000"/>
          <w:sz w:val="18"/>
        </w:rPr>
        <w:br/>
      </w:r>
      <w:r>
        <w:rPr>
          <w:rFonts w:ascii="Calibri" w:hAnsi="Calibri"/>
          <w:color w:val="000000"/>
          <w:sz w:val="18"/>
        </w:rPr>
        <w:t xml:space="preserve">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p>
    <w:p>
      <w:pPr>
        <w:pStyle w:val="BodyText"/>
        <w:spacing w:before="160" w:after="120"/>
      </w:pPr>
      <w:r>
        <w:rPr>
          <w:rFonts w:ascii="Calibri" w:hAnsi="Calibri"/>
          <w:b/>
          <w:bCs/>
          <w:color w:val="2E74B5"/>
          <w:sz w:val="20"/>
        </w:rPr>
        <w:t xml:space="preserve">42 CFR Part 2</w:t>
      </w:r>
      <w:r>
        <w:rPr>
          <w:rFonts w:ascii="Calibri" w:hAnsi="Calibri"/>
          <w:color w:val="000000"/>
          <w:sz w:val="18"/>
        </w:rPr>
        <w:br/>
      </w:r>
      <w:r>
        <w:rPr>
          <w:rFonts w:ascii="Calibri" w:hAnsi="Calibri"/>
          <w:color w:val="000000"/>
          <w:sz w:val="18"/>
        </w:rPr>
        <w:t xml:space="preserve">Federal regulations governing confidentiality of substance use disorder treatment records. Separate and more restrictive than HIPAA; creates the primary legal barrier to integrating SUD treatment data into Vermont’s unified health record. 2024-2025 federal regulatory changes have begun easing some Part 2 barriers.</w:t>
      </w:r>
    </w:p>
    <w:p>
      <w:pPr>
        <w:pStyle w:val="BodyText"/>
        <w:spacing w:before="160" w:after="120"/>
      </w:pPr>
      <w:r>
        <w:rPr>
          <w:rFonts w:ascii="Calibri" w:hAnsi="Calibri"/>
          <w:b/>
          <w:bCs/>
          <w:color w:val="2E74B5"/>
          <w:sz w:val="20"/>
        </w:rPr>
        <w:t xml:space="preserve">Act 62 of 2025</w:t>
      </w:r>
      <w:r>
        <w:rPr>
          <w:rFonts w:ascii="Calibri" w:hAnsi="Calibri"/>
          <w:color w:val="000000"/>
          <w:sz w:val="18"/>
        </w:rPr>
        <w:br/>
      </w:r>
      <w:r>
        <w:rPr>
          <w:rFonts w:ascii="Calibri" w:hAnsi="Calibri"/>
          <w:color w:val="000000"/>
          <w:sz w:val="18"/>
        </w:rPr>
        <w:t xml:space="preserve">Vermont legislation that transferred responsibility for the statewide Health Information Technology Plan from GMCB to DVHA, effective July 1, 2025. Aligns HIT strategy coordination with DVHA’s operational relationships with providers through Medicaid, Blueprint, and AHEAD.</w:t>
      </w:r>
    </w:p>
    <w:p>
      <w:pPr>
        <w:pStyle w:val="BodyText"/>
        <w:spacing w:before="160" w:after="120"/>
      </w:pPr>
      <w:r>
        <w:rPr>
          <w:rFonts w:ascii="Calibri" w:hAnsi="Calibri"/>
          <w:b/>
          <w:bCs/>
          <w:color w:val="2E74B5"/>
          <w:sz w:val="20"/>
        </w:rPr>
        <w:t xml:space="preserve">Master patient index</w:t>
      </w:r>
      <w:r>
        <w:rPr>
          <w:rFonts w:ascii="Calibri" w:hAnsi="Calibri"/>
          <w:color w:val="000000"/>
          <w:sz w:val="18"/>
        </w:rPr>
        <w:br/>
      </w:r>
      <w:r>
        <w:rPr>
          <w:rFonts w:ascii="Calibri" w:hAnsi="Calibri"/>
          <w:color w:val="000000"/>
          <w:sz w:val="18"/>
        </w:rPr>
        <w:t xml:space="preserve">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JAMA Network Open ambient scribe quality improvement study (2024); National Consortium of Telehealth Resource Centers AI guidance (2026); Vermont Health Information Exchange Data Governance mandate (healthdata.vermont.gov).</w:t>
      </w:r>
    </w:p>
    <w:p>
      <w:r>
        <w:br w:type="page"/>
      </w:r>
    </w:p>
    <w:p>
      <w:pPr>
        <w:pStyle w:val="Heading1"/>
      </w:pPr>
      <w:bookmarkStart w:id="1149" w:name="_Toc1148"/>
      <w:r>
        <w:rPr>
          <w:b/>
          <w:bCs/>
          <w:color w:val="161B22"/>
        </w:rPr>
        <w:t xml:space="preserve">Chapter 5: The Technology Pillar in Practice — FHIR, AI Governance, and Clinical Decision Support</w:t>
      </w:r>
      <w:bookmarkEnd w:id="1149"/>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deployment of Vermont’s health IT infrastructure reveals the Technology pillar’s most consequential sequencing vulnerability: the analytics vendor gap that must close before January 2028.</w:t>
      </w:r>
    </w:p>
    <w:p>
      <w:pPr>
        <w:pStyle w:val="BodyText"/>
      </w:pPr>
      <w: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January 2028 deadline simply compresses the timeline enough to make the sequencing visible.</w:t>
      </w:r>
    </w:p>
    <w:p>
      <w:pPr>
        <w:pStyle w:val="Heading2"/>
        <w:pBdr>
          <w:top w:val="single" w:sz="6" w:space="10" w:color="C9D2DF"/>
        </w:pBdr>
      </w:pPr>
      <w:r>
        <w:rPr>
          <w:color w:val="161B22"/>
        </w:rPr>
        <w:t xml:space="preserve">5.1  </w:t>
      </w:r>
      <w:bookmarkStart w:id="1150" w:name="_Toc1149"/>
      <w:r>
        <w:rPr>
          <w:b/>
          <w:bCs/>
          <w:color w:val="161B22"/>
        </w:rPr>
        <w:t xml:space="preserve">From Architecture to Implementation</w:t>
      </w:r>
      <w:bookmarkEnd w:id="1150"/>
    </w:p>
    <w:p>
      <w:pPr>
        <w:pStyle w:val="FirstParagraph"/>
      </w:pPr>
      <w:r>
        <w:t xml:space="preserve">Chapters 12 and 13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pPr>
        <w:pStyle w:val="Heading2"/>
        <w:pBdr>
          <w:top w:val="single" w:sz="6" w:space="10" w:color="C9D2DF"/>
        </w:pBdr>
      </w:pPr>
      <w:r>
        <w:rPr>
          <w:color w:val="161B22"/>
        </w:rPr>
        <w:t xml:space="preserve">5.2  </w:t>
      </w:r>
      <w:bookmarkStart w:id="1151" w:name="_Toc1150"/>
      <w:r>
        <w:rPr>
          <w:b/>
          <w:bCs/>
          <w:color w:val="161B22"/>
        </w:rPr>
        <w:t xml:space="preserve">FHIR Implementation — From Standard to Working System</w:t>
      </w:r>
      <w:bookmarkEnd w:id="1151"/>
    </w:p>
    <w:p>
      <w:pPr>
        <w:pStyle w:val="Heading3"/>
      </w:pPr>
      <w:r>
        <w:rPr>
          <w:color w:val="161B22"/>
        </w:rPr>
        <w:t xml:space="preserve">5.2.1  </w:t>
      </w:r>
      <w:bookmarkStart w:id="1152" w:name="_Toc1151"/>
      <w:r>
        <w:rPr>
          <w:b/>
          <w:bCs/>
          <w:color w:val="161B22"/>
        </w:rPr>
        <w:t xml:space="preserve">The FHIR Implementation Reality</w:t>
      </w:r>
      <w:bookmarkEnd w:id="1152"/>
    </w:p>
    <w:p>
      <w:pPr>
        <w:pStyle w:val="FirstParagraph"/>
      </w:pPr>
      <w: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w:t>
      </w:r>
      <w:r>
        <w:t xml:space="preserve"> </w:t>
      </w:r>
      <w:r>
        <w:t xml:space="preserve">‘FHIR R4 compliant’</w:t>
      </w:r>
      <w:r>
        <w:t xml:space="preserve"> </w:t>
      </w:r>
      <w:r>
        <w:t xml:space="preserve">while exchanging data with entirely different content, triggering entirely different workflows, and requiring custom integration work to interoperate effectively.</w:t>
      </w:r>
    </w:p>
    <w:p>
      <w:pPr>
        <w:pStyle w:val="BodyText"/>
      </w:pPr>
      <w: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pPr>
        <w:pStyle w:val="Heading3"/>
        <w:keepNext w:val="false"/>
      </w:pPr>
      <w:r>
        <w:rPr>
          <w:color w:val="161B22"/>
        </w:rPr>
        <w:t xml:space="preserve">5.2.2  </w:t>
      </w:r>
      <w:bookmarkStart w:id="1153" w:name="_Toc1152"/>
      <w:r>
        <w:rPr>
          <w:b/>
          <w:bCs/>
          <w:color w:val="161B22"/>
        </w:rPr>
        <w:t xml:space="preserve">The Three FHIR Use Cases Vermont Needs Most</w:t>
      </w:r>
      <w:bookmarkEnd w:id="1153"/>
    </w:p>
    <w:p>
      <w:pPr>
        <w:pStyle w:val="FirstParagraph"/>
        <w:keepNext w:val="false"/>
      </w:pPr>
      <w:r>
        <w:t xml:space="preserve">Vermont’s technology investments should prioritize three FHIR use cases that deliver the highest value for the transformation agenda:</w:t>
      </w:r>
    </w:p>
    <w:tbl>
      <w:tblPr>
        <w:tblStyle w:val="HTRTable"/>
        <w:tblLook w:firstRow="1" w:lastRow="0" w:firstColumn="0" w:lastColumn="0" w:noHBand="0" w:noVBand="1" w:val="0020"/>
        <w:tblW w:w="9072" w:type="dxa"/>
        <w:tblLayout w:type="fixed"/>
      </w:tblPr>
      <w:tblGrid>
        <w:gridCol w:w="2181"/>
        <w:gridCol w:w="2296"/>
        <w:gridCol w:w="2296"/>
        <w:gridCol w:w="2296"/>
      </w:tblGrid>
      <w:tr>
        <w:trPr>
          <w:tblHeader w:val="on"/>
          <w:cantSplit/>
        </w:trPr>
        <w:tc>
          <w:tcPr>
            <w:shd w:val="clear" w:color="auto" w:fill="1B3A6B"/>
            <w:tcW w:w="2181" w:type="dxa"/>
          </w:tcPr>
          <w:p>
            <w:pPr>
              <w:pStyle w:val="Compact"/>
              <w:jc w:val="left"/>
            </w:pPr>
            <w:r>
              <w:rPr>
                <w:b/>
                <w:color w:val="FFFFFF"/>
                <w:sz w:val="18"/>
              </w:rPr>
              <w:t xml:space="preserve">FHIR use case</w:t>
            </w:r>
          </w:p>
        </w:tc>
        <w:tc>
          <w:tcPr>
            <w:shd w:val="clear" w:color="auto" w:fill="1B3A6B"/>
            <w:tcW w:w="2296" w:type="dxa"/>
          </w:tcPr>
          <w:p>
            <w:pPr>
              <w:pStyle w:val="Compact"/>
              <w:jc w:val="left"/>
            </w:pPr>
            <w:r>
              <w:rPr>
                <w:b/>
                <w:color w:val="FFFFFF"/>
                <w:sz w:val="18"/>
              </w:rPr>
              <w:t xml:space="preserve">What it enables</w:t>
            </w:r>
          </w:p>
        </w:tc>
        <w:tc>
          <w:tcPr>
            <w:shd w:val="clear" w:color="auto" w:fill="1B3A6B"/>
            <w:tcW w:w="2296" w:type="dxa"/>
          </w:tcPr>
          <w:p>
            <w:pPr>
              <w:pStyle w:val="Compact"/>
              <w:jc w:val="left"/>
            </w:pPr>
            <w:r>
              <w:rPr>
                <w:b/>
                <w:color w:val="FFFFFF"/>
                <w:sz w:val="18"/>
              </w:rPr>
              <w:t xml:space="preserve">Implementation requirements</w:t>
            </w:r>
          </w:p>
        </w:tc>
        <w:tc>
          <w:tcPr>
            <w:shd w:val="clear" w:color="auto" w:fill="1B3A6B"/>
            <w:tcW w:w="2296" w:type="dxa"/>
          </w:tcPr>
          <w:p>
            <w:pPr>
              <w:pStyle w:val="Compact"/>
              <w:jc w:val="left"/>
            </w:pPr>
            <w:r>
              <w:rPr>
                <w:b/>
                <w:color w:val="FFFFFF"/>
                <w:sz w:val="18"/>
              </w:rPr>
              <w:t xml:space="preserve">Vermont priority</w:t>
            </w:r>
          </w:p>
        </w:tc>
      </w:tr>
      <w:tr>
        <w:trPr>
          <w:cantSplit/>
        </w:trPr>
        <w:tc>
          <w:tcPr>
            <w:tcW w:w="2181" w:type="dxa"/>
          </w:tcPr>
          <w:p>
            <w:pPr>
              <w:pStyle w:val="Compact"/>
              <w:jc w:val="left"/>
            </w:pPr>
            <w:r>
              <w:rPr>
                <w:sz w:val="18"/>
              </w:rPr>
              <w:t xml:space="preserve">Patient access API (§170.315(g)(10))</w:t>
            </w:r>
          </w:p>
        </w:tc>
        <w:tc>
          <w:tcPr>
            <w:tcW w:w="2296" w:type="dxa"/>
          </w:tcPr>
          <w:p>
            <w:pPr>
              <w:pStyle w:val="Compact"/>
              <w:jc w:val="left"/>
            </w:pPr>
            <w:r>
              <w:rPr>
                <w:sz w:val="18"/>
              </w:rPr>
              <w:t xml:space="preserve">Patients can access their health records through third-party apps, supporting patient engagement and longitudinal care coordination. Required by CMS for hospitals and clinicians receiving Medicare/Medicaid payments.</w:t>
            </w:r>
          </w:p>
        </w:tc>
        <w:tc>
          <w:tcPr>
            <w:tcW w:w="2296" w:type="dxa"/>
          </w:tcPr>
          <w:p>
            <w:pPr>
              <w:pStyle w:val="Compact"/>
              <w:jc w:val="left"/>
            </w:pPr>
            <w:r>
              <w:rPr>
                <w:sz w:val="18"/>
              </w:rPr>
              <w:t xml:space="preserve">EHR must expose FHIR R4 patient access endpoint; practice must register with Smart Health IT or similar app authorization framework; patient-facing app must be certified.</w:t>
            </w:r>
          </w:p>
        </w:tc>
        <w:tc>
          <w:tcPr>
            <w:tcW w:w="2296" w:type="dxa"/>
          </w:tcPr>
          <w:p>
            <w:pPr>
              <w:pStyle w:val="Compact"/>
              <w:jc w:val="left"/>
            </w:pPr>
            <w:r>
              <w:rPr>
                <w:sz w:val="18"/>
              </w:rPr>
              <w:t xml:space="preserve">Required compliance — all Vermont hospitals must be compliant. Monitor for compliance at smaller CAHs without robust IT departments.</w:t>
            </w:r>
          </w:p>
        </w:tc>
      </w:tr>
      <w:tr>
        <w:trPr/>
        <w:tc>
          <w:tcPr>
            <w:tcW w:w="2181" w:type="dxa"/>
          </w:tcPr>
          <w:p>
            <w:pPr>
              <w:pStyle w:val="Compact"/>
              <w:jc w:val="left"/>
            </w:pPr>
            <w:r>
              <w:rPr>
                <w:sz w:val="18"/>
              </w:rPr>
              <w:t xml:space="preserve">Provider access API (care coordination)</w:t>
            </w:r>
          </w:p>
        </w:tc>
        <w:tc>
          <w:tcPr>
            <w:tcW w:w="2296" w:type="dxa"/>
          </w:tcPr>
          <w:p>
            <w:pPr>
              <w:pStyle w:val="Compact"/>
              <w:jc w:val="left"/>
            </w:pPr>
            <w:r>
              <w:rPr>
                <w:sz w:val="18"/>
              </w:rPr>
              <w:t xml:space="preserve">Care coordinators at one organization can query clinical records from another organization for shared patients, enabling real-time care coordination across the Vermont CIN.</w:t>
            </w:r>
          </w:p>
        </w:tc>
        <w:tc>
          <w:tcPr>
            <w:tcW w:w="2296" w:type="dxa"/>
          </w:tcPr>
          <w:p>
            <w:pPr>
              <w:pStyle w:val="Compact"/>
              <w:jc w:val="left"/>
            </w:pPr>
            <w:r>
              <w:rPr>
                <w:sz w:val="18"/>
              </w:rPr>
              <w:t xml:space="preserve">EHR-to-EHR FHIR query capability; master patient index for patient matching across organizations; trust framework (CommonWell/Carequality membership); consent management.</w:t>
            </w:r>
          </w:p>
        </w:tc>
        <w:tc>
          <w:tcPr>
            <w:tcW w:w="2296" w:type="dxa"/>
          </w:tcPr>
          <w:p>
            <w:pPr>
              <w:pStyle w:val="Compact"/>
              <w:jc w:val="left"/>
            </w:pPr>
            <w:r>
              <w:rPr>
                <w:sz w:val="18"/>
              </w:rPr>
              <w:t xml:space="preserve">Highest value use case for Vermont CIN. Enables inter-hospital care coordination that the regionalization blueprint requires. Priority RHT IT advance investment.</w:t>
            </w:r>
          </w:p>
        </w:tc>
      </w:tr>
      <w:tr>
        <w:trPr>
          <w:cantSplit/>
        </w:trPr>
        <w:tc>
          <w:tcPr>
            <w:tcW w:w="2181" w:type="dxa"/>
          </w:tcPr>
          <w:p>
            <w:pPr>
              <w:pStyle w:val="Compact"/>
              <w:jc w:val="left"/>
            </w:pPr>
            <w:r>
              <w:rPr>
                <w:sz w:val="18"/>
              </w:rPr>
              <w:t xml:space="preserve">Payer-to-provider API (prior authorization and formulary)</w:t>
            </w:r>
          </w:p>
        </w:tc>
        <w:tc>
          <w:tcPr>
            <w:tcW w:w="2296" w:type="dxa"/>
          </w:tcPr>
          <w:p>
            <w:pPr>
              <w:pStyle w:val="Compact"/>
              <w:jc w:val="left"/>
            </w:pPr>
            <w:r>
              <w:rPr>
                <w:sz w:val="18"/>
              </w:rPr>
              <w:t xml:space="preserve">Electronic prior authorization using FHIR-based DA Vinci implementation guides eliminates manual PA processes; formulary information exchange reduces prescription errors.</w:t>
            </w:r>
          </w:p>
        </w:tc>
        <w:tc>
          <w:tcPr>
            <w:tcW w:w="2296" w:type="dxa"/>
          </w:tcPr>
          <w:p>
            <w:pPr>
              <w:pStyle w:val="Compact"/>
              <w:jc w:val="left"/>
            </w:pPr>
            <w:r>
              <w:rPr>
                <w:sz w:val="18"/>
              </w:rPr>
              <w:t xml:space="preserve">EHR must support CRD (Coverage Requirements Discovery) and DTR (Documentation Templates and Rules) Da Vinci implementation guides; payers (BCBS VT, MVP) must implement complementary APIs.</w:t>
            </w:r>
          </w:p>
        </w:tc>
        <w:tc>
          <w:tcPr>
            <w:tcW w:w="2296" w:type="dxa"/>
          </w:tcPr>
          <w:p>
            <w:pPr>
              <w:pStyle w:val="Compact"/>
              <w:jc w:val="left"/>
            </w:pPr>
            <w:r>
              <w:rPr>
                <w:sz w:val="18"/>
              </w:rPr>
              <w:t xml:space="preserve">Administrative simplification priority. Vermont’s prior authorization reform agenda is accelerated by FHIR-based electronic PA. GMCB should require payer FHIR API compliance as condition of rate approval.</w:t>
            </w:r>
          </w:p>
        </w:tc>
      </w:tr>
    </w:tbl>
    <w:p>
      <w:pPr>
        <w:pStyle w:val="Caption"/>
        <w:spacing w:before="120"/>
      </w:pPr>
      <w:r>
        <w:rPr>
          <w:i/>
          <w:iCs/>
        </w:rPr>
        <w:t xml:space="preserve">Figure 5.1 — Vermont’s three priority FHIR use cases. Sources: CMS Interoperability and Patient Access Rule; ONC 21st Century Cures Rule; the Technology pillar framework.</w:t>
      </w:r>
    </w:p>
    <w:p>
      <w:pPr>
        <w:pStyle w:val="Heading3"/>
      </w:pPr>
      <w:r>
        <w:rPr>
          <w:color w:val="161B22"/>
        </w:rPr>
        <w:t xml:space="preserve">5.2.3  </w:t>
      </w:r>
      <w:bookmarkStart w:id="1154" w:name="_Toc1153"/>
      <w:r>
        <w:rPr>
          <w:b/>
          <w:bCs/>
          <w:color w:val="161B22"/>
        </w:rPr>
        <w:t xml:space="preserve">The Master Patient Index — Vermont’s Identity Management Challenge</w:t>
      </w:r>
      <w:bookmarkEnd w:id="1154"/>
    </w:p>
    <w:p>
      <w:pPr>
        <w:pStyle w:val="FirstParagraph"/>
        <w:keepNext w:val="false"/>
      </w:pPr>
      <w:r>
        <w:t xml:space="preserve">Every FHIR use case that involves sharing records between organizations requires patient matching — reliably identifying that the</w:t>
      </w:r>
      <w:r>
        <w:t xml:space="preserve"> </w:t>
      </w:r>
      <w:r>
        <w:t xml:space="preserve">‘John Smith, DOB 1952-03-14’</w:t>
      </w:r>
      <w:r>
        <w:t xml:space="preserve"> </w:t>
      </w:r>
      <w:r>
        <w:t xml:space="preserve">at UVMMC is the same person as the</w:t>
      </w:r>
      <w:r>
        <w:t xml:space="preserve"> </w:t>
      </w:r>
      <w:r>
        <w:t xml:space="preserve">‘John Smith, DOB 1952-03-14’</w:t>
      </w:r>
      <w:r>
        <w:t xml:space="preserve"> </w:t>
      </w:r>
      <w:r>
        <w:t xml:space="preserve">at North Country Hospital and the</w:t>
      </w:r>
      <w:r>
        <w:t xml:space="preserve"> </w:t>
      </w:r>
      <w:r>
        <w:t xml:space="preserve">‘Jonathan Smith, DOB 1952-03-14’</w:t>
      </w:r>
      <w:r>
        <w:t xml:space="preserve"> </w:t>
      </w:r>
      <w:r>
        <w:t xml:space="preserve">(with a name variant) in the Medicaid enrollment file. Vermont’s VITL network provides a master patient index for VHIE-connected providers, but it does not cover all Vermont providers, does not include all out-of-state encounters, and does not have validated match rates documented publicly.</w:t>
      </w:r>
    </w:p>
    <w:p>
      <w:pPr>
        <w:pStyle w:val="BodyText"/>
        <w:keepNext w:val="false"/>
      </w:pPr>
      <w:r>
        <w:t xml:space="preserve">Vermont’s CIN implementation should include a dedicated master patient index as a shared service — a centralized patient identity management system that all CIN member facilities use to match patients across organizations. The investment cost is modest relative to the value: a reliable MPI is the prerequisite for virtually every care coordination use case the CIN is designed to enable.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w:t>
            </w:r>
            <w:r>
              <w:rPr>
                <w:sz w:val="20"/>
                <w:szCs w:val="20"/>
              </w:rPr>
              <w:t xml:space="preserve"> </w:t>
            </w:r>
            <w:r>
              <w:rPr>
                <w:sz w:val="20"/>
                <w:szCs w:val="20"/>
              </w:rPr>
              <w:t xml:space="preserve">“do we have a reliable MPI”</w:t>
            </w:r>
            <w:r>
              <w:rPr>
                <w:sz w:val="20"/>
                <w:szCs w:val="20"/>
              </w:rPr>
              <w:t xml:space="preserve"> </w:t>
            </w:r>
            <w:r>
              <w:rPr>
                <w:sz w:val="20"/>
                <w:szCs w:val="20"/>
              </w:rPr>
              <w:t xml:space="preserve">as a go/no-go gate for any care-coordination initiative, in any state.</w:t>
            </w:r>
          </w:p>
        </w:tc>
      </w:tr>
    </w:tbl>
    <w:p>
      <w:pPr>
        <w:spacing w:after="120"/>
      </w:pPr>
    </w:p>
    <w:p>
      <w:pPr>
        <w:pStyle w:val="Heading2"/>
        <w:pBdr>
          <w:top w:val="single" w:sz="6" w:space="10" w:color="C9D2DF"/>
        </w:pBdr>
      </w:pPr>
      <w:r>
        <w:rPr>
          <w:color w:val="161B22"/>
        </w:rPr>
        <w:t xml:space="preserve">5.3  </w:t>
      </w:r>
      <w:bookmarkStart w:id="1155" w:name="_Toc1154"/>
      <w:r>
        <w:rPr>
          <w:b/>
          <w:bCs/>
          <w:color w:val="161B22"/>
        </w:rPr>
        <w:t xml:space="preserve">AI Clinical Governance — The Complete Framework</w:t>
      </w:r>
      <w:bookmarkEnd w:id="1155"/>
    </w:p>
    <w:p>
      <w:pPr>
        <w:pStyle w:val="FirstParagraph"/>
      </w:pPr>
      <w:r>
        <w:t xml:space="preserve">AI clinical governance is evolving from a best practice to a regulatory requirement. FDA’s AI/ML-based Software as Medical Device (SaMD) framework, ONC’s Health Data, Technology and Interoperability rule, and emerging CMS guidance on AI in Medicare Advantage all establish governance expectations for clinical AI. Vermont’s CIN AI governance framework, described in Chapters 12 and 13, must be operationally detailed enough to guide the specific governance decisions that CIN member facilities need to make when deploying AI scribe technology, RPM algorithms, diagnostic AI, and population health analytics.</w:t>
      </w:r>
    </w:p>
    <w:p>
      <w:pPr>
        <w:pStyle w:val="Heading3"/>
      </w:pPr>
      <w:r>
        <w:rPr>
          <w:color w:val="161B22"/>
        </w:rPr>
        <w:t xml:space="preserve">5.3.1  </w:t>
      </w:r>
      <w:bookmarkStart w:id="1156" w:name="_Toc1155"/>
      <w:r>
        <w:rPr>
          <w:b/>
          <w:bCs/>
          <w:color w:val="161B22"/>
        </w:rPr>
        <w:t xml:space="preserve">The AI Clinical Governance Lifecycle</w:t>
      </w:r>
      <w:bookmarkEnd w:id="1156"/>
    </w:p>
    <w:p>
      <w:pPr>
        <w:pStyle w:val="FirstParagraph"/>
      </w:pPr>
      <w:r>
        <w:t xml:space="preserve">The AI Clinical Governance Checklist organizes governance requirements across six lifecycle stages:</w:t>
      </w:r>
    </w:p>
    <w:p>
      <w:pPr>
        <w:pStyle w:val="Heading3"/>
      </w:pPr>
      <w:r>
        <w:rPr>
          <w:color w:val="161B22"/>
        </w:rPr>
        <w:t xml:space="preserve">5.3.2  </w:t>
      </w:r>
      <w:bookmarkStart w:id="1157" w:name="_Toc1156"/>
      <w:r>
        <w:rPr>
          <w:b/>
          <w:bCs/>
          <w:color w:val="161B22"/>
        </w:rPr>
        <w:t xml:space="preserve">Stage 1: Pre-Deployment Evaluation</w:t>
      </w:r>
      <w:bookmarkEnd w:id="1157"/>
    </w:p>
    <w:p>
      <w:pPr>
        <w:pStyle w:val="FirstParagraph"/>
      </w:pPr>
      <w: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pPr>
        <w:pStyle w:val="Heading3"/>
      </w:pPr>
      <w:r>
        <w:rPr>
          <w:color w:val="161B22"/>
        </w:rPr>
        <w:t xml:space="preserve">5.3.3  </w:t>
      </w:r>
      <w:bookmarkStart w:id="1158" w:name="_Toc1157"/>
      <w:r>
        <w:rPr>
          <w:b/>
          <w:bCs/>
          <w:color w:val="161B22"/>
        </w:rPr>
        <w:t xml:space="preserve">Stage 2: Implementation and Training</w:t>
      </w:r>
      <w:bookmarkEnd w:id="1158"/>
    </w:p>
    <w:p>
      <w:pPr>
        <w:pStyle w:val="FirstParagraph"/>
      </w:pPr>
      <w: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w:t>
      </w:r>
      <w:r>
        <w:t xml:space="preserve"> </w:t>
      </w:r>
      <w:r>
        <w:t xml:space="preserve">‘how to use the tool’</w:t>
      </w:r>
      <w:r>
        <w:t xml:space="preserve"> </w:t>
      </w:r>
      <w:r>
        <w:t xml:space="preserve">but</w:t>
      </w:r>
      <w:r>
        <w:t xml:space="preserve"> </w:t>
      </w:r>
      <w:r>
        <w:t xml:space="preserve">‘what the tool does and does not know, where it performs well and poorly, and how to recognize when its outputs may be unreliable.’</w:t>
      </w:r>
      <w:r>
        <w:t xml:space="preserve"> </w:t>
      </w:r>
      <w:r>
        <w:t xml:space="preserve">(3) Override protocols — clear documentation of when and how clinicians should override AI-generated recommendations. (4) Baseline performance measurement — establishing pre-deployment performance metrics against which post-deployment performance can be compared.</w:t>
      </w:r>
    </w:p>
    <w:p>
      <w:pPr>
        <w:pStyle w:val="Heading3"/>
      </w:pPr>
      <w:r>
        <w:rPr>
          <w:color w:val="161B22"/>
        </w:rPr>
        <w:t xml:space="preserve">5.3.4  </w:t>
      </w:r>
      <w:bookmarkStart w:id="1159" w:name="_Toc1158"/>
      <w:r>
        <w:rPr>
          <w:b/>
          <w:bCs/>
          <w:color w:val="161B22"/>
        </w:rPr>
        <w:t xml:space="preserve">Stage 3: Active Monitoring</w:t>
      </w:r>
      <w:bookmarkEnd w:id="1159"/>
    </w:p>
    <w:p>
      <w:pPr>
        <w:pStyle w:val="FirstParagraph"/>
      </w:pPr>
      <w: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pPr>
        <w:pStyle w:val="Heading3"/>
      </w:pPr>
      <w:r>
        <w:rPr>
          <w:color w:val="161B22"/>
        </w:rPr>
        <w:t xml:space="preserve">5.3.5  </w:t>
      </w:r>
      <w:bookmarkStart w:id="1160" w:name="_Toc1159"/>
      <w:r>
        <w:rPr>
          <w:b/>
          <w:bCs/>
          <w:color w:val="161B22"/>
        </w:rPr>
        <w:t xml:space="preserve">Stage 4: Vendor Management</w:t>
      </w:r>
      <w:bookmarkEnd w:id="1160"/>
    </w:p>
    <w:p>
      <w:pPr>
        <w:pStyle w:val="FirstParagraph"/>
      </w:pPr>
      <w:r>
        <w:t xml:space="preserve">AI vendors must be held accountable through contract terms: (1) Performance SLAs with meaningful remedies — not just</w:t>
      </w:r>
      <w:r>
        <w:t xml:space="preserve"> </w:t>
      </w:r>
      <w:r>
        <w:t xml:space="preserve">‘best efforts’</w:t>
      </w:r>
      <w:r>
        <w:t xml:space="preserve"> </w:t>
      </w:r>
      <w:r>
        <w:t xml:space="preserve">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pPr>
        <w:pStyle w:val="Heading3"/>
      </w:pPr>
      <w:r>
        <w:rPr>
          <w:color w:val="161B22"/>
        </w:rPr>
        <w:t xml:space="preserve">5.3.6  </w:t>
      </w:r>
      <w:bookmarkStart w:id="1161" w:name="_Toc1160"/>
      <w:r>
        <w:rPr>
          <w:b/>
          <w:bCs/>
          <w:color w:val="161B22"/>
        </w:rPr>
        <w:t xml:space="preserve">AI-Specific Issues for Vermont Rural Hospitals</w:t>
      </w:r>
      <w:bookmarkEnd w:id="1161"/>
    </w:p>
    <w:p>
      <w:pPr>
        <w:pStyle w:val="FirstParagraph"/>
      </w:pPr>
      <w: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pPr>
        <w:pStyle w:val="BodyText"/>
      </w:pPr>
      <w: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pPr>
        <w:pStyle w:val="BodyText"/>
      </w:pPr>
      <w: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pPr>
        <w:pStyle w:val="Heading2"/>
        <w:pBdr>
          <w:top w:val="single" w:sz="6" w:space="10" w:color="C9D2DF"/>
        </w:pBdr>
      </w:pPr>
      <w:r>
        <w:rPr>
          <w:color w:val="161B22"/>
        </w:rPr>
        <w:t xml:space="preserve">5.4  </w:t>
      </w:r>
      <w:bookmarkStart w:id="1162" w:name="_Toc1161"/>
      <w:r>
        <w:rPr>
          <w:b/>
          <w:bCs/>
          <w:color w:val="161B22"/>
        </w:rPr>
        <w:t xml:space="preserve">Clinical Decision Support — From Alerts to Intelligence</w:t>
      </w:r>
      <w:bookmarkEnd w:id="1162"/>
    </w:p>
    <w:p>
      <w:pPr>
        <w:pStyle w:val="FirstParagraph"/>
      </w:pPr>
      <w: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pPr>
        <w:pStyle w:val="Heading3"/>
      </w:pPr>
      <w:r>
        <w:rPr>
          <w:color w:val="161B22"/>
        </w:rPr>
        <w:t xml:space="preserve">5.4.1  </w:t>
      </w:r>
      <w:bookmarkStart w:id="1163" w:name="_Toc1162"/>
      <w:r>
        <w:rPr>
          <w:b/>
          <w:bCs/>
          <w:color w:val="161B22"/>
        </w:rPr>
        <w:t xml:space="preserve">Alert Fatigue — The CDS Effectiveness Crisis</w:t>
      </w:r>
      <w:bookmarkEnd w:id="1163"/>
    </w:p>
    <w:p>
      <w:pPr>
        <w:pStyle w:val="FirstParagraph"/>
      </w:pPr>
      <w: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90% of alerts are overridden, the alerts are generating noise rather than signal, and the alert system has failed.</w:t>
      </w:r>
    </w:p>
    <w:p>
      <w:pPr>
        <w:pStyle w:val="BodyText"/>
      </w:pPr>
      <w: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pPr>
        <w:pStyle w:val="Heading3"/>
        <w:keepNext w:val="false"/>
      </w:pPr>
      <w:r>
        <w:rPr>
          <w:color w:val="161B22"/>
        </w:rPr>
        <w:t xml:space="preserve">5.4.2  </w:t>
      </w:r>
      <w:bookmarkStart w:id="1164" w:name="_Toc1163"/>
      <w:r>
        <w:rPr>
          <w:b/>
          <w:bCs/>
          <w:color w:val="161B22"/>
        </w:rPr>
        <w:t xml:space="preserve">Population Health CDS — Vermont’s Priority Application</w:t>
      </w:r>
      <w:bookmarkEnd w:id="1164"/>
    </w:p>
    <w:p>
      <w:pPr>
        <w:pStyle w:val="FirstParagraph"/>
        <w:keepNext w:val="false"/>
      </w:pPr>
      <w: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and SDOH screening tools that flag patients for CHT navigation at the moment of a primary care visit.</w:t>
      </w:r>
    </w:p>
    <w:tbl>
      <w:tblPr>
        <w:tblStyle w:val="HTRTable"/>
        <w:tblLook w:firstRow="1" w:lastRow="0" w:firstColumn="0" w:lastColumn="0" w:noHBand="0" w:noVBand="1" w:val="0020"/>
        <w:tblW w:w="9072" w:type="dxa"/>
        <w:tblLayout w:type="fixed"/>
      </w:tblPr>
      <w:tblGrid>
        <w:gridCol w:w="1332"/>
        <w:gridCol w:w="2579"/>
        <w:gridCol w:w="2579"/>
        <w:gridCol w:w="2579"/>
      </w:tblGrid>
      <w:tr>
        <w:trPr>
          <w:tblHeader w:val="on"/>
          <w:cantSplit/>
        </w:trPr>
        <w:tc>
          <w:tcPr>
            <w:shd w:val="clear" w:color="auto" w:fill="1B3A6B"/>
            <w:tcW w:w="1332" w:type="dxa"/>
          </w:tcPr>
          <w:p>
            <w:pPr>
              <w:pStyle w:val="Compact"/>
              <w:jc w:val="left"/>
            </w:pPr>
            <w:r>
              <w:rPr>
                <w:b/>
                <w:color w:val="FFFFFF"/>
                <w:sz w:val="18"/>
              </w:rPr>
              <w:t xml:space="preserve">CDS type</w:t>
            </w:r>
          </w:p>
        </w:tc>
        <w:tc>
          <w:tcPr>
            <w:shd w:val="clear" w:color="auto" w:fill="1B3A6B"/>
            <w:tcW w:w="2579" w:type="dxa"/>
          </w:tcPr>
          <w:p>
            <w:pPr>
              <w:pStyle w:val="Compact"/>
              <w:jc w:val="left"/>
            </w:pPr>
            <w:r>
              <w:rPr>
                <w:b/>
                <w:color w:val="FFFFFF"/>
                <w:sz w:val="18"/>
              </w:rPr>
              <w:t xml:space="preserve">What it does</w:t>
            </w:r>
          </w:p>
        </w:tc>
        <w:tc>
          <w:tcPr>
            <w:shd w:val="clear" w:color="auto" w:fill="1B3A6B"/>
            <w:tcW w:w="2579" w:type="dxa"/>
          </w:tcPr>
          <w:p>
            <w:pPr>
              <w:pStyle w:val="Compact"/>
              <w:jc w:val="left"/>
            </w:pPr>
            <w:r>
              <w:rPr>
                <w:b/>
                <w:color w:val="FFFFFF"/>
                <w:sz w:val="18"/>
              </w:rPr>
              <w:t xml:space="preserve">Implementation requirement</w:t>
            </w:r>
          </w:p>
        </w:tc>
        <w:tc>
          <w:tcPr>
            <w:shd w:val="clear" w:color="auto" w:fill="1B3A6B"/>
            <w:tcW w:w="2579" w:type="dxa"/>
          </w:tcPr>
          <w:p>
            <w:pPr>
              <w:pStyle w:val="Compact"/>
              <w:jc w:val="left"/>
            </w:pPr>
            <w:r>
              <w:rPr>
                <w:b/>
                <w:color w:val="FFFFFF"/>
                <w:sz w:val="18"/>
              </w:rPr>
              <w:t xml:space="preserve">Vermont application</w:t>
            </w:r>
          </w:p>
        </w:tc>
      </w:tr>
      <w:tr>
        <w:trPr>
          <w:cantSplit/>
        </w:trPr>
        <w:tc>
          <w:tcPr>
            <w:tcW w:w="1332" w:type="dxa"/>
          </w:tcPr>
          <w:p>
            <w:pPr>
              <w:pStyle w:val="Compact"/>
              <w:jc w:val="left"/>
            </w:pPr>
            <w:r>
              <w:rPr>
                <w:sz w:val="18"/>
              </w:rPr>
              <w:t xml:space="preserve">Predictive risk stratification</w:t>
            </w:r>
          </w:p>
        </w:tc>
        <w:tc>
          <w:tcPr>
            <w:tcW w:w="2579" w:type="dxa"/>
          </w:tcPr>
          <w:p>
            <w:pPr>
              <w:pStyle w:val="Compact"/>
              <w:jc w:val="left"/>
            </w:pPr>
            <w:r>
              <w:rPr>
                <w:sz w:val="18"/>
              </w:rPr>
              <w:t xml:space="preserve">Uses machine learning on claims, EHR, and demographic data to predict which patients are likely to be hospitalized or visit the ED in the next 30-90 days, generating a risk score and recommended care management action</w:t>
            </w:r>
          </w:p>
        </w:tc>
        <w:tc>
          <w:tcPr>
            <w:tcW w:w="2579" w:type="dxa"/>
          </w:tcPr>
          <w:p>
            <w:pPr>
              <w:pStyle w:val="Compact"/>
              <w:jc w:val="left"/>
            </w:pPr>
            <w:r>
              <w:rPr>
                <w:sz w:val="18"/>
              </w:rPr>
              <w:t xml:space="preserve">Attribution data, historical claims, EHR access, trained risk model; care management workflow to receive and act on high-risk alerts</w:t>
            </w:r>
          </w:p>
        </w:tc>
        <w:tc>
          <w:tcPr>
            <w:tcW w:w="2579" w:type="dxa"/>
          </w:tcPr>
          <w:p>
            <w:pPr>
              <w:pStyle w:val="Compact"/>
              <w:jc w:val="left"/>
            </w:pPr>
            <w:r>
              <w:rPr>
                <w:sz w:val="18"/>
              </w:rPr>
              <w:t xml:space="preserve">VHCURES-based risk stratification for AHEAD-attributed Medicare population; identify the top 5% highest-risk patients for intensive CHT engagement before AHEAD year begins</w:t>
            </w:r>
          </w:p>
        </w:tc>
      </w:tr>
      <w:tr>
        <w:trPr/>
        <w:tc>
          <w:tcPr>
            <w:tcW w:w="1332" w:type="dxa"/>
          </w:tcPr>
          <w:p>
            <w:pPr>
              <w:pStyle w:val="Compact"/>
              <w:jc w:val="left"/>
            </w:pPr>
            <w:r>
              <w:rPr>
                <w:sz w:val="18"/>
              </w:rPr>
              <w:t xml:space="preserve">Care gap identification</w:t>
            </w:r>
          </w:p>
        </w:tc>
        <w:tc>
          <w:tcPr>
            <w:tcW w:w="2579" w:type="dxa"/>
          </w:tcPr>
          <w:p>
            <w:pPr>
              <w:pStyle w:val="Compact"/>
              <w:jc w:val="left"/>
            </w:pPr>
            <w:r>
              <w:rPr>
                <w:sz w:val="18"/>
              </w:rPr>
              <w:t xml:space="preserve">Identifies patients due for preventive services, overdue for chronic disease management follow-up, or missing guideline-recommended medications at the moment of a primary care visit</w:t>
            </w:r>
          </w:p>
        </w:tc>
        <w:tc>
          <w:tcPr>
            <w:tcW w:w="2579" w:type="dxa"/>
          </w:tcPr>
          <w:p>
            <w:pPr>
              <w:pStyle w:val="Compact"/>
              <w:jc w:val="left"/>
            </w:pPr>
            <w:r>
              <w:rPr>
                <w:sz w:val="18"/>
              </w:rPr>
              <w:t xml:space="preserve">EHR integration; HEDIS measure definitions; patient registry with last service date tracking</w:t>
            </w:r>
          </w:p>
        </w:tc>
        <w:tc>
          <w:tcPr>
            <w:tcW w:w="2579" w:type="dxa"/>
          </w:tcPr>
          <w:p>
            <w:pPr>
              <w:pStyle w:val="Compact"/>
              <w:jc w:val="left"/>
            </w:pPr>
            <w:r>
              <w:rPr>
                <w:sz w:val="18"/>
              </w:rPr>
              <w:t xml:space="preserve">Blueprint PCMH practices: care gap report generated for each scheduled patient appointment, enabling care coordinator to prepare outreach materials before the visit</w:t>
            </w:r>
          </w:p>
        </w:tc>
      </w:tr>
      <w:tr>
        <w:trPr/>
        <w:tc>
          <w:tcPr>
            <w:tcW w:w="1332" w:type="dxa"/>
          </w:tcPr>
          <w:p>
            <w:pPr>
              <w:pStyle w:val="Compact"/>
              <w:jc w:val="left"/>
            </w:pPr>
            <w:r>
              <w:rPr>
                <w:sz w:val="18"/>
              </w:rPr>
              <w:t xml:space="preserve">SDOH screening and navigation</w:t>
            </w:r>
          </w:p>
        </w:tc>
        <w:tc>
          <w:tcPr>
            <w:tcW w:w="2579" w:type="dxa"/>
          </w:tcPr>
          <w:p>
            <w:pPr>
              <w:pStyle w:val="Compact"/>
              <w:jc w:val="left"/>
            </w:pPr>
            <w:r>
              <w:rPr>
                <w:sz w:val="18"/>
              </w:rPr>
              <w:t xml:space="preserve">Presents standardized HRSN screening questions at the appropriate point in a primary care visit; flags positive screens for CHT follow-up; tracks referral completion</w:t>
            </w:r>
          </w:p>
        </w:tc>
        <w:tc>
          <w:tcPr>
            <w:tcW w:w="2579" w:type="dxa"/>
          </w:tcPr>
          <w:p>
            <w:pPr>
              <w:pStyle w:val="Compact"/>
              <w:jc w:val="left"/>
            </w:pPr>
            <w:r>
              <w:rPr>
                <w:sz w:val="18"/>
              </w:rPr>
              <w:t xml:space="preserve">EHR-integrated screening tool; CHT workflow to receive referrals; community resource directory integration</w:t>
            </w:r>
          </w:p>
        </w:tc>
        <w:tc>
          <w:tcPr>
            <w:tcW w:w="2579" w:type="dxa"/>
          </w:tcPr>
          <w:p>
            <w:pPr>
              <w:pStyle w:val="Compact"/>
              <w:jc w:val="left"/>
            </w:pPr>
            <w:r>
              <w:rPr>
                <w:sz w:val="18"/>
              </w:rPr>
              <w:t xml:space="preserve">Vermont Blueprint universal HRSN screening: operational in PCMH practices. Gap: CHT follow-up completion tracking and outcome measurement not consistently linked back to clinical record</w:t>
            </w:r>
          </w:p>
        </w:tc>
      </w:tr>
      <w:tr>
        <w:trPr>
          <w:cantSplit/>
        </w:trPr>
        <w:tc>
          <w:tcPr>
            <w:tcW w:w="1332" w:type="dxa"/>
          </w:tcPr>
          <w:p>
            <w:pPr>
              <w:pStyle w:val="Compact"/>
              <w:jc w:val="left"/>
            </w:pPr>
            <w:r>
              <w:rPr>
                <w:sz w:val="18"/>
              </w:rPr>
              <w:t xml:space="preserve">Medication safety and adherence</w:t>
            </w:r>
          </w:p>
        </w:tc>
        <w:tc>
          <w:tcPr>
            <w:tcW w:w="2579" w:type="dxa"/>
          </w:tcPr>
          <w:p>
            <w:pPr>
              <w:pStyle w:val="Compact"/>
              <w:jc w:val="left"/>
            </w:pPr>
            <w:r>
              <w:rPr>
                <w:sz w:val="18"/>
              </w:rPr>
              <w:t xml:space="preserve">Identifies patients with medication adherence gaps from pharmacy claims data; flags potential drug interactions from concurrent prescriptions across multiple providers</w:t>
            </w:r>
          </w:p>
        </w:tc>
        <w:tc>
          <w:tcPr>
            <w:tcW w:w="2579" w:type="dxa"/>
          </w:tcPr>
          <w:p>
            <w:pPr>
              <w:pStyle w:val="Compact"/>
              <w:jc w:val="left"/>
            </w:pPr>
            <w:r>
              <w:rPr>
                <w:sz w:val="18"/>
              </w:rPr>
              <w:t xml:space="preserve">Pharmacy claims data access; prescriber notification workflow</w:t>
            </w:r>
          </w:p>
        </w:tc>
        <w:tc>
          <w:tcPr>
            <w:tcW w:w="2579" w:type="dxa"/>
          </w:tcPr>
          <w:p>
            <w:pPr>
              <w:pStyle w:val="Compact"/>
              <w:jc w:val="left"/>
            </w:pPr>
            <w:r>
              <w:rPr>
                <w:sz w:val="18"/>
              </w:rPr>
              <w:t xml:space="preserve">VHCURES pharmacy claims linked to primary care EHR for medication adherence alerts; particularly valuable for high-complexity elderly patients with multiple prescribers</w:t>
            </w:r>
          </w:p>
        </w:tc>
      </w:tr>
    </w:tbl>
    <w:p>
      <w:pPr>
        <w:pStyle w:val="Caption"/>
        <w:spacing w:before="120"/>
      </w:pPr>
      <w:r>
        <w:rPr>
          <w:i/>
          <w:iCs/>
        </w:rPr>
        <w:t xml:space="preserve">Figure 5.2 — Population health CDS types and Vermont applications. Sources: the Technology pillar framework; Vermont Blueprint for Health; VHCURES documentation.</w:t>
      </w:r>
    </w:p>
    <w:p>
      <w:pPr>
        <w:pStyle w:val="Heading2"/>
        <w:pBdr>
          <w:top w:val="single" w:sz="6" w:space="10" w:color="C9D2DF"/>
        </w:pBdr>
      </w:pPr>
      <w:r>
        <w:rPr>
          <w:color w:val="161B22"/>
        </w:rPr>
        <w:t xml:space="preserve">5.5  </w:t>
      </w:r>
      <w:bookmarkStart w:id="1165" w:name="_Toc1164"/>
      <w:r>
        <w:rPr>
          <w:b/>
          <w:bCs/>
          <w:color w:val="161B22"/>
        </w:rPr>
        <w:t xml:space="preserve">Cybersecurity in Rural Health Infrastructure</w:t>
      </w:r>
      <w:bookmarkEnd w:id="1165"/>
    </w:p>
    <w:p>
      <w:pPr>
        <w:pStyle w:val="FirstParagraph"/>
      </w:pPr>
      <w: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w:t>
      </w:r>
    </w:p>
    <w:p>
      <w:pPr>
        <w:pStyle w:val="BodyText"/>
      </w:pPr>
      <w: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pPr>
        <w:pStyle w:val="Heading3"/>
      </w:pPr>
      <w:r>
        <w:rPr>
          <w:color w:val="161B22"/>
        </w:rPr>
        <w:t xml:space="preserve">5.5.1  </w:t>
      </w:r>
      <w:bookmarkStart w:id="1166" w:name="_Toc1165"/>
      <w:r>
        <w:rPr>
          <w:b/>
          <w:bCs/>
          <w:color w:val="161B22"/>
        </w:rPr>
        <w:t xml:space="preserve">The CIN Cybersecurity Shared Services Model</w:t>
      </w:r>
      <w:bookmarkEnd w:id="1166"/>
    </w:p>
    <w:p>
      <w:pPr>
        <w:pStyle w:val="FirstParagraph"/>
      </w:pPr>
      <w: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pPr>
        <w:pStyle w:val="BodyText"/>
      </w:pPr>
      <w:r>
        <w:t xml:space="preserve">Security operations center (SOC) monitoring: 24/7 network monitoring for intrusion attempts, malware, and anomalous activity. Contracted through a healthcare-specialized managed security service provider (MSSP).</w:t>
      </w:r>
    </w:p>
    <w:p>
      <w:pPr>
        <w:pStyle w:val="BodyText"/>
      </w:pPr>
      <w:r>
        <w:t xml:space="preserve">Endpoint detection and response (EDR): Security software on all network-connected devices that detects and responds to threats automatically, escalating to SOC when needed.</w:t>
      </w:r>
    </w:p>
    <w:p>
      <w:pPr>
        <w:pStyle w:val="BodyText"/>
      </w:pPr>
      <w:r>
        <w:t xml:space="preserve">Vendor risk management: Assessment of all third-party technology vendors used by CIN member hospitals for cybersecurity posture and contractual security requirements.</w:t>
      </w:r>
    </w:p>
    <w:p>
      <w:pPr>
        <w:pStyle w:val="BodyText"/>
      </w:pPr>
      <w:r>
        <w:t xml:space="preserve">Incident response planning: Documented incident response procedures for ransomware, data breach, and system outage scenarios, with regular tabletop exercises and recovery time objectives established for critical clinical systems.</w:t>
      </w:r>
    </w:p>
    <w:p>
      <w:pPr>
        <w:pStyle w:val="BodyText"/>
      </w:pPr>
      <w:r>
        <w:t xml:space="preserve">Staff training: Regular phishing simulation and security awareness training — most healthcare cyberattacks begin with a staff member clicking a phishing link.</w:t>
      </w:r>
    </w:p>
    <w:p>
      <w:pPr>
        <w:pStyle w:val="BodyText"/>
      </w:pPr>
      <w: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pPr>
        <w:pStyle w:val="Heading2"/>
        <w:pBdr>
          <w:top w:val="single" w:sz="6" w:space="10" w:color="C9D2DF"/>
        </w:pBdr>
        <w:keepNext w:val="false"/>
      </w:pPr>
      <w:r>
        <w:rPr>
          <w:color w:val="161B22"/>
        </w:rPr>
        <w:t xml:space="preserve">5.6  </w:t>
      </w:r>
      <w:bookmarkStart w:id="1167" w:name="_Toc1166"/>
      <w:r>
        <w:rPr>
          <w:b/>
          <w:bCs/>
          <w:color w:val="161B22"/>
        </w:rPr>
        <w:t xml:space="preserve">Technology Pillar Implementation Matrix</w:t>
      </w:r>
      <w:bookmarkEnd w:id="1167"/>
    </w:p>
    <w:p>
      <w:pPr>
        <w:pStyle w:val="FirstParagraph"/>
        <w:keepNext w:val="false"/>
      </w:pPr>
      <w:r>
        <w:t xml:space="preserve">The following matrix provides implementation guidance for the key Technology pillar investments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FHIR R4 compliance and API development</w:t>
            </w:r>
          </w:p>
        </w:tc>
        <w:tc>
          <w:tcPr>
            <w:tcW w:w="1222" w:type="dxa"/>
          </w:tcPr>
          <w:p>
            <w:pPr>
              <w:pStyle w:val="Compact"/>
              <w:jc w:val="left"/>
            </w:pPr>
            <w:r>
              <w:rPr>
                <w:sz w:val="18"/>
              </w:rPr>
              <w:t xml:space="preserve">$150K-$500K per org</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18-24 months</w:t>
            </w:r>
          </w:p>
        </w:tc>
        <w:tc>
          <w:tcPr>
            <w:tcW w:w="2820" w:type="dxa"/>
          </w:tcPr>
          <w:p>
            <w:pPr>
              <w:pStyle w:val="Compact"/>
              <w:jc w:val="left"/>
            </w:pPr>
            <w:r>
              <w:rPr>
                <w:sz w:val="18"/>
              </w:rPr>
              <w:t xml:space="preserve">Vermont VITL FHIR mandate; CMS interoperability rule compliance</w:t>
            </w:r>
          </w:p>
        </w:tc>
      </w:tr>
      <w:tr>
        <w:trPr/>
        <w:tc>
          <w:tcPr>
            <w:tcW w:w="2726" w:type="dxa"/>
          </w:tcPr>
          <w:p>
            <w:pPr>
              <w:pStyle w:val="Compact"/>
              <w:jc w:val="left"/>
            </w:pPr>
            <w:r>
              <w:rPr>
                <w:sz w:val="18"/>
              </w:rPr>
              <w:t xml:space="preserve">Clinical AI deployment with governance framework</w:t>
            </w:r>
          </w:p>
        </w:tc>
        <w:tc>
          <w:tcPr>
            <w:tcW w:w="1222" w:type="dxa"/>
          </w:tcPr>
          <w:p>
            <w:pPr>
              <w:pStyle w:val="Compact"/>
              <w:jc w:val="left"/>
            </w:pPr>
            <w:r>
              <w:rPr>
                <w:sz w:val="18"/>
              </w:rPr>
              <w:t xml:space="preserve">$200K-$1M setup</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Vermont AI scribe grants (RHT); ambient documentation ROI 30-45 min/day/provider</w:t>
            </w:r>
          </w:p>
        </w:tc>
      </w:tr>
      <w:tr>
        <w:trPr/>
        <w:tc>
          <w:tcPr>
            <w:tcW w:w="2726" w:type="dxa"/>
          </w:tcPr>
          <w:p>
            <w:pPr>
              <w:pStyle w:val="Compact"/>
              <w:jc w:val="left"/>
            </w:pPr>
            <w:r>
              <w:rPr>
                <w:sz w:val="18"/>
              </w:rPr>
              <w:t xml:space="preserve">VHCURES analytics platform access and training</w:t>
            </w:r>
          </w:p>
        </w:tc>
        <w:tc>
          <w:tcPr>
            <w:tcW w:w="1222" w:type="dxa"/>
          </w:tcPr>
          <w:p>
            <w:pPr>
              <w:pStyle w:val="Compact"/>
              <w:jc w:val="left"/>
            </w:pPr>
            <w:r>
              <w:rPr>
                <w:sz w:val="18"/>
              </w:rPr>
              <w:t xml:space="preserve">$20K-$60K annually</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6 months</w:t>
            </w:r>
          </w:p>
        </w:tc>
        <w:tc>
          <w:tcPr>
            <w:tcW w:w="2820" w:type="dxa"/>
          </w:tcPr>
          <w:p>
            <w:pPr>
              <w:pStyle w:val="Compact"/>
              <w:jc w:val="left"/>
            </w:pPr>
            <w:r>
              <w:rPr>
                <w:sz w:val="18"/>
              </w:rPr>
              <w:t xml:space="preserve">Vermont hospitals: pre-AHEAD HCC gap analysis; attribution modeling</w:t>
            </w:r>
          </w:p>
        </w:tc>
      </w:tr>
      <w:tr>
        <w:trPr/>
        <w:tc>
          <w:tcPr>
            <w:tcW w:w="2726" w:type="dxa"/>
          </w:tcPr>
          <w:p>
            <w:pPr>
              <w:pStyle w:val="Compact"/>
              <w:jc w:val="left"/>
            </w:pPr>
            <w:r>
              <w:rPr>
                <w:sz w:val="18"/>
              </w:rPr>
              <w:t xml:space="preserve">CIN shared analytics infrastructure</w:t>
            </w:r>
          </w:p>
        </w:tc>
        <w:tc>
          <w:tcPr>
            <w:tcW w:w="1222" w:type="dxa"/>
          </w:tcPr>
          <w:p>
            <w:pPr>
              <w:pStyle w:val="Compact"/>
              <w:jc w:val="left"/>
            </w:pPr>
            <w:r>
              <w:rPr>
                <w:sz w:val="18"/>
              </w:rPr>
              <w:t xml:space="preserve">$500K-$2M network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36-48 months</w:t>
            </w:r>
          </w:p>
        </w:tc>
        <w:tc>
          <w:tcPr>
            <w:tcW w:w="2820" w:type="dxa"/>
          </w:tcPr>
          <w:p>
            <w:pPr>
              <w:pStyle w:val="Compact"/>
              <w:jc w:val="left"/>
            </w:pPr>
            <w:r>
              <w:rPr>
                <w:sz w:val="18"/>
              </w:rPr>
              <w:t xml:space="preserve">Vermont CIN: RHT-funded shared analytics for all 14 hospitals</w:t>
            </w:r>
          </w:p>
        </w:tc>
      </w:tr>
      <w:tr>
        <w:trPr/>
        <w:tc>
          <w:tcPr>
            <w:tcW w:w="2726" w:type="dxa"/>
          </w:tcPr>
          <w:p>
            <w:pPr>
              <w:pStyle w:val="Compact"/>
              <w:jc w:val="left"/>
            </w:pPr>
            <w:r>
              <w:rPr>
                <w:sz w:val="18"/>
              </w:rPr>
              <w:t xml:space="preserve">EHR optimization for structured data capture</w:t>
            </w:r>
          </w:p>
        </w:tc>
        <w:tc>
          <w:tcPr>
            <w:tcW w:w="1222" w:type="dxa"/>
          </w:tcPr>
          <w:p>
            <w:pPr>
              <w:pStyle w:val="Compact"/>
              <w:jc w:val="left"/>
            </w:pPr>
            <w:r>
              <w:rPr>
                <w:sz w:val="18"/>
              </w:rPr>
              <w:t xml:space="preserve">$15K-$40K per practice</w:t>
            </w:r>
          </w:p>
        </w:tc>
        <w:tc>
          <w:tcPr>
            <w:tcW w:w="987" w:type="dxa"/>
          </w:tcPr>
          <w:p>
            <w:pPr>
              <w:pStyle w:val="Compact"/>
              <w:jc w:val="left"/>
            </w:pPr>
            <w:r>
              <w:rPr>
                <w:sz w:val="18"/>
              </w:rPr>
              <w:t xml:space="preserve">1-3 months</w:t>
            </w:r>
          </w:p>
        </w:tc>
        <w:tc>
          <w:tcPr>
            <w:tcW w:w="1316" w:type="dxa"/>
          </w:tcPr>
          <w:p>
            <w:pPr>
              <w:pStyle w:val="Compact"/>
              <w:jc w:val="left"/>
            </w:pPr>
            <w:r>
              <w:rPr>
                <w:sz w:val="18"/>
              </w:rPr>
              <w:t xml:space="preserve">6 months</w:t>
            </w:r>
          </w:p>
        </w:tc>
        <w:tc>
          <w:tcPr>
            <w:tcW w:w="2820" w:type="dxa"/>
          </w:tcPr>
          <w:p>
            <w:pPr>
              <w:pStyle w:val="Compact"/>
              <w:jc w:val="left"/>
            </w:pPr>
            <w:r>
              <w:rPr>
                <w:sz w:val="18"/>
              </w:rPr>
              <w:t xml:space="preserve">Blueprint PCMH prerequisite; HEDIS measure reporting accuracy</w:t>
            </w:r>
          </w:p>
        </w:tc>
      </w:tr>
      <w:tr>
        <w:trPr>
          <w:cantSplit/>
        </w:trPr>
        <w:tc>
          <w:tcPr>
            <w:tcW w:w="2726" w:type="dxa"/>
          </w:tcPr>
          <w:p>
            <w:pPr>
              <w:pStyle w:val="Compact"/>
              <w:jc w:val="left"/>
            </w:pPr>
            <w:r>
              <w:rPr>
                <w:sz w:val="18"/>
              </w:rPr>
              <w:t xml:space="preserve">Cybersecurity assessment and hardening</w:t>
            </w:r>
          </w:p>
        </w:tc>
        <w:tc>
          <w:tcPr>
            <w:tcW w:w="1222" w:type="dxa"/>
          </w:tcPr>
          <w:p>
            <w:pPr>
              <w:pStyle w:val="Compact"/>
              <w:jc w:val="left"/>
            </w:pPr>
            <w:r>
              <w:rPr>
                <w:sz w:val="18"/>
              </w:rPr>
              <w:t xml:space="preserve">$50K-$200K per org</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Risk avoidance immediate</w:t>
            </w:r>
          </w:p>
        </w:tc>
        <w:tc>
          <w:tcPr>
            <w:tcW w:w="2820" w:type="dxa"/>
          </w:tcPr>
          <w:p>
            <w:pPr>
              <w:pStyle w:val="Compact"/>
              <w:jc w:val="left"/>
            </w:pPr>
            <w:r>
              <w:rPr>
                <w:sz w:val="18"/>
              </w:rPr>
              <w:t xml:space="preserve">Vermont rural CAH vulnerability; ransomware risk at Grace Cottage scale</w:t>
            </w:r>
          </w:p>
        </w:tc>
      </w:tr>
    </w:tbl>
    <w:p>
      <w:pPr>
        <w:pStyle w:val="Caption"/>
        <w:spacing w:before="120"/>
      </w:pPr>
      <w:r>
        <w:rPr>
          <w:i/>
          <w:iCs/>
        </w:rPr>
        <w:t xml:space="preserve">Figure 5.3 — Technology pillar implementation matrix. Sources: HTR Advisory; Vermont RHT Program (2025); CMS interoperability rule.</w:t>
      </w:r>
    </w:p>
    <w:p>
      <w:pPr>
        <w:pStyle w:val="Heading2"/>
        <w:pBdr>
          <w:top w:val="single" w:sz="6" w:space="10" w:color="C9D2DF"/>
        </w:pBdr>
        <w:keepNext w:val="false"/>
      </w:pPr>
      <w:r>
        <w:rPr>
          <w:color w:val="161B22"/>
        </w:rPr>
        <w:t xml:space="preserve">5.7  </w:t>
      </w:r>
      <w:bookmarkStart w:id="1168" w:name="_Toc1167"/>
      <w:r>
        <w:rPr>
          <w:b/>
          <w:bCs/>
          <w:color w:val="161B22"/>
        </w:rPr>
        <w:t xml:space="preserve">Work This Chapter on the Platform</w:t>
      </w:r>
      <w:bookmarkEnd w:id="1168"/>
    </w:p>
    <w:p>
      <w:pPr>
        <w:pStyle w:val="FirstParagraph"/>
        <w:keepNext w:val="false"/>
      </w:pPr>
      <w:r>
        <w:t xml:space="preserve">Chapter 5’s implementation reality — AI governance, CDS, and clinical data exchange — maps to three working labs.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Build an AI clinical governance framework across the model lifecycle</w:t>
            </w:r>
          </w:p>
        </w:tc>
        <w:tc>
          <w:tcPr>
            <w:tcW w:w="947" w:type="dxa"/>
          </w:tcPr>
          <w:p>
            <w:pPr>
              <w:pStyle w:val="Compact"/>
              <w:jc w:val="left"/>
            </w:pPr>
            <w:r>
              <w:rPr>
                <w:b/>
                <w:bCs/>
                <w:sz w:val="18"/>
              </w:rPr>
              <w:t xml:space="preserve">AI Clinical Governance Lab</w:t>
            </w:r>
            <w:r>
              <w:rPr>
                <w:sz w:val="18"/>
              </w:rPr>
              <w:t xml:space="preserve"> </w:t>
            </w:r>
            <w:r>
              <w:rPr>
                <w:sz w:val="18"/>
              </w:rPr>
              <w:t xml:space="preserve">—</w:t>
            </w:r>
            <w:r>
              <w:rPr>
                <w:sz w:val="18"/>
              </w:rPr>
              <w:t xml:space="preserve"> </w:t>
            </w:r>
            <w:r>
              <w:rPr>
                <w:rStyle w:val="VerbatimChar"/>
                <w:sz w:val="18"/>
              </w:rPr>
              <w:t xml:space="preserve">/research-lab/technology-ai?tab=ai</w:t>
            </w:r>
          </w:p>
        </w:tc>
        <w:tc>
          <w:tcPr>
            <w:tcW w:w="4062" w:type="dxa"/>
          </w:tcPr>
          <w:p>
            <w:pPr>
              <w:pStyle w:val="Compact"/>
              <w:jc w:val="left"/>
            </w:pPr>
            <w:r>
              <w:rPr>
                <w:sz w:val="18"/>
              </w:rPr>
              <w:t xml:space="preserve">The 65-item checklist as a go/no-go gate before any clinical AI deployment.</w:t>
            </w:r>
          </w:p>
        </w:tc>
      </w:tr>
      <w:tr>
        <w:trPr/>
        <w:tc>
          <w:tcPr>
            <w:tcW w:w="4062" w:type="dxa"/>
          </w:tcPr>
          <w:p>
            <w:pPr>
              <w:pStyle w:val="Compact"/>
              <w:jc w:val="left"/>
            </w:pPr>
            <w:r>
              <w:rPr>
                <w:sz w:val="18"/>
              </w:rPr>
              <w:t xml:space="preserve">Model RPM and telehealth ROI by condition and CPT code</w:t>
            </w:r>
          </w:p>
        </w:tc>
        <w:tc>
          <w:tcPr>
            <w:tcW w:w="947" w:type="dxa"/>
          </w:tcPr>
          <w:p>
            <w:pPr>
              <w:pStyle w:val="Compact"/>
              <w:jc w:val="left"/>
            </w:pPr>
            <w:r>
              <w:rPr>
                <w:b/>
                <w:bCs/>
                <w:sz w:val="18"/>
              </w:rPr>
              <w:t xml:space="preserve">Digital Health Lab</w:t>
            </w:r>
            <w:r>
              <w:rPr>
                <w:sz w:val="18"/>
              </w:rPr>
              <w:t xml:space="preserve"> </w:t>
            </w:r>
            <w:r>
              <w:rPr>
                <w:sz w:val="18"/>
              </w:rPr>
              <w:t xml:space="preserve">—</w:t>
            </w:r>
            <w:r>
              <w:rPr>
                <w:sz w:val="18"/>
              </w:rPr>
              <w:t xml:space="preserve"> </w:t>
            </w:r>
            <w:r>
              <w:rPr>
                <w:rStyle w:val="VerbatimChar"/>
                <w:sz w:val="18"/>
              </w:rPr>
              <w:t xml:space="preserve">/research-lab/technology-ai?tab=digital</w:t>
            </w:r>
          </w:p>
        </w:tc>
        <w:tc>
          <w:tcPr>
            <w:tcW w:w="4062" w:type="dxa"/>
          </w:tcPr>
          <w:p>
            <w:pPr>
              <w:pStyle w:val="Compact"/>
              <w:jc w:val="left"/>
            </w:pPr>
            <w:r>
              <w:rPr>
                <w:sz w:val="18"/>
              </w:rPr>
              <w:t xml:space="preserve">Where digital health earns its cost — and where it adds alert fatigue without value.</w:t>
            </w:r>
          </w:p>
        </w:tc>
      </w:tr>
      <w:tr>
        <w:trPr/>
        <w:tc>
          <w:tcPr>
            <w:tcW w:w="4062" w:type="dxa"/>
          </w:tcPr>
          <w:p>
            <w:pPr>
              <w:pStyle w:val="Compact"/>
              <w:jc w:val="left"/>
            </w:pPr>
            <w:r>
              <w:rPr>
                <w:sz w:val="18"/>
              </w:rPr>
              <w:t xml:space="preserve">Exercise clinical data exchange and HL7 messaging</w:t>
            </w:r>
          </w:p>
        </w:tc>
        <w:tc>
          <w:tcPr>
            <w:tcW w:w="947" w:type="dxa"/>
          </w:tcPr>
          <w:p>
            <w:pPr>
              <w:pStyle w:val="Compact"/>
              <w:jc w:val="left"/>
            </w:pPr>
            <w:r>
              <w:rPr>
                <w:b/>
                <w:bCs/>
                <w:sz w:val="18"/>
              </w:rPr>
              <w:t xml:space="preserve">Clinical Data Exchange Lab</w:t>
            </w:r>
            <w:r>
              <w:rPr>
                <w:sz w:val="18"/>
              </w:rPr>
              <w:t xml:space="preserve"> </w:t>
            </w:r>
            <w:r>
              <w:rPr>
                <w:sz w:val="18"/>
              </w:rPr>
              <w:t xml:space="preserve">—</w:t>
            </w:r>
            <w:r>
              <w:rPr>
                <w:sz w:val="18"/>
              </w:rPr>
              <w:t xml:space="preserve"> </w:t>
            </w:r>
            <w:r>
              <w:rPr>
                <w:rStyle w:val="VerbatimChar"/>
                <w:sz w:val="18"/>
              </w:rPr>
              <w:t xml:space="preserve">/research-lab/vbc-clinical-quality?tab=hl7</w:t>
            </w:r>
          </w:p>
        </w:tc>
        <w:tc>
          <w:tcPr>
            <w:tcW w:w="4062" w:type="dxa"/>
          </w:tcPr>
          <w:p>
            <w:pPr>
              <w:pStyle w:val="Compact"/>
              <w:jc w:val="left"/>
            </w:pPr>
            <w:r>
              <w:rPr>
                <w:sz w:val="18"/>
              </w:rPr>
              <w:t xml:space="preserve">The integration work that makes near-real-time care management possible.</w:t>
            </w:r>
          </w:p>
        </w:tc>
      </w:tr>
      <w:tr>
        <w:trPr>
          <w:cantSplit/>
        </w:trPr>
        <w:tc>
          <w:tcPr>
            <w:tcW w:w="4062" w:type="dxa"/>
          </w:tcPr>
          <w:p>
            <w:pPr>
              <w:pStyle w:val="Compact"/>
              <w:jc w:val="left"/>
            </w:pPr>
            <w:r>
              <w:rPr>
                <w:sz w:val="18"/>
              </w:rPr>
              <w:t xml:space="preserve">Test whether FHIR-based exchange can deliver what a statewide EHR would, at lower cost</w:t>
            </w:r>
          </w:p>
        </w:tc>
        <w:tc>
          <w:tcPr>
            <w:tcW w:w="947"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4062" w:type="dxa"/>
          </w:tcPr>
          <w:p>
            <w:pPr>
              <w:pStyle w:val="Compact"/>
              <w:jc w:val="left"/>
            </w:pPr>
            <w:r>
              <w:rPr>
                <w:sz w:val="18"/>
              </w:rPr>
              <w:t xml:space="preserve">Where FHIR closes the gap and where it does not — the question Vermont’s feasibility assessment must answer.</w:t>
            </w:r>
          </w:p>
        </w:tc>
      </w:tr>
    </w:tbl>
    <w:p>
      <w:pPr>
        <w:pStyle w:val="Caption"/>
        <w:spacing w:before="120"/>
      </w:pPr>
      <w:r>
        <w:rPr>
          <w:i/>
          <w:iCs/>
        </w:rPr>
        <w:t xml:space="preserve">Figure 5.H — Hands-on platform tools for the Technology Pillar in practice.</w:t>
      </w:r>
    </w:p>
    <w:p>
      <w:pPr>
        <w:pStyle w:val="Heading2"/>
        <w:pBdr>
          <w:top w:val="single" w:sz="6" w:space="10" w:color="C9D2DF"/>
        </w:pBdr>
      </w:pPr>
      <w:r>
        <w:rPr>
          <w:color w:val="161B22"/>
        </w:rPr>
        <w:t xml:space="preserve">5.8  </w:t>
      </w:r>
      <w:bookmarkStart w:id="1169" w:name="_Toc1168"/>
      <w:r>
        <w:rPr>
          <w:b/>
          <w:bCs/>
          <w:color w:val="161B22"/>
        </w:rPr>
        <w:t xml:space="preserve">Implications for You</w:t>
      </w:r>
      <w:bookmarkEnd w:id="1169"/>
    </w:p>
    <w:p>
      <w:pPr>
        <w:pStyle w:val="FirstParagraph"/>
      </w:pPr>
      <w:r>
        <w:t xml:space="preserve">If you are a Vermont hospital executive: FHIR-based data exchange is not a future capability — it is a current federal requirement under the CMS Interoperability Rule. If your EHR is not producing FHIR R4 patient access APIs or does not have a roadmap to do so, your technology vendor is out of compliance with federal requirements and your organization is at risk of reduced CMS reimbursement. More practically: FHIR is the protocol through which the AHS-GMCB analytics vendor will receive your clinical data for global budget performance tracking. If your FHIR infrastructure is not production-ready before January 2028, you will not be able to receive the real-time feedback the global budget management system is designed to provide.</w:t>
      </w:r>
    </w:p>
    <w:p>
      <w:pPr>
        <w:pStyle w:val="BodyText"/>
      </w:pPr>
      <w: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pPr>
        <w:pStyle w:val="BodyText"/>
      </w:pPr>
      <w:r>
        <w:t xml:space="preserve">If you are a Vermont legislator: Vermont’s AI governance gap is a legislative opportunity. Vermont has the regulatory infrastructure — GMCB, DVHA, AHS — to create AI standards for healthcare that most states lack. A Vermont AI governance framework for healthcare applications, developed in parallel with AHEAD deployment, would both protect Vermont patients and position Vermont as a national model for responsible AI adoption in healthcare transformation. The alternative — deploying AI tools without governance and creating the framework after problems emerge — is more expensive and less credible.</w:t>
      </w:r>
    </w:p>
    <w:p>
      <w:pPr>
        <w:pStyle w:val="BodyText"/>
      </w:pPr>
      <w: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pPr>
        <w:pStyle w:val="Heading2"/>
        <w:pBdr>
          <w:top w:val="single" w:sz="6" w:space="10" w:color="C9D2DF"/>
        </w:pBdr>
      </w:pPr>
      <w:r>
        <w:rPr>
          <w:color w:val="161B22"/>
        </w:rPr>
        <w:t xml:space="preserve">5.9  </w:t>
      </w:r>
      <w:bookmarkStart w:id="1170" w:name="_Toc1169"/>
      <w:r>
        <w:rPr>
          <w:b/>
          <w:bCs/>
          <w:color w:val="161B22"/>
        </w:rPr>
        <w:t xml:space="preserve">Key Concepts in This Chapter</w:t>
      </w:r>
      <w:bookmarkEnd w:id="1170"/>
    </w:p>
    <w:p>
      <w:pPr>
        <w:pStyle w:val="FirstParagraph"/>
        <w:spacing w:before="160" w:after="120"/>
      </w:pPr>
      <w:r>
        <w:rPr>
          <w:rFonts w:ascii="Calibri" w:hAnsi="Calibri"/>
          <w:b/>
          <w:bCs/>
          <w:color w:val="2E74B5"/>
          <w:sz w:val="20"/>
        </w:rPr>
        <w:t xml:space="preserve">FHIR R4</w:t>
      </w:r>
      <w:r>
        <w:rPr>
          <w:rFonts w:ascii="Calibri" w:hAnsi="Calibri"/>
          <w:color w:val="000000"/>
          <w:sz w:val="18"/>
        </w:rPr>
        <w:br/>
      </w:r>
      <w:r>
        <w:rPr>
          <w:rFonts w:ascii="Calibri" w:hAnsi="Calibri"/>
          <w:color w:val="000000"/>
          <w:sz w:val="18"/>
        </w:rPr>
        <w:t xml:space="preserve">The fourth version of the HL7 FHIR standard, mandated by CMS for healthcare data exchange since 2021. Defines data formats and APIs for patient access, provider access, and payer-to-provider exchange. A standard, not a product — compliance requires implementation work beyond meeting the technical specification.</w:t>
      </w:r>
    </w:p>
    <w:p>
      <w:pPr>
        <w:pStyle w:val="BodyText"/>
        <w:spacing w:before="160" w:after="120"/>
      </w:pPr>
      <w:r>
        <w:rPr>
          <w:rFonts w:ascii="Calibri" w:hAnsi="Calibri"/>
          <w:b/>
          <w:bCs/>
          <w:color w:val="2E74B5"/>
          <w:sz w:val="20"/>
        </w:rPr>
        <w:t xml:space="preserve">Da Vinci Implementation Guides</w:t>
      </w:r>
      <w:r>
        <w:rPr>
          <w:rFonts w:ascii="Calibri" w:hAnsi="Calibri"/>
          <w:color w:val="000000"/>
          <w:sz w:val="18"/>
        </w:rPr>
        <w:br/>
      </w:r>
      <w:r>
        <w:rPr>
          <w:rFonts w:ascii="Calibri" w:hAnsi="Calibri"/>
          <w:color w:val="000000"/>
          <w:sz w:val="18"/>
        </w:rPr>
        <w:t xml:space="preserve">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p>
    <w:p>
      <w:pPr>
        <w:pStyle w:val="BodyText"/>
        <w:spacing w:before="160" w:after="120"/>
      </w:pPr>
      <w:r>
        <w:rPr>
          <w:rFonts w:ascii="Calibri" w:hAnsi="Calibri"/>
          <w:b/>
          <w:bCs/>
          <w:color w:val="2E74B5"/>
          <w:sz w:val="20"/>
        </w:rPr>
        <w:t xml:space="preserve">Master patient index (MPI)</w:t>
      </w:r>
      <w:r>
        <w:rPr>
          <w:rFonts w:ascii="Calibri" w:hAnsi="Calibri"/>
          <w:color w:val="000000"/>
          <w:sz w:val="18"/>
        </w:rPr>
        <w:br/>
      </w:r>
      <w:r>
        <w:rPr>
          <w:rFonts w:ascii="Calibri" w:hAnsi="Calibri"/>
          <w:color w:val="000000"/>
          <w:sz w:val="18"/>
        </w:rPr>
        <w:t xml:space="preserve">A centralized database that maintains a consistent patient identity across multiple healthcare organizations, enabling reliable matching of records from different systems for the same patient.</w:t>
      </w:r>
    </w:p>
    <w:p>
      <w:pPr>
        <w:pStyle w:val="BodyText"/>
        <w:spacing w:before="160" w:after="120"/>
      </w:pPr>
      <w:r>
        <w:rPr>
          <w:rFonts w:ascii="Calibri" w:hAnsi="Calibri"/>
          <w:b/>
          <w:bCs/>
          <w:color w:val="2E74B5"/>
          <w:sz w:val="20"/>
        </w:rPr>
        <w:t xml:space="preserve">SaMD (Software as Medical Device)</w:t>
      </w:r>
      <w:r>
        <w:rPr>
          <w:rFonts w:ascii="Calibri" w:hAnsi="Calibri"/>
          <w:color w:val="000000"/>
          <w:sz w:val="18"/>
        </w:rPr>
        <w:br/>
      </w:r>
      <w:r>
        <w:rPr>
          <w:rFonts w:ascii="Calibri" w:hAnsi="Calibri"/>
          <w:color w:val="000000"/>
          <w:sz w:val="18"/>
        </w:rPr>
        <w:t xml:space="preserve">FDA regulatory category for software that performs medical functions: diagnosing, treating, mitigating, or preventing disease. Clinical AI tools that influence clinical decisions may be SaMDs subject to FDA clearance requirements.</w:t>
      </w:r>
    </w:p>
    <w:p>
      <w:pPr>
        <w:pStyle w:val="BodyText"/>
        <w:spacing w:before="160" w:after="120"/>
      </w:pPr>
      <w:r>
        <w:rPr>
          <w:rFonts w:ascii="Calibri" w:hAnsi="Calibri"/>
          <w:b/>
          <w:bCs/>
          <w:color w:val="2E74B5"/>
          <w:sz w:val="20"/>
        </w:rPr>
        <w:t xml:space="preserve">Alert fatigue</w:t>
      </w:r>
      <w:r>
        <w:rPr>
          <w:rFonts w:ascii="Calibri" w:hAnsi="Calibri"/>
          <w:color w:val="000000"/>
          <w:sz w:val="18"/>
        </w:rPr>
        <w:br/>
      </w:r>
      <w:r>
        <w:rPr>
          <w:rFonts w:ascii="Calibri" w:hAnsi="Calibri"/>
          <w:color w:val="000000"/>
          <w:sz w:val="18"/>
        </w:rPr>
        <w:t xml:space="preserve">The tendency of clinicians to automatically override EHR alerts due to their excessive volume and poor specificity, rendering the alert system ineffective. A design problem, not a clinician behavior problem — effective CDS is specific, actionable, and workflow-integrated.</w:t>
      </w:r>
    </w:p>
    <w:p>
      <w:pPr>
        <w:pStyle w:val="BodyText"/>
        <w:spacing w:before="160" w:after="120"/>
      </w:pPr>
      <w:r>
        <w:rPr>
          <w:rFonts w:ascii="Calibri" w:hAnsi="Calibri"/>
          <w:b/>
          <w:bCs/>
          <w:color w:val="2E74B5"/>
          <w:sz w:val="20"/>
        </w:rPr>
        <w:t xml:space="preserve">CommonWell / Carequality</w:t>
      </w:r>
      <w:r>
        <w:rPr>
          <w:rFonts w:ascii="Calibri" w:hAnsi="Calibri"/>
          <w:color w:val="000000"/>
          <w:sz w:val="18"/>
        </w:rPr>
        <w:br/>
      </w:r>
      <w:r>
        <w:rPr>
          <w:rFonts w:ascii="Calibri" w:hAnsi="Calibri"/>
          <w:color w:val="000000"/>
          <w:sz w:val="18"/>
        </w:rPr>
        <w:t xml:space="preserve">National health data exchange networks that enable FHIR-based record sharing between health systems across organizational boundaries. VITL participates in CommonWell; Vermont CIN membership would enable access to both networks for out-of-state record retrieval.</w:t>
      </w:r>
    </w:p>
    <w:p>
      <w:pPr>
        <w:pStyle w:val="BodyText"/>
        <w:spacing w:before="160" w:after="120"/>
      </w:pPr>
      <w:r>
        <w:rPr>
          <w:rFonts w:ascii="Calibri" w:hAnsi="Calibri"/>
          <w:b/>
          <w:bCs/>
          <w:color w:val="2E74B5"/>
          <w:sz w:val="20"/>
        </w:rPr>
        <w:t xml:space="preserve">Change Healthcare attack</w:t>
      </w:r>
      <w:r>
        <w:rPr>
          <w:rFonts w:ascii="Calibri" w:hAnsi="Calibri"/>
          <w:color w:val="000000"/>
          <w:sz w:val="18"/>
        </w:rPr>
        <w:br/>
      </w:r>
      <w:r>
        <w:rPr>
          <w:rFonts w:ascii="Calibri" w:hAnsi="Calibri"/>
          <w:color w:val="000000"/>
          <w:sz w:val="18"/>
        </w:rPr>
        <w:t xml:space="preserve">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p>
    <w:p>
      <w:pPr>
        <w:pStyle w:val="BodyText"/>
        <w:spacing w:before="160" w:after="120"/>
      </w:pPr>
      <w:r>
        <w:rPr>
          <w:rFonts w:ascii="Calibri" w:hAnsi="Calibri"/>
          <w:b/>
          <w:bCs/>
          <w:color w:val="2E74B5"/>
          <w:sz w:val="20"/>
        </w:rPr>
        <w:t xml:space="preserve">MSSP (Managed Security Service Provider)</w:t>
      </w:r>
      <w:r>
        <w:rPr>
          <w:rFonts w:ascii="Calibri" w:hAnsi="Calibri"/>
          <w:color w:val="000000"/>
          <w:sz w:val="18"/>
        </w:rPr>
        <w:br/>
      </w:r>
      <w:r>
        <w:rPr>
          <w:rFonts w:ascii="Calibri" w:hAnsi="Calibri"/>
          <w:color w:val="000000"/>
          <w:sz w:val="18"/>
        </w:rPr>
        <w:t xml:space="preserve">A third-party vendor providing outsourced security operations services — monitoring, threat detection, incident response — enabling organizations without internal security staff to maintain enterprise-level cybersecurity posture.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JAMA Network Open ambient scribe study (2024).</w:t>
      </w:r>
    </w:p>
    <w:p>
      <w:r>
        <w:br w:type="page"/>
      </w:r>
    </w:p>
    <w:p>
      <w:pPr>
        <w:pStyle w:val="Heading1"/>
      </w:pPr>
      <w:bookmarkStart w:id="1171" w:name="_Toc1170"/>
      <w:r>
        <w:rPr>
          <w:b/>
          <w:bCs/>
          <w:color w:val="161B22"/>
        </w:rPr>
        <w:t xml:space="preserve">Chapter 6: The Economics Pillar — Global Budgets, Reference-Based Pricing, and Financial Reform</w:t>
      </w:r>
      <w:bookmarkEnd w:id="117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mandatory reference-based pricing and global hospital budgets represent the most direct attempt by any American state to break the fee-for-service incentive structure that makes population health management financially irrational.</w:t>
      </w:r>
    </w:p>
    <w:p>
      <w:pPr>
        <w:pStyle w:val="BodyText"/>
      </w:pPr>
      <w:r>
        <w:rPr>
          <w:i/>
          <w:iCs/>
        </w:rPr>
        <w:t xml:space="preserve">Payment reform is the precondition on which all other transformation depends. This chapter develops reference-based pricing mechanics, global budget architecture, and what Maryland’s decade of evidence proves.</w:t>
      </w:r>
    </w:p>
    <w:p>
      <w:pPr>
        <w:pStyle w:val="Heading2"/>
        <w:pBdr>
          <w:top w:val="single" w:sz="6" w:space="10" w:color="C9D2DF"/>
        </w:pBdr>
      </w:pPr>
      <w:r>
        <w:rPr>
          <w:color w:val="161B22"/>
        </w:rPr>
        <w:t xml:space="preserve">6.1  </w:t>
      </w:r>
      <w:bookmarkStart w:id="1172" w:name="_Toc1171"/>
      <w:r>
        <w:rPr>
          <w:b/>
          <w:bCs/>
          <w:color w:val="161B22"/>
        </w:rPr>
        <w:t xml:space="preserve">The Economics Pillar: Why Payment Reform Is the Master Variable</w:t>
      </w:r>
      <w:bookmarkEnd w:id="1172"/>
    </w:p>
    <w:p>
      <w:pPr>
        <w:pStyle w:val="FirstParagraph"/>
      </w:pPr>
      <w:r>
        <w:t xml:space="preserve">Of the six pillars in the six-pillar framework, the Economics pillar is the one that determines whether the other five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the precondition on which all other transformation depends.</w:t>
      </w:r>
    </w:p>
    <w:p>
      <w:pPr>
        <w:pStyle w:val="BodyText"/>
      </w:pPr>
      <w: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 is the most complete real-world laboratory for these economic questions currently operating in the United States.</w:t>
      </w:r>
    </w:p>
    <w:p>
      <w:pPr>
        <w:pStyle w:val="Heading2"/>
        <w:pBdr>
          <w:top w:val="single" w:sz="6" w:space="10" w:color="C9D2DF"/>
        </w:pBdr>
      </w:pPr>
      <w:r>
        <w:rPr>
          <w:color w:val="161B22"/>
        </w:rPr>
        <w:t xml:space="preserve">6.2  </w:t>
      </w:r>
      <w:bookmarkStart w:id="1173" w:name="_Toc1172"/>
      <w:r>
        <w:rPr>
          <w:b/>
          <w:bCs/>
          <w:color w:val="161B22"/>
        </w:rPr>
        <w:t xml:space="preserve">The Fee-for-Service Trap — Why the Current System Fails</w:t>
      </w:r>
      <w:bookmarkEnd w:id="1173"/>
    </w:p>
    <w:p>
      <w:pPr>
        <w:pStyle w:val="FirstParagraph"/>
      </w:pPr>
      <w: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pPr>
        <w:pStyle w:val="Heading3"/>
      </w:pPr>
      <w:r>
        <w:rPr>
          <w:color w:val="161B22"/>
        </w:rPr>
        <w:t xml:space="preserve">6.2.1  </w:t>
      </w:r>
      <w:bookmarkStart w:id="1174" w:name="_Toc1173"/>
      <w:r>
        <w:rPr>
          <w:b/>
          <w:bCs/>
          <w:color w:val="161B22"/>
        </w:rPr>
        <w:t xml:space="preserve">The Volume Incentive Problem</w:t>
      </w:r>
      <w:bookmarkEnd w:id="1174"/>
    </w:p>
    <w:p>
      <w:pPr>
        <w:pStyle w:val="FirstParagraph"/>
      </w:pPr>
      <w: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pPr>
        <w:pStyle w:val="BodyText"/>
      </w:pPr>
      <w: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pPr>
        <w:pStyle w:val="PullQuote"/>
      </w:pPr>
      <w:r>
        <w:rPr>
          <w:rFonts w:ascii="Garamond" w:hAnsi="Garamond"/>
          <w:i/>
          <w:color w:val="1A1A1A"/>
          <w:sz w:val="22"/>
        </w:rPr>
        <w:t xml:space="preserve">“The concept of the global budget is the fundamental piece that flipped the incentives for hospitals in the right direction. It was such a monumental change, a sea change, in the way that hospitals thought about raising revenue.”</w:t>
      </w:r>
    </w:p>
    <w:p>
      <w:pPr>
        <w:pStyle w:val="QuoteAttr"/>
        <w:keepNext w:val="false"/>
      </w:pPr>
      <w:r>
        <w:rPr>
          <w:rFonts w:ascii="Garamond" w:hAnsi="Garamond"/>
          <w:b w:val="0"/>
          <w:i w:val="0"/>
          <w:color w:val="333333"/>
          <w:sz w:val="19"/>
        </w:rPr>
        <w:t xml:space="preserve">— Maryland state regulator, quoted in JAMA Network Open study of the Maryland All-Payer Model</w:t>
      </w:r>
    </w:p>
    <w:p>
      <w:pPr>
        <w:pStyle w:val="Heading3"/>
        <w:keepNext w:val="false"/>
      </w:pPr>
      <w:r>
        <w:rPr>
          <w:color w:val="161B22"/>
        </w:rPr>
        <w:t xml:space="preserve">6.2.2  </w:t>
      </w:r>
      <w:bookmarkStart w:id="1175" w:name="_Toc1174"/>
      <w:r>
        <w:rPr>
          <w:b/>
          <w:bCs/>
          <w:color w:val="161B22"/>
        </w:rPr>
        <w:t xml:space="preserve">The Price Extraction Problem</w:t>
      </w:r>
      <w:bookmarkEnd w:id="1175"/>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417%</w:t>
            </w:r>
          </w:p>
          <w:p>
            <w:pPr>
              <w:jc w:val="center"/>
              <w:spacing w:after="40"/>
            </w:pPr>
            <w:r>
              <w:rPr>
                <w:rFonts w:ascii="Calibri" w:hAnsi="Calibri"/>
                <w:b/>
                <w:sz w:val="16"/>
                <w:color w:val="1B3A6B"/>
              </w:rPr>
              <w:t>UVMMC Outpatient vs. Medicare</w:t>
            </w:r>
          </w:p>
        </w:tc>
        <w:tc>
          <w:tcPr>
            <w:tcW w:w="2268" w:type="dxa"/>
            <w:shd w:val="clear" w:color="auto" w:fill="E8F0FB"/>
            <w:vAlign w:val="center"/>
          </w:tcPr>
          <w:p>
            <w:pPr>
              <w:jc w:val="center"/>
              <w:spacing w:after="20" w:before="40"/>
            </w:pPr>
            <w:r>
              <w:rPr>
                <w:rFonts w:ascii="Calibri" w:hAnsi="Calibri"/>
                <w:b/>
                <w:sz w:val="16"/>
                <w:color w:val="1B3A6B"/>
              </w:rPr>
              <w:t>250-300%</w:t>
            </w:r>
          </w:p>
          <w:p>
            <w:pPr>
              <w:jc w:val="center"/>
              <w:spacing w:after="40"/>
            </w:pPr>
            <w:r>
              <w:rPr>
                <w:rFonts w:ascii="Calibri" w:hAnsi="Calibri"/>
                <w:b/>
                <w:sz w:val="16"/>
                <w:color w:val="1B3A6B"/>
              </w:rPr>
              <w:t>Average VT Commercial Rate</w:t>
            </w:r>
          </w:p>
        </w:tc>
        <w:tc>
          <w:tcPr>
            <w:tcW w:w="2268" w:type="dxa"/>
            <w:shd w:val="clear" w:color="auto" w:fill="E8F0FB"/>
            <w:vAlign w:val="center"/>
          </w:tcPr>
          <w:p>
            <w:pPr>
              <w:jc w:val="center"/>
              <w:spacing w:after="20" w:before="40"/>
            </w:pPr>
            <w:r>
              <w:rPr>
                <w:rFonts w:ascii="Calibri" w:hAnsi="Calibri"/>
                <w:b/>
                <w:sz w:val="16"/>
                <w:color w:val="1B3A6B"/>
              </w:rPr>
              <w:t>~136%</w:t>
            </w:r>
          </w:p>
          <w:p>
            <w:pPr>
              <w:jc w:val="center"/>
              <w:spacing w:after="40"/>
            </w:pPr>
            <w:r>
              <w:rPr>
                <w:rFonts w:ascii="Calibri" w:hAnsi="Calibri"/>
                <w:b/>
                <w:sz w:val="16"/>
                <w:color w:val="1B3A6B"/>
              </w:rPr>
              <w:t>Approx. Break-Even Point</w:t>
            </w:r>
          </w:p>
        </w:tc>
        <w:tc>
          <w:tcPr>
            <w:tcW w:w="2268" w:type="dxa"/>
            <w:shd w:val="clear" w:color="auto" w:fill="E8F0FB"/>
            <w:vAlign w:val="center"/>
          </w:tcPr>
          <w:p>
            <w:pPr>
              <w:jc w:val="center"/>
              <w:spacing w:after="20" w:before="40"/>
            </w:pPr>
            <w:r>
              <w:rPr>
                <w:rFonts w:ascii="Calibri" w:hAnsi="Calibri"/>
                <w:b/>
                <w:sz w:val="16"/>
                <w:color w:val="1B3A6B"/>
              </w:rPr>
              <w:t>$400M+</w:t>
            </w:r>
          </w:p>
          <w:p>
            <w:pPr>
              <w:jc w:val="center"/>
              <w:spacing w:after="40"/>
            </w:pPr>
            <w:r>
              <w:rPr>
                <w:rFonts w:ascii="Calibri" w:hAnsi="Calibri"/>
                <w:b/>
                <w:sz w:val="16"/>
                <w:color w:val="1B3A6B"/>
              </w:rPr>
              <w:t>Projected 5-Year Savings</w:t>
            </w:r>
          </w:p>
        </w:tc>
      </w:tr>
    </w:tbl>
    <w:p>
      <w:pPr>
        <w:spacing w:after="120"/>
      </w:pPr>
    </w:p>
    <w:p>
      <w:pPr>
        <w:pStyle w:val="BodyText"/>
        <w:keepNext w:val="false"/>
      </w:pPr>
      <w: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pPr>
        <w:pStyle w:val="BodyText"/>
        <w:keepNext w:val="false"/>
      </w:pPr>
      <w:r>
        <w:t xml:space="preserve">Vermont’s price data, documented in the GMCB’s February 2026 report and confirmed by independent analyses, is among the most extreme in the country:</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commercial-to-Medicare ratio, Vermont hospitals 250–300% vs. ~136% break-even point</w:t>
            </w:r>
          </w:p>
        </w:tc>
        <w:tc>
          <w:tcPr>
            <w:shd w:val="clear" w:color="auto" w:fill="1B3A6B"/>
            <w:tcW w:w="4536" w:type="dxa"/>
          </w:tcPr>
          <w:p>
            <w:pPr>
              <w:pStyle w:val="Compact"/>
              <w:jc w:val="left"/>
            </w:pPr>
            <w:r>
              <w:rPr>
                <w:b/>
                <w:color w:val="FFFFFF"/>
                <w:sz w:val="18"/>
              </w:rPr>
              <w:t xml:space="preserve">Outpatient imaging — worst case 944% of Medicare rate at one Vermont hospital</w:t>
            </w:r>
          </w:p>
        </w:tc>
      </w:tr>
      <w:tr>
        <w:trPr/>
        <w:tc>
          <w:tcPr>
            <w:tcW w:w="4536" w:type="dxa"/>
          </w:tcPr>
          <w:p>
            <w:pPr>
              <w:pStyle w:val="Compact"/>
              <w:jc w:val="left"/>
            </w:pPr>
            <w:r>
              <w:rPr>
                <w:sz w:val="18"/>
              </w:rPr>
              <w:t xml:space="preserve">UVMMC outpatient charges (2022) 417% of Medicare — among highest nationally (RAND)</w:t>
            </w:r>
          </w:p>
        </w:tc>
        <w:tc>
          <w:tcPr>
            <w:tcW w:w="4536" w:type="dxa"/>
          </w:tcPr>
          <w:p>
            <w:pPr>
              <w:pStyle w:val="Compact"/>
              <w:jc w:val="left"/>
            </w:pPr>
            <w:r>
              <w:rPr>
                <w:sz w:val="18"/>
              </w:rPr>
              <w:t xml:space="preserve">Potential savings at 200% Medicare (2018–2023) $400M VEHI + VSEA combined, per GMCB analysis</w:t>
            </w:r>
          </w:p>
        </w:tc>
      </w:tr>
    </w:tbl>
    <w:p>
      <w:pPr>
        <w:pStyle w:val="Caption"/>
        <w:spacing w:before="120"/>
      </w:pPr>
      <w:r>
        <w:rPr>
          <w:i/>
          <w:iCs/>
        </w:rPr>
        <w:t xml:space="preserve">Figure 6.1 — Vermont hospital commercial pricing vs. Medicare and break-even benchmarks. Sources: GMCB Act 68 RBP Update (February 2026); RAND Hospital Price Transparency Study.</w:t>
      </w:r>
    </w:p>
    <w:p>
      <w:pPr>
        <w:pStyle w:val="BodyText"/>
      </w:pPr>
      <w:r>
        <w:t xml:space="preserve">The gap between the break-even point (~136% of Medicare) and the actual commercial prices being charged (250–300% on average, with outliers reaching 944%) is not driven by higher quality, better outcomes, or greater complexity. Oliver Wyman’s analysis found no relationship between price and quality across Vermont’s hospital system. It is driven by market power — the ability of a dominant provider to demand above-cost prices from payers who have no viable alternative for their members.</w:t>
      </w:r>
    </w:p>
    <w:p>
      <w:pPr>
        <w:pStyle w:val="BodyText"/>
        <w:keepNext w:val="false"/>
      </w:pPr>
      <w: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individual market average monthly premium from $456 in 2018 to $948 in 2024, a 108% increase in six years — tracks hospital charge growth with high fidelity. These are not coincidental trends. They are the mathematical output of a price structure that has no regulatory discipline.</w:t>
      </w:r>
    </w:p>
    <w:p>
      <w:pPr>
        <w:pStyle w:val="BodyText"/>
        <w:keepNext w:val="false"/>
      </w:pPr>
      <w:r>
        <w:rPr>
          <w:b/>
          <w:bCs/>
        </w:rPr>
        <w:t xml:space="preserve">Vermont average monthly silver marketplace premium (2018–2024)</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2018</w:t>
            </w:r>
          </w:p>
        </w:tc>
        <w:tc>
          <w:tcPr>
            <w:shd w:val="clear" w:color="auto" w:fill="1B3A6B"/>
            <w:tcW w:w="4536" w:type="dxa"/>
          </w:tcPr>
          <w:p>
            <w:pPr>
              <w:pStyle w:val="Compact"/>
              <w:jc w:val="right"/>
            </w:pPr>
            <w:r>
              <w:rPr>
                <w:b/>
                <w:color w:val="FFFFFF"/>
                <w:sz w:val="18"/>
              </w:rPr>
              <w:t xml:space="preserve">$456</w:t>
            </w:r>
          </w:p>
        </w:tc>
      </w:tr>
      <w:tr>
        <w:trPr>
          <w:cantSplit/>
        </w:trPr>
        <w:tc>
          <w:tcPr>
            <w:tcW w:w="4536" w:type="dxa"/>
          </w:tcPr>
          <w:p>
            <w:pPr>
              <w:pStyle w:val="Compact"/>
              <w:jc w:val="left"/>
            </w:pPr>
            <w:r>
              <w:rPr>
                <w:sz w:val="18"/>
              </w:rPr>
              <w:t xml:space="preserve">2019</w:t>
            </w:r>
          </w:p>
        </w:tc>
        <w:tc>
          <w:tcPr>
            <w:tcW w:w="4536" w:type="dxa"/>
          </w:tcPr>
          <w:p>
            <w:pPr>
              <w:pStyle w:val="Compact"/>
              <w:jc w:val="right"/>
            </w:pPr>
            <w:r>
              <w:rPr>
                <w:sz w:val="18"/>
              </w:rPr>
              <w:t xml:space="preserve">$474</w:t>
            </w:r>
          </w:p>
        </w:tc>
      </w:tr>
      <w:tr>
        <w:trPr/>
        <w:tc>
          <w:tcPr>
            <w:tcW w:w="4536" w:type="dxa"/>
          </w:tcPr>
          <w:p>
            <w:pPr>
              <w:pStyle w:val="Compact"/>
              <w:jc w:val="left"/>
            </w:pPr>
            <w:r>
              <w:rPr>
                <w:sz w:val="18"/>
              </w:rPr>
              <w:t xml:space="preserve">2020</w:t>
            </w:r>
          </w:p>
        </w:tc>
        <w:tc>
          <w:tcPr>
            <w:tcW w:w="4536" w:type="dxa"/>
          </w:tcPr>
          <w:p>
            <w:pPr>
              <w:pStyle w:val="Compact"/>
              <w:jc w:val="right"/>
            </w:pPr>
            <w:r>
              <w:rPr>
                <w:sz w:val="18"/>
              </w:rPr>
              <w:t xml:space="preserve">$468</w:t>
            </w:r>
          </w:p>
        </w:tc>
      </w:tr>
      <w:tr>
        <w:trPr/>
        <w:tc>
          <w:tcPr>
            <w:tcW w:w="4536" w:type="dxa"/>
          </w:tcPr>
          <w:p>
            <w:pPr>
              <w:pStyle w:val="Compact"/>
              <w:jc w:val="left"/>
            </w:pPr>
            <w:r>
              <w:rPr>
                <w:sz w:val="18"/>
              </w:rPr>
              <w:t xml:space="preserve">2021</w:t>
            </w:r>
          </w:p>
        </w:tc>
        <w:tc>
          <w:tcPr>
            <w:tcW w:w="4536" w:type="dxa"/>
          </w:tcPr>
          <w:p>
            <w:pPr>
              <w:pStyle w:val="Compact"/>
              <w:jc w:val="right"/>
            </w:pPr>
            <w:r>
              <w:rPr>
                <w:sz w:val="18"/>
              </w:rPr>
              <w:t xml:space="preserve">$580</w:t>
            </w:r>
          </w:p>
        </w:tc>
      </w:tr>
      <w:tr>
        <w:trPr/>
        <w:tc>
          <w:tcPr>
            <w:tcW w:w="4536" w:type="dxa"/>
          </w:tcPr>
          <w:p>
            <w:pPr>
              <w:pStyle w:val="Compact"/>
              <w:jc w:val="left"/>
            </w:pPr>
            <w:r>
              <w:rPr>
                <w:sz w:val="18"/>
              </w:rPr>
              <w:t xml:space="preserve">2022</w:t>
            </w:r>
          </w:p>
        </w:tc>
        <w:tc>
          <w:tcPr>
            <w:tcW w:w="4536" w:type="dxa"/>
          </w:tcPr>
          <w:p>
            <w:pPr>
              <w:pStyle w:val="Compact"/>
              <w:jc w:val="right"/>
            </w:pPr>
            <w:r>
              <w:rPr>
                <w:sz w:val="18"/>
              </w:rPr>
              <w:t xml:space="preserve">$730</w:t>
            </w:r>
          </w:p>
        </w:tc>
      </w:tr>
      <w:tr>
        <w:trPr/>
        <w:tc>
          <w:tcPr>
            <w:tcW w:w="4536" w:type="dxa"/>
          </w:tcPr>
          <w:p>
            <w:pPr>
              <w:pStyle w:val="Compact"/>
              <w:jc w:val="left"/>
            </w:pPr>
            <w:r>
              <w:rPr>
                <w:sz w:val="18"/>
              </w:rPr>
              <w:t xml:space="preserve">2023</w:t>
            </w:r>
          </w:p>
        </w:tc>
        <w:tc>
          <w:tcPr>
            <w:tcW w:w="4536" w:type="dxa"/>
          </w:tcPr>
          <w:p>
            <w:pPr>
              <w:pStyle w:val="Compact"/>
              <w:jc w:val="right"/>
            </w:pPr>
            <w:r>
              <w:rPr>
                <w:sz w:val="18"/>
              </w:rPr>
              <w:t xml:space="preserve">$875</w:t>
            </w:r>
          </w:p>
        </w:tc>
      </w:tr>
      <w:tr>
        <w:trPr>
          <w:cantSplit/>
        </w:trPr>
        <w:tc>
          <w:tcPr>
            <w:tcW w:w="4536" w:type="dxa"/>
          </w:tcPr>
          <w:p>
            <w:pPr>
              <w:pStyle w:val="Compact"/>
              <w:jc w:val="left"/>
            </w:pPr>
            <w:r>
              <w:rPr>
                <w:sz w:val="18"/>
              </w:rPr>
              <w:t xml:space="preserve">2024</w:t>
            </w:r>
          </w:p>
        </w:tc>
        <w:tc>
          <w:tcPr>
            <w:tcW w:w="4536" w:type="dxa"/>
          </w:tcPr>
          <w:p>
            <w:pPr>
              <w:pStyle w:val="Compact"/>
              <w:jc w:val="right"/>
            </w:pPr>
            <w:r>
              <w:rPr>
                <w:sz w:val="18"/>
              </w:rPr>
              <w:t xml:space="preserve">$948</w:t>
            </w:r>
          </w:p>
        </w:tc>
      </w:tr>
    </w:tbl>
    <w:p>
      <w:pPr>
        <w:pStyle w:val="Caption"/>
        <w:spacing w:before="120"/>
      </w:pPr>
      <w:r>
        <w:rPr>
          <w:i/>
          <w:iCs/>
        </w:rPr>
        <w:t xml:space="preserve">Figure 6.2 — Vermont silver marketplace premium trajectory 2018–2024, showing 108% increase over six years. Source: Oliver Wyman Act 167 Report; GMCB analysis.</w:t>
      </w:r>
    </w:p>
    <w:p>
      <w:pPr>
        <w:pStyle w:val="Heading3"/>
      </w:pPr>
      <w:r>
        <w:rPr>
          <w:color w:val="161B22"/>
        </w:rPr>
        <w:t xml:space="preserve">6.2.3  </w:t>
      </w:r>
      <w:bookmarkStart w:id="1176" w:name="_Toc1175"/>
      <w:r>
        <w:rPr>
          <w:b/>
          <w:bCs/>
          <w:color w:val="161B22"/>
        </w:rPr>
        <w:t xml:space="preserve">The Cross-Subsidy Collapse</w:t>
      </w:r>
      <w:bookmarkEnd w:id="1176"/>
    </w:p>
    <w:p>
      <w:pPr>
        <w:pStyle w:val="FirstParagraph"/>
      </w:pPr>
      <w: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pPr>
        <w:pStyle w:val="BodyText"/>
        <w:keepNext w:val="false"/>
      </w:pPr>
      <w:r>
        <w:t xml:space="preserve">Vermont’s demographic trajectory, documented in detail by Oliver Wyman, is destroying the cross-subsidy model. As the 65+ population expands from 21.7% in 2020 toward 30%+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pPr>
        <w:pStyle w:val="BodyText"/>
        <w:keepNext w:val="false"/>
      </w:pPr>
      <w:r>
        <w:t xml:space="preserve">Oliver Wyman’s financial projections capture where this spiral leads: under the conservative scenario, 13 of Vermont’s 14 hospitals report operating losses by 2028, with a cumulative 5-year system deficit of $700 million to $2.4 billion depending on expense growth assumptions. The hospital system does not gradually lose efficiency under this trajectory. It collapses.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p>
        </w:tc>
      </w:tr>
    </w:tbl>
    <w:p>
      <w:pPr>
        <w:spacing w:after="120"/>
      </w:pPr>
    </w:p>
    <w:p>
      <w:pPr>
        <w:pStyle w:val="Heading2"/>
        <w:pBdr>
          <w:top w:val="single" w:sz="6" w:space="10" w:color="C9D2DF"/>
        </w:pBdr>
      </w:pPr>
      <w:r>
        <w:rPr>
          <w:color w:val="161B22"/>
        </w:rPr>
        <w:t xml:space="preserve">6.3  </w:t>
      </w:r>
      <w:bookmarkStart w:id="1177" w:name="_Toc1176"/>
      <w:r>
        <w:rPr>
          <w:b/>
          <w:bCs/>
          <w:color w:val="161B22"/>
        </w:rPr>
        <w:t xml:space="preserve">Reference-Based Pricing — Mechanics, Evidence, and Vermont’s Design</w:t>
      </w:r>
      <w:bookmarkEnd w:id="1177"/>
    </w:p>
    <w:p>
      <w:pPr>
        <w:pStyle w:val="FirstParagraph"/>
      </w:pPr>
      <w: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pPr>
        <w:pStyle w:val="Heading3"/>
      </w:pPr>
      <w:r>
        <w:rPr>
          <w:color w:val="161B22"/>
        </w:rPr>
        <w:t xml:space="preserve">6.3.1  </w:t>
      </w:r>
      <w:bookmarkStart w:id="1178" w:name="_Toc1177"/>
      <w:r>
        <w:rPr>
          <w:b/>
          <w:bCs/>
          <w:color w:val="161B22"/>
        </w:rPr>
        <w:t xml:space="preserve">How RBP Works: The Mechanism</w:t>
      </w:r>
      <w:bookmarkEnd w:id="1178"/>
    </w:p>
    <w:p>
      <w:pPr>
        <w:pStyle w:val="FirstParagraph"/>
      </w:pPr>
      <w: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pPr>
        <w:pStyle w:val="BodyText"/>
      </w:pPr>
      <w:r>
        <w:t xml:space="preserve">Act 68’s RBP architecture reflects four design principles that distinguish Vermont’s approach from weaker price transparency experiments:</w:t>
      </w:r>
    </w:p>
    <w:p>
      <w:pPr>
        <w:pStyle w:val="Compact"/>
        <w:numPr>
          <w:ilvl w:val="0"/>
          <w:numId w:val="1019"/>
        </w:numPr>
        <w:keepLines w:val="true"/>
        <w:keepNext w:val="true"/>
      </w:pPr>
      <w:r>
        <w:t xml:space="preserve">Mandatory, not voluntary — every hospital, every commercial payer, by FY2027</w:t>
      </w:r>
    </w:p>
    <w:p>
      <w:pPr>
        <w:pStyle w:val="Compact"/>
        <w:numPr>
          <w:ilvl w:val="0"/>
          <w:numId w:val="1019"/>
        </w:numPr>
        <w:keepLines w:val="true"/>
        <w:keepNext w:val="true"/>
      </w:pPr>
      <w:r>
        <w:t xml:space="preserve">Binding ceiling, not advisory guidance — hospitals cannot charge or collect more than the established rate</w:t>
      </w:r>
    </w:p>
    <w:p>
      <w:pPr>
        <w:pStyle w:val="Compact"/>
        <w:numPr>
          <w:ilvl w:val="0"/>
          <w:numId w:val="1019"/>
        </w:numPr>
        <w:keepLines w:val="true"/>
        <w:keepNext w:val="true"/>
      </w:pPr>
      <w:r>
        <w:t xml:space="preserve">Transparent benchmark — Medicare rates provide a nationally comparable, publicly available anchor</w:t>
      </w:r>
    </w:p>
    <w:p>
      <w:pPr>
        <w:pStyle w:val="Compact"/>
        <w:numPr>
          <w:ilvl w:val="0"/>
          <w:numId w:val="1019"/>
        </w:numPr>
        <w:keepLines w:val="true"/>
      </w:pPr>
      <w:r>
        <w:t xml:space="preserve">Premium passthrough monitoring — GMCB and DFR must verify that price reductions translate to lower premiums</w:t>
      </w:r>
    </w:p>
    <w:p>
      <w:pPr>
        <w:pStyle w:val="FirstParagraph"/>
      </w:pPr>
      <w:r>
        <w:t xml:space="preserve">GMCB’s February 2026 report introduced one additional design refinement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pPr>
        <w:pStyle w:val="Heading3"/>
        <w:keepNext w:val="false"/>
      </w:pPr>
      <w:r>
        <w:rPr>
          <w:color w:val="161B22"/>
        </w:rPr>
        <w:t xml:space="preserve">6.3.2  </w:t>
      </w:r>
      <w:bookmarkStart w:id="1179" w:name="_Toc1178"/>
      <w:r>
        <w:rPr>
          <w:b/>
          <w:bCs/>
          <w:color w:val="161B22"/>
        </w:rPr>
        <w:t xml:space="preserve">The Evidence Base: Cross-State Results</w:t>
      </w:r>
      <w:bookmarkEnd w:id="1179"/>
    </w:p>
    <w:p>
      <w:pPr>
        <w:pStyle w:val="FirstParagraph"/>
        <w:keepNext w:val="false"/>
      </w:pPr>
      <w:r>
        <w:t xml:space="preserve">Vermont is not designing RBP in a vacuum. Three states have implemented meaningful price reference programs with documented results, providing the evidence base for Vermont’s design choices.</w:t>
      </w:r>
    </w:p>
    <w:tbl>
      <w:tblPr>
        <w:tblStyle w:val="HTRTable"/>
        <w:tblLook w:firstRow="1" w:lastRow="0" w:firstColumn="0" w:lastColumn="0" w:noHBand="0" w:noVBand="1" w:val="0020"/>
        <w:tblW w:w="9072" w:type="dxa"/>
        <w:tblLayout w:type="fixed"/>
      </w:tblPr>
      <w:tblGrid>
        <w:gridCol w:w="1110"/>
        <w:gridCol w:w="2445"/>
        <w:gridCol w:w="2010"/>
        <w:gridCol w:w="3495"/>
      </w:tblGrid>
      <w:tr>
        <w:trPr>
          <w:tblHeader w:val="on"/>
          <w:cantSplit/>
        </w:trPr>
        <w:tc>
          <w:tcPr>
            <w:shd w:val="clear" w:color="auto" w:fill="1B3A6B"/>
            <w:tcW w:w="1110" w:type="dxa"/>
          </w:tcPr>
          <w:p>
            <w:pPr>
              <w:pStyle w:val="Compact"/>
              <w:jc w:val="left"/>
            </w:pPr>
            <w:r>
              <w:rPr>
                <w:b/>
                <w:color w:val="FFFFFF"/>
                <w:sz w:val="18"/>
              </w:rPr>
              <w:t xml:space="preserve">State / Program</w:t>
            </w:r>
          </w:p>
        </w:tc>
        <w:tc>
          <w:tcPr>
            <w:shd w:val="clear" w:color="auto" w:fill="1B3A6B"/>
            <w:tcW w:w="2445" w:type="dxa"/>
          </w:tcPr>
          <w:p>
            <w:pPr>
              <w:pStyle w:val="Compact"/>
              <w:jc w:val="left"/>
            </w:pPr>
            <w:r>
              <w:rPr>
                <w:b/>
                <w:color w:val="FFFFFF"/>
                <w:sz w:val="18"/>
              </w:rPr>
              <w:t xml:space="preserve">Design</w:t>
            </w:r>
          </w:p>
        </w:tc>
        <w:tc>
          <w:tcPr>
            <w:shd w:val="clear" w:color="auto" w:fill="1B3A6B"/>
            <w:tcW w:w="2010" w:type="dxa"/>
          </w:tcPr>
          <w:p>
            <w:pPr>
              <w:pStyle w:val="Compact"/>
              <w:jc w:val="left"/>
            </w:pPr>
            <w:r>
              <w:rPr>
                <w:b/>
                <w:color w:val="FFFFFF"/>
                <w:sz w:val="18"/>
              </w:rPr>
              <w:t xml:space="preserve">Scope</w:t>
            </w:r>
          </w:p>
        </w:tc>
        <w:tc>
          <w:tcPr>
            <w:shd w:val="clear" w:color="auto" w:fill="1B3A6B"/>
            <w:tcW w:w="3495" w:type="dxa"/>
          </w:tcPr>
          <w:p>
            <w:pPr>
              <w:pStyle w:val="Compact"/>
              <w:jc w:val="left"/>
            </w:pPr>
            <w:r>
              <w:rPr>
                <w:b/>
                <w:color w:val="FFFFFF"/>
                <w:sz w:val="18"/>
              </w:rPr>
              <w:t xml:space="preserve">Key Results</w:t>
            </w:r>
          </w:p>
        </w:tc>
      </w:tr>
      <w:tr>
        <w:trPr>
          <w:cantSplit/>
        </w:trPr>
        <w:tc>
          <w:tcPr>
            <w:tcW w:w="1110" w:type="dxa"/>
          </w:tcPr>
          <w:p>
            <w:pPr>
              <w:pStyle w:val="Compact"/>
              <w:jc w:val="left"/>
            </w:pPr>
            <w:r>
              <w:rPr>
                <w:sz w:val="18"/>
              </w:rPr>
              <w:t xml:space="preserve">Oregon (2019)</w:t>
            </w:r>
          </w:p>
        </w:tc>
        <w:tc>
          <w:tcPr>
            <w:tcW w:w="2445" w:type="dxa"/>
          </w:tcPr>
          <w:p>
            <w:pPr>
              <w:pStyle w:val="Compact"/>
              <w:jc w:val="left"/>
            </w:pPr>
            <w:r>
              <w:rPr>
                <w:sz w:val="18"/>
              </w:rPr>
              <w:t xml:space="preserve">200% of Medicare in-network; 185% out-of-network. CAH exemptions.</w:t>
            </w:r>
          </w:p>
        </w:tc>
        <w:tc>
          <w:tcPr>
            <w:tcW w:w="2010" w:type="dxa"/>
          </w:tcPr>
          <w:p>
            <w:pPr>
              <w:pStyle w:val="Compact"/>
              <w:jc w:val="left"/>
            </w:pPr>
            <w:r>
              <w:rPr>
                <w:sz w:val="18"/>
              </w:rPr>
              <w:t xml:space="preserve">State employee plan (~300,000 covered lives)</w:t>
            </w:r>
          </w:p>
        </w:tc>
        <w:tc>
          <w:tcPr>
            <w:tcW w:w="3495" w:type="dxa"/>
          </w:tcPr>
          <w:p>
            <w:pPr>
              <w:pStyle w:val="Compact"/>
              <w:jc w:val="left"/>
            </w:pPr>
            <w:r>
              <w:rPr>
                <w:sz w:val="18"/>
              </w:rPr>
              <w:t xml:space="preserve">$107.5M saved in first 27 months (Health Affairs). All 24 affected hospitals remained in-network. No documented access harm.</w:t>
            </w:r>
          </w:p>
        </w:tc>
      </w:tr>
      <w:tr>
        <w:trPr/>
        <w:tc>
          <w:tcPr>
            <w:tcW w:w="1110" w:type="dxa"/>
          </w:tcPr>
          <w:p>
            <w:pPr>
              <w:pStyle w:val="Compact"/>
              <w:jc w:val="left"/>
            </w:pPr>
            <w:r>
              <w:rPr>
                <w:sz w:val="18"/>
              </w:rPr>
              <w:t xml:space="preserve">Montana (2016)</w:t>
            </w:r>
          </w:p>
        </w:tc>
        <w:tc>
          <w:tcPr>
            <w:tcW w:w="2445" w:type="dxa"/>
          </w:tcPr>
          <w:p>
            <w:pPr>
              <w:pStyle w:val="Compact"/>
              <w:jc w:val="left"/>
            </w:pPr>
            <w:r>
              <w:rPr>
                <w:sz w:val="18"/>
              </w:rPr>
              <w:t xml:space="preserve">Direct contracting at % of Medicare for state employee plan.</w:t>
            </w:r>
          </w:p>
        </w:tc>
        <w:tc>
          <w:tcPr>
            <w:tcW w:w="2010" w:type="dxa"/>
          </w:tcPr>
          <w:p>
            <w:pPr>
              <w:pStyle w:val="Compact"/>
              <w:jc w:val="left"/>
            </w:pPr>
            <w:r>
              <w:rPr>
                <w:sz w:val="18"/>
              </w:rPr>
              <w:t xml:space="preserve">State employee plan</w:t>
            </w:r>
          </w:p>
        </w:tc>
        <w:tc>
          <w:tcPr>
            <w:tcW w:w="3495" w:type="dxa"/>
          </w:tcPr>
          <w:p>
            <w:pPr>
              <w:pStyle w:val="Compact"/>
              <w:jc w:val="left"/>
            </w:pPr>
            <w:r>
              <w:rPr>
                <w:sz w:val="18"/>
              </w:rPr>
              <w:t xml:space="preserve">$48M initial savings. Politically fragile without statutory mandate — illustrates Vermont’s correct choice to legislate rather than demonstrate.</w:t>
            </w:r>
          </w:p>
        </w:tc>
      </w:tr>
      <w:tr>
        <w:trPr/>
        <w:tc>
          <w:tcPr>
            <w:tcW w:w="1110" w:type="dxa"/>
          </w:tcPr>
          <w:p>
            <w:pPr>
              <w:pStyle w:val="Compact"/>
              <w:jc w:val="left"/>
            </w:pPr>
            <w:r>
              <w:rPr>
                <w:sz w:val="18"/>
              </w:rPr>
              <w:t xml:space="preserve">Washington (2021)</w:t>
            </w:r>
          </w:p>
        </w:tc>
        <w:tc>
          <w:tcPr>
            <w:tcW w:w="2445" w:type="dxa"/>
          </w:tcPr>
          <w:p>
            <w:pPr>
              <w:pStyle w:val="Compact"/>
              <w:jc w:val="left"/>
            </w:pPr>
            <w:r>
              <w:rPr>
                <w:sz w:val="18"/>
              </w:rPr>
              <w:t xml:space="preserve">‘Cascade Care’</w:t>
            </w:r>
            <w:r>
              <w:rPr>
                <w:sz w:val="18"/>
              </w:rPr>
              <w:t xml:space="preserve"> </w:t>
            </w:r>
            <w:r>
              <w:rPr>
                <w:sz w:val="18"/>
              </w:rPr>
              <w:t xml:space="preserve">public option. 160% of Medicare for participating networks.</w:t>
            </w:r>
          </w:p>
        </w:tc>
        <w:tc>
          <w:tcPr>
            <w:tcW w:w="2010" w:type="dxa"/>
          </w:tcPr>
          <w:p>
            <w:pPr>
              <w:pStyle w:val="Compact"/>
              <w:jc w:val="left"/>
            </w:pPr>
            <w:r>
              <w:rPr>
                <w:sz w:val="18"/>
              </w:rPr>
              <w:t xml:space="preserve">Voluntary public option</w:t>
            </w:r>
          </w:p>
        </w:tc>
        <w:tc>
          <w:tcPr>
            <w:tcW w:w="3495" w:type="dxa"/>
          </w:tcPr>
          <w:p>
            <w:pPr>
              <w:pStyle w:val="Compact"/>
              <w:jc w:val="left"/>
            </w:pPr>
            <w:r>
              <w:rPr>
                <w:sz w:val="18"/>
              </w:rPr>
              <w:t xml:space="preserve">Expanding to state employee plans. Growing commercial adoption.</w:t>
            </w:r>
          </w:p>
        </w:tc>
      </w:tr>
      <w:tr>
        <w:trPr/>
        <w:tc>
          <w:tcPr>
            <w:tcW w:w="1110" w:type="dxa"/>
          </w:tcPr>
          <w:p>
            <w:pPr>
              <w:pStyle w:val="Compact"/>
              <w:jc w:val="left"/>
            </w:pPr>
            <w:r>
              <w:rPr>
                <w:sz w:val="18"/>
              </w:rPr>
              <w:t xml:space="preserve">Maryland (2014–present)</w:t>
            </w:r>
          </w:p>
        </w:tc>
        <w:tc>
          <w:tcPr>
            <w:tcW w:w="2445" w:type="dxa"/>
          </w:tcPr>
          <w:p>
            <w:pPr>
              <w:pStyle w:val="Compact"/>
              <w:jc w:val="left"/>
            </w:pPr>
            <w:r>
              <w:rPr>
                <w:sz w:val="18"/>
              </w:rPr>
              <w:t xml:space="preserve">All-payer rate setting; hospitals receive fixed annual revenue (global budget). Medicare waiver.</w:t>
            </w:r>
          </w:p>
        </w:tc>
        <w:tc>
          <w:tcPr>
            <w:tcW w:w="2010" w:type="dxa"/>
          </w:tcPr>
          <w:p>
            <w:pPr>
              <w:pStyle w:val="Compact"/>
              <w:jc w:val="left"/>
            </w:pPr>
            <w:r>
              <w:rPr>
                <w:sz w:val="18"/>
              </w:rPr>
              <w:t xml:space="preserve">All payers, all hospitals statewide</w:t>
            </w:r>
          </w:p>
        </w:tc>
        <w:tc>
          <w:tcPr>
            <w:tcW w:w="3495" w:type="dxa"/>
          </w:tcPr>
          <w:p>
            <w:pPr>
              <w:pStyle w:val="Compact"/>
              <w:jc w:val="left"/>
            </w:pPr>
            <w:r>
              <w:rPr>
                <w:sz w:val="18"/>
              </w:rPr>
              <w:t xml:space="preserve">$1.4B in Medicare hospital savings to date. 7% reduction in hospital admissions. $800M reduction in hospital spending. Model extended and expanded.</w:t>
            </w:r>
          </w:p>
        </w:tc>
      </w:tr>
      <w:tr>
        <w:trPr>
          <w:cantSplit/>
        </w:trPr>
        <w:tc>
          <w:tcPr>
            <w:tcW w:w="1110" w:type="dxa"/>
          </w:tcPr>
          <w:p>
            <w:pPr>
              <w:pStyle w:val="Compact"/>
              <w:jc w:val="left"/>
            </w:pPr>
            <w:r>
              <w:rPr>
                <w:sz w:val="18"/>
              </w:rPr>
              <w:t xml:space="preserve">Vermont Act 68 (FY2027)</w:t>
            </w:r>
          </w:p>
        </w:tc>
        <w:tc>
          <w:tcPr>
            <w:tcW w:w="2445" w:type="dxa"/>
          </w:tcPr>
          <w:p>
            <w:pPr>
              <w:pStyle w:val="Compact"/>
              <w:jc w:val="left"/>
            </w:pPr>
            <w:r>
              <w:rPr>
                <w:sz w:val="18"/>
              </w:rPr>
              <w:t xml:space="preserve">Mandatory statewide RBP maximum set by GMCB rule. Initially commercial payers; excludes Medicare/Medicaid.</w:t>
            </w:r>
          </w:p>
        </w:tc>
        <w:tc>
          <w:tcPr>
            <w:tcW w:w="2010" w:type="dxa"/>
          </w:tcPr>
          <w:p>
            <w:pPr>
              <w:pStyle w:val="Compact"/>
              <w:jc w:val="left"/>
            </w:pPr>
            <w:r>
              <w:rPr>
                <w:sz w:val="18"/>
              </w:rPr>
              <w:t xml:space="preserve">All Vermont hospitals, all commercial payers</w:t>
            </w:r>
          </w:p>
        </w:tc>
        <w:tc>
          <w:tcPr>
            <w:tcW w:w="3495" w:type="dxa"/>
          </w:tcPr>
          <w:p>
            <w:pPr>
              <w:pStyle w:val="Compact"/>
              <w:jc w:val="left"/>
            </w:pPr>
            <w:r>
              <w:rPr>
                <w:sz w:val="18"/>
              </w:rPr>
              <w:t xml:space="preserve">Targeting implementation FY27; first negative commercial rate benchmark (-1%) in effect FY26 as transition step.</w:t>
            </w:r>
          </w:p>
        </w:tc>
      </w:tr>
    </w:tbl>
    <w:p>
      <w:pPr>
        <w:pStyle w:val="Caption"/>
        <w:spacing w:before="120"/>
      </w:pPr>
      <w:r>
        <w:rPr>
          <w:i/>
          <w:iCs/>
        </w:rPr>
        <w:t xml:space="preserve">Figure 6.3 — Cross-state reference-based pricing and rate regulation: design and outcomes. Sources: GMCB Act 68 Update (February 2026); Health Affairs; Commonwealth Fund; CMS.</w:t>
      </w:r>
    </w:p>
    <w:p>
      <w:pPr>
        <w:pStyle w:val="BodyText"/>
      </w:pPr>
      <w: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pPr>
        <w:pStyle w:val="Heading3"/>
      </w:pPr>
      <w:r>
        <w:rPr>
          <w:color w:val="161B22"/>
        </w:rPr>
        <w:t xml:space="preserve">6.3.3  </w:t>
      </w:r>
      <w:bookmarkStart w:id="1180" w:name="_Toc1179"/>
      <w:r>
        <w:rPr>
          <w:b/>
          <w:bCs/>
          <w:color w:val="161B22"/>
        </w:rPr>
        <w:t xml:space="preserve">What RBP Does — and What It Does Not Do</w:t>
      </w:r>
      <w:bookmarkEnd w:id="1180"/>
    </w:p>
    <w:p>
      <w:pPr>
        <w:pStyle w:val="FirstParagraph"/>
      </w:pPr>
      <w:r>
        <w:t xml:space="preserve">GMCB’s February 2026 report was notably precise about the scope of RBP’s impact. Understanding what RBP accomplishes, and what requires complementary mechanisms, is essential for policymakers and healthcare leaders designing transformation strategies.</w:t>
      </w:r>
    </w:p>
    <w:p>
      <w:pPr>
        <w:pStyle w:val="BodyText"/>
      </w:pPr>
      <w:r>
        <w:t xml:space="preserve">RBP does:</w:t>
      </w:r>
    </w:p>
    <w:p>
      <w:pPr>
        <w:pStyle w:val="Compact"/>
        <w:numPr>
          <w:ilvl w:val="0"/>
          <w:numId w:val="1020"/>
        </w:numPr>
        <w:keepLines w:val="true"/>
        <w:keepNext w:val="true"/>
      </w:pPr>
      <w:r>
        <w:t xml:space="preserve">Reduce hospital leverage to demand excessive prices from commercial payers</w:t>
      </w:r>
    </w:p>
    <w:p>
      <w:pPr>
        <w:pStyle w:val="Compact"/>
        <w:numPr>
          <w:ilvl w:val="0"/>
          <w:numId w:val="1020"/>
        </w:numPr>
        <w:keepLines w:val="true"/>
        <w:keepNext w:val="true"/>
      </w:pPr>
      <w:r>
        <w:t xml:space="preserve">Narrow unjustified price variation across hospitals for the same service</w:t>
      </w:r>
    </w:p>
    <w:p>
      <w:pPr>
        <w:pStyle w:val="Compact"/>
        <w:numPr>
          <w:ilvl w:val="0"/>
          <w:numId w:val="1020"/>
        </w:numPr>
        <w:keepLines w:val="true"/>
        <w:keepNext w:val="true"/>
      </w:pPr>
      <w:r>
        <w:t xml:space="preserve">Protect patient affordability by establishing binding price ceilings</w:t>
      </w:r>
    </w:p>
    <w:p>
      <w:pPr>
        <w:pStyle w:val="Compact"/>
        <w:numPr>
          <w:ilvl w:val="0"/>
          <w:numId w:val="1020"/>
        </w:numPr>
        <w:keepLines w:val="true"/>
        <w:keepNext w:val="true"/>
      </w:pPr>
      <w:r>
        <w:t xml:space="preserve">Limit monopolistic pricing power in concentrated markets</w:t>
      </w:r>
    </w:p>
    <w:p>
      <w:pPr>
        <w:pStyle w:val="Compact"/>
        <w:numPr>
          <w:ilvl w:val="0"/>
          <w:numId w:val="1020"/>
        </w:numPr>
        <w:keepLines w:val="true"/>
        <w:keepNext w:val="true"/>
      </w:pPr>
      <w:r>
        <w:t xml:space="preserve">Incentivize operational efficiencies over price increases as the margin lever</w:t>
      </w:r>
    </w:p>
    <w:p>
      <w:pPr>
        <w:pStyle w:val="Compact"/>
        <w:numPr>
          <w:ilvl w:val="0"/>
          <w:numId w:val="1020"/>
        </w:numPr>
        <w:keepLines w:val="true"/>
      </w:pPr>
      <w:r>
        <w:t xml:space="preserve">Serve as a necessary input for global budget design by establishing the price denominator</w:t>
      </w:r>
    </w:p>
    <w:p>
      <w:pPr>
        <w:pStyle w:val="FirstParagraph"/>
      </w:pPr>
      <w:r>
        <w:t xml:space="preserve">RBP does NOT:</w:t>
      </w:r>
    </w:p>
    <w:p>
      <w:pPr>
        <w:pStyle w:val="Compact"/>
        <w:numPr>
          <w:ilvl w:val="0"/>
          <w:numId w:val="1021"/>
        </w:numPr>
        <w:keepLines w:val="true"/>
        <w:keepNext w:val="true"/>
      </w:pPr>
      <w:r>
        <w:t xml:space="preserve">Control total hospital spending — only the price component, not volume</w:t>
      </w:r>
    </w:p>
    <w:p>
      <w:pPr>
        <w:pStyle w:val="Compact"/>
        <w:numPr>
          <w:ilvl w:val="0"/>
          <w:numId w:val="1021"/>
        </w:numPr>
        <w:keepLines w:val="true"/>
        <w:keepNext w:val="true"/>
      </w:pPr>
      <w:r>
        <w:t xml:space="preserve">Guarantee savings pass-through to consumers without explicit monitoring requirements</w:t>
      </w:r>
    </w:p>
    <w:p>
      <w:pPr>
        <w:pStyle w:val="Compact"/>
        <w:numPr>
          <w:ilvl w:val="0"/>
          <w:numId w:val="1021"/>
        </w:numPr>
        <w:keepLines w:val="true"/>
        <w:keepNext w:val="true"/>
      </w:pPr>
      <w:r>
        <w:t xml:space="preserve">Restructure incentives around prevention or population health</w:t>
      </w:r>
    </w:p>
    <w:p>
      <w:pPr>
        <w:pStyle w:val="Compact"/>
        <w:numPr>
          <w:ilvl w:val="0"/>
          <w:numId w:val="1021"/>
        </w:numPr>
        <w:keepLines w:val="true"/>
        <w:keepNext w:val="true"/>
      </w:pPr>
      <w:r>
        <w:t xml:space="preserve">Guarantee hospital efficiency, sustainability, or quality performance</w:t>
      </w:r>
    </w:p>
    <w:p>
      <w:pPr>
        <w:pStyle w:val="Compact"/>
        <w:numPr>
          <w:ilvl w:val="0"/>
          <w:numId w:val="1021"/>
        </w:numPr>
        <w:keepLines w:val="true"/>
      </w:pPr>
      <w:r>
        <w:t xml:space="preserve">Solve the cross-subsidy collapse driven by demographic aging</w:t>
      </w:r>
    </w:p>
    <w:p>
      <w:pPr>
        <w:pStyle w:val="FirstParagraph"/>
      </w:pPr>
      <w:r>
        <w:t xml:space="preserve">This is why Act 68 sequences RBP first, global budgets second. RBP is a necessary but insufficient tool. Global budgets address what RBP leaves unresolved: total hospital spending, volume incentives, and population health management.</w:t>
      </w:r>
    </w:p>
    <w:p>
      <w:pPr>
        <w:pStyle w:val="Heading3"/>
        <w:keepNext w:val="false"/>
      </w:pPr>
      <w:r>
        <w:rPr>
          <w:color w:val="161B22"/>
        </w:rPr>
        <w:t xml:space="preserve">6.3.4  </w:t>
      </w:r>
      <w:bookmarkStart w:id="1181" w:name="_Toc1180"/>
      <w:r>
        <w:rPr>
          <w:b/>
          <w:bCs/>
          <w:color w:val="161B22"/>
        </w:rPr>
        <w:t xml:space="preserve">Vermont’s Phased Implementation Timeline</w:t>
      </w:r>
      <w:bookmarkEnd w:id="1181"/>
    </w:p>
    <w:p>
      <w:pPr>
        <w:pStyle w:val="FirstParagraph"/>
        <w:keepNext w:val="false"/>
      </w:pPr>
      <w:r>
        <w:t xml:space="preserve">GMCB is implementing RBP in two phases, reflecting both the regulatory complexity of establishing a statewide rate-setting methodology and the operational reality that hospitals need runway to adapt their financial models.</w:t>
      </w:r>
    </w:p>
    <w:tbl>
      <w:tblPr>
        <w:tblStyle w:val="HTRTable"/>
        <w:tblLook w:firstRow="1" w:lastRow="0" w:firstColumn="0" w:lastColumn="0" w:noHBand="0" w:noVBand="1" w:val="0020"/>
        <w:tblW w:w="9072" w:type="dxa"/>
        <w:tblLayout w:type="fixed"/>
      </w:tblPr>
      <w:tblGrid>
        <w:gridCol w:w="2314"/>
        <w:gridCol w:w="1501"/>
        <w:gridCol w:w="1501"/>
        <w:gridCol w:w="3754"/>
      </w:tblGrid>
      <w:tr>
        <w:trPr>
          <w:tblHeader w:val="on"/>
          <w:cantSplit/>
        </w:trPr>
        <w:tc>
          <w:tcPr>
            <w:shd w:val="clear" w:color="auto" w:fill="1B3A6B"/>
            <w:tcW w:w="2314" w:type="dxa"/>
          </w:tcPr>
          <w:p>
            <w:pPr>
              <w:pStyle w:val="Compact"/>
              <w:jc w:val="left"/>
            </w:pPr>
            <w:r>
              <w:rPr>
                <w:b/>
                <w:color w:val="FFFFFF"/>
                <w:sz w:val="18"/>
              </w:rPr>
              <w:t xml:space="preserve">Phase</w:t>
            </w:r>
          </w:p>
        </w:tc>
        <w:tc>
          <w:tcPr>
            <w:shd w:val="clear" w:color="auto" w:fill="1B3A6B"/>
            <w:tcW w:w="1501" w:type="dxa"/>
          </w:tcPr>
          <w:p>
            <w:pPr>
              <w:pStyle w:val="Compact"/>
              <w:jc w:val="left"/>
            </w:pPr>
            <w:r>
              <w:rPr>
                <w:b/>
                <w:color w:val="FFFFFF"/>
                <w:sz w:val="18"/>
              </w:rPr>
              <w:t xml:space="preserve">Timeline</w:t>
            </w:r>
          </w:p>
        </w:tc>
        <w:tc>
          <w:tcPr>
            <w:shd w:val="clear" w:color="auto" w:fill="1B3A6B"/>
            <w:tcW w:w="1501" w:type="dxa"/>
          </w:tcPr>
          <w:p>
            <w:pPr>
              <w:pStyle w:val="Compact"/>
              <w:jc w:val="left"/>
            </w:pPr>
            <w:r>
              <w:rPr>
                <w:b/>
                <w:color w:val="FFFFFF"/>
                <w:sz w:val="18"/>
              </w:rPr>
              <w:t xml:space="preserve">Mechanism</w:t>
            </w:r>
          </w:p>
        </w:tc>
        <w:tc>
          <w:tcPr>
            <w:shd w:val="clear" w:color="auto" w:fill="1B3A6B"/>
            <w:tcW w:w="3754" w:type="dxa"/>
          </w:tcPr>
          <w:p>
            <w:pPr>
              <w:pStyle w:val="Compact"/>
              <w:jc w:val="left"/>
            </w:pPr>
            <w:r>
              <w:rPr>
                <w:b/>
                <w:color w:val="FFFFFF"/>
                <w:sz w:val="18"/>
              </w:rPr>
              <w:t xml:space="preserve">Key Actions</w:t>
            </w:r>
          </w:p>
        </w:tc>
      </w:tr>
      <w:tr>
        <w:trPr>
          <w:cantSplit/>
        </w:trPr>
        <w:tc>
          <w:tcPr>
            <w:tcW w:w="2314" w:type="dxa"/>
          </w:tcPr>
          <w:p>
            <w:pPr>
              <w:pStyle w:val="Compact"/>
              <w:jc w:val="left"/>
            </w:pPr>
            <w:r>
              <w:rPr>
                <w:sz w:val="18"/>
              </w:rPr>
              <w:t xml:space="preserve">Phase I — Differential Price Growth</w:t>
            </w:r>
          </w:p>
        </w:tc>
        <w:tc>
          <w:tcPr>
            <w:tcW w:w="1501" w:type="dxa"/>
          </w:tcPr>
          <w:p>
            <w:pPr>
              <w:pStyle w:val="Compact"/>
              <w:jc w:val="left"/>
            </w:pPr>
            <w:r>
              <w:rPr>
                <w:sz w:val="18"/>
              </w:rPr>
              <w:t xml:space="preserve">FY26–FY27 (now underway)</w:t>
            </w:r>
          </w:p>
        </w:tc>
        <w:tc>
          <w:tcPr>
            <w:tcW w:w="1501" w:type="dxa"/>
          </w:tcPr>
          <w:p>
            <w:pPr>
              <w:pStyle w:val="Compact"/>
              <w:jc w:val="left"/>
            </w:pPr>
            <w:r>
              <w:rPr>
                <w:sz w:val="18"/>
              </w:rPr>
              <w:t xml:space="preserve">Hospital Budget Guidance</w:t>
            </w:r>
          </w:p>
        </w:tc>
        <w:tc>
          <w:tcPr>
            <w:tcW w:w="3754" w:type="dxa"/>
          </w:tcPr>
          <w:p>
            <w:pPr>
              <w:pStyle w:val="Compact"/>
              <w:jc w:val="left"/>
            </w:pPr>
            <w:r>
              <w:rPr>
                <w:sz w:val="18"/>
              </w:rPr>
              <w:t xml:space="preserve">FY27 guidance recommends -1% commercial rate growth benchmark — first negative benchmark in Vermont history. Targets</w:t>
            </w:r>
            <w:r>
              <w:rPr>
                <w:sz w:val="18"/>
              </w:rPr>
              <w:t xml:space="preserve"> </w:t>
            </w:r>
            <w:r>
              <w:rPr>
                <w:sz w:val="18"/>
              </w:rPr>
              <w:t xml:space="preserve">‘outlier services’</w:t>
            </w:r>
            <w:r>
              <w:rPr>
                <w:sz w:val="18"/>
              </w:rPr>
              <w:t xml:space="preserve"> </w:t>
            </w:r>
            <w:r>
              <w:rPr>
                <w:sz w:val="18"/>
              </w:rPr>
              <w:t xml:space="preserve">with highest prices and volumes for initial reductions.</w:t>
            </w:r>
          </w:p>
        </w:tc>
      </w:tr>
      <w:tr>
        <w:trPr/>
        <w:tc>
          <w:tcPr>
            <w:tcW w:w="2314" w:type="dxa"/>
          </w:tcPr>
          <w:p>
            <w:pPr>
              <w:pStyle w:val="Compact"/>
              <w:jc w:val="left"/>
            </w:pPr>
            <w:r>
              <w:rPr>
                <w:sz w:val="18"/>
              </w:rPr>
              <w:t xml:space="preserve">Phase II — Rate Setting (RBP)</w:t>
            </w:r>
          </w:p>
        </w:tc>
        <w:tc>
          <w:tcPr>
            <w:tcW w:w="1501" w:type="dxa"/>
          </w:tcPr>
          <w:p>
            <w:pPr>
              <w:pStyle w:val="Compact"/>
              <w:jc w:val="left"/>
            </w:pPr>
            <w:r>
              <w:rPr>
                <w:sz w:val="18"/>
              </w:rPr>
              <w:t xml:space="preserve">FY27–FY28</w:t>
            </w:r>
          </w:p>
        </w:tc>
        <w:tc>
          <w:tcPr>
            <w:tcW w:w="1501" w:type="dxa"/>
          </w:tcPr>
          <w:p>
            <w:pPr>
              <w:pStyle w:val="Compact"/>
              <w:jc w:val="left"/>
            </w:pPr>
            <w:r>
              <w:rPr>
                <w:sz w:val="18"/>
              </w:rPr>
              <w:t xml:space="preserve">GMCB Rule-Making</w:t>
            </w:r>
          </w:p>
        </w:tc>
        <w:tc>
          <w:tcPr>
            <w:tcW w:w="3754" w:type="dxa"/>
          </w:tcPr>
          <w:p>
            <w:pPr>
              <w:pStyle w:val="Compact"/>
              <w:jc w:val="left"/>
            </w:pPr>
            <w:r>
              <w:rPr>
                <w:sz w:val="18"/>
              </w:rPr>
              <w:t xml:space="preserve">RFP for RBP vendor released December 2025. Discovery and design August 2025–August 2026. Policy and regulatory development January 2026–January 2028. Final RBP methodology released March 2027 for FY28 hospital budget guidance.</w:t>
            </w:r>
          </w:p>
        </w:tc>
      </w:tr>
      <w:tr>
        <w:trPr>
          <w:cantSplit/>
        </w:trPr>
        <w:tc>
          <w:tcPr>
            <w:tcW w:w="2314" w:type="dxa"/>
          </w:tcPr>
          <w:p>
            <w:pPr>
              <w:pStyle w:val="Compact"/>
              <w:jc w:val="left"/>
            </w:pPr>
            <w:r>
              <w:rPr>
                <w:sz w:val="18"/>
              </w:rPr>
              <w:t xml:space="preserve">Phase III — Global Budget Integration</w:t>
            </w:r>
          </w:p>
        </w:tc>
        <w:tc>
          <w:tcPr>
            <w:tcW w:w="1501" w:type="dxa"/>
          </w:tcPr>
          <w:p>
            <w:pPr>
              <w:pStyle w:val="Compact"/>
              <w:jc w:val="left"/>
            </w:pPr>
            <w:r>
              <w:rPr>
                <w:sz w:val="18"/>
              </w:rPr>
              <w:t xml:space="preserve">FY28 and FY30</w:t>
            </w:r>
          </w:p>
        </w:tc>
        <w:tc>
          <w:tcPr>
            <w:tcW w:w="1501" w:type="dxa"/>
          </w:tcPr>
          <w:p>
            <w:pPr>
              <w:pStyle w:val="Compact"/>
              <w:jc w:val="left"/>
            </w:pPr>
            <w:r>
              <w:rPr>
                <w:sz w:val="18"/>
              </w:rPr>
              <w:t xml:space="preserve">Statutory Mandate</w:t>
            </w:r>
          </w:p>
        </w:tc>
        <w:tc>
          <w:tcPr>
            <w:tcW w:w="3754" w:type="dxa"/>
          </w:tcPr>
          <w:p>
            <w:pPr>
              <w:pStyle w:val="Compact"/>
              <w:jc w:val="left"/>
            </w:pPr>
            <w:r>
              <w:rPr>
                <w:sz w:val="18"/>
              </w:rPr>
              <w:t xml:space="preserve">Non-CAH global hospital budgets by FY28. All-hospital global budgets by FY30. RBP embedded as price component of global budget methodology.</w:t>
            </w:r>
          </w:p>
        </w:tc>
      </w:tr>
    </w:tbl>
    <w:p>
      <w:pPr>
        <w:pStyle w:val="Caption"/>
        <w:spacing w:before="120"/>
      </w:pPr>
      <w:r>
        <w:rPr>
          <w:i/>
          <w:iCs/>
        </w:rPr>
        <w:t xml:space="preserve">Figure 6.4 — Vermont RBP and global budget implementation phases. Source: GMCB Act 68 Update, February 2026.</w:t>
      </w:r>
    </w:p>
    <w:p>
      <w:pPr>
        <w:pStyle w:val="BodyText"/>
      </w:pPr>
      <w:r>
        <w:t xml:space="preserve">The Phase I action — the negative 1% commercial rate benchmark for FY2027 — deserves particular attention because it is already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This is the largest single-year price reduction in Vermont hospital history, accomplished through regulatory authority that already existed, signaling what becomes possible when RBP is formally implemented.</w:t>
      </w:r>
    </w:p>
    <w:p>
      <w:pPr>
        <w:pStyle w:val="Heading2"/>
        <w:pBdr>
          <w:top w:val="single" w:sz="6" w:space="10" w:color="C9D2DF"/>
        </w:pBdr>
      </w:pPr>
      <w:r>
        <w:rPr>
          <w:color w:val="161B22"/>
        </w:rPr>
        <w:t xml:space="preserve">6.4  </w:t>
      </w:r>
      <w:bookmarkStart w:id="1182" w:name="_Toc1181"/>
      <w:r>
        <w:rPr>
          <w:b/>
          <w:bCs/>
          <w:color w:val="161B22"/>
        </w:rPr>
        <w:t xml:space="preserve">Hospital Global Budgets — Architecture, History, and Vermont’s Mandate</w:t>
      </w:r>
      <w:bookmarkEnd w:id="1182"/>
    </w:p>
    <w:p>
      <w:pPr>
        <w:pStyle w:val="FirstParagraph"/>
      </w:pPr>
      <w: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pPr>
        <w:pStyle w:val="Heading3"/>
      </w:pPr>
      <w:r>
        <w:rPr>
          <w:color w:val="161B22"/>
        </w:rPr>
        <w:t xml:space="preserve">6.4.1  </w:t>
      </w:r>
      <w:bookmarkStart w:id="1183" w:name="_Toc1182"/>
      <w:r>
        <w:rPr>
          <w:b/>
          <w:bCs/>
          <w:color w:val="161B22"/>
        </w:rPr>
        <w:t xml:space="preserve">The Economic Logic: Flipping the Incentive</w:t>
      </w:r>
      <w:bookmarkEnd w:id="1183"/>
    </w:p>
    <w:p>
      <w:pPr>
        <w:pStyle w:val="FirstParagraph"/>
      </w:pPr>
      <w: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pPr>
        <w:pStyle w:val="BodyText"/>
      </w:pPr>
      <w:r>
        <w:t xml:space="preserve">This is not a theoretical incentive. The Maryland experience, documented over a decade of all-payer global budget operation, demonstrates the behavioral change in concrete terms. As one Maryland state regulator described it: the global budget is the fundamental piece that flips the incentives for hospitals — hospitals had to transition from business strategies that chase volume to ones that focused on population health management. That transition does not happen overnight, but it does happen, and the documented savings are substantial.</w:t>
      </w:r>
    </w:p>
    <w:p>
      <w:pPr>
        <w:pStyle w:val="BodyText"/>
      </w:pPr>
      <w: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pPr>
        <w:pStyle w:val="Heading3"/>
        <w:keepNext w:val="false"/>
      </w:pPr>
      <w:r>
        <w:rPr>
          <w:color w:val="161B22"/>
        </w:rPr>
        <w:t xml:space="preserve">6.4.2  </w:t>
      </w:r>
      <w:bookmarkStart w:id="1184" w:name="_Toc1183"/>
      <w:r>
        <w:rPr>
          <w:b/>
          <w:bCs/>
          <w:color w:val="161B22"/>
        </w:rPr>
        <w:t xml:space="preserve">Five Design Dimensions Every Global Budget Must Resolve</w:t>
      </w:r>
      <w:bookmarkEnd w:id="1184"/>
    </w:p>
    <w:p>
      <w:pPr>
        <w:pStyle w:val="FirstParagraph"/>
        <w:keepNext w:val="false"/>
      </w:pPr>
      <w: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the AHEAD Model Medicare budgets, and the Medicaid global budget already in operation.</w:t>
      </w:r>
    </w:p>
    <w:tbl>
      <w:tblPr>
        <w:tblStyle w:val="HTRTable"/>
        <w:tblLook w:firstRow="1" w:lastRow="0" w:firstColumn="0" w:lastColumn="0" w:noHBand="0" w:noVBand="1" w:val="0020"/>
        <w:tblW w:w="9072" w:type="dxa"/>
        <w:tblLayout w:type="fixed"/>
      </w:tblPr>
      <w:tblGrid>
        <w:gridCol w:w="1260"/>
        <w:gridCol w:w="2340"/>
        <w:gridCol w:w="2790"/>
        <w:gridCol w:w="2700"/>
      </w:tblGrid>
      <w:tr>
        <w:trPr>
          <w:tblHeader w:val="on"/>
          <w:cantSplit/>
        </w:trPr>
        <w:tc>
          <w:tcPr>
            <w:shd w:val="clear" w:color="auto" w:fill="1B3A6B"/>
            <w:tcW w:w="1260" w:type="dxa"/>
          </w:tcPr>
          <w:p>
            <w:pPr>
              <w:pStyle w:val="Compact"/>
              <w:jc w:val="left"/>
            </w:pPr>
            <w:r>
              <w:rPr>
                <w:b/>
                <w:color w:val="FFFFFF"/>
                <w:sz w:val="18"/>
              </w:rPr>
              <w:t xml:space="preserve">Design dimension</w:t>
            </w:r>
          </w:p>
        </w:tc>
        <w:tc>
          <w:tcPr>
            <w:shd w:val="clear" w:color="auto" w:fill="1B3A6B"/>
            <w:tcW w:w="2340" w:type="dxa"/>
          </w:tcPr>
          <w:p>
            <w:pPr>
              <w:pStyle w:val="Compact"/>
              <w:jc w:val="left"/>
            </w:pPr>
            <w:r>
              <w:rPr>
                <w:b/>
                <w:color w:val="FFFFFF"/>
                <w:sz w:val="18"/>
              </w:rPr>
              <w:t xml:space="preserve">The choice</w:t>
            </w:r>
          </w:p>
        </w:tc>
        <w:tc>
          <w:tcPr>
            <w:shd w:val="clear" w:color="auto" w:fill="1B3A6B"/>
            <w:tcW w:w="2790" w:type="dxa"/>
          </w:tcPr>
          <w:p>
            <w:pPr>
              <w:pStyle w:val="Compact"/>
              <w:jc w:val="left"/>
            </w:pPr>
            <w:r>
              <w:rPr>
                <w:b/>
                <w:color w:val="FFFFFF"/>
                <w:sz w:val="18"/>
              </w:rPr>
              <w:t xml:space="preserve">Key tradeoff</w:t>
            </w:r>
          </w:p>
        </w:tc>
        <w:tc>
          <w:tcPr>
            <w:shd w:val="clear" w:color="auto" w:fill="1B3A6B"/>
            <w:tcW w:w="2700" w:type="dxa"/>
          </w:tcPr>
          <w:p>
            <w:pPr>
              <w:pStyle w:val="Compact"/>
              <w:jc w:val="left"/>
            </w:pPr>
            <w:r>
              <w:rPr>
                <w:b/>
                <w:color w:val="FFFFFF"/>
                <w:sz w:val="18"/>
              </w:rPr>
              <w:t xml:space="preserve">Vermont’s current direction</w:t>
            </w:r>
          </w:p>
        </w:tc>
      </w:tr>
      <w:tr>
        <w:trPr>
          <w:cantSplit/>
        </w:trPr>
        <w:tc>
          <w:tcPr>
            <w:tcW w:w="1260" w:type="dxa"/>
          </w:tcPr>
          <w:p>
            <w:pPr>
              <w:pStyle w:val="Compact"/>
              <w:jc w:val="left"/>
            </w:pPr>
            <w:r>
              <w:rPr>
                <w:sz w:val="18"/>
              </w:rPr>
              <w:t xml:space="preserve">Scope</w:t>
            </w:r>
          </w:p>
        </w:tc>
        <w:tc>
          <w:tcPr>
            <w:tcW w:w="2340" w:type="dxa"/>
          </w:tcPr>
          <w:p>
            <w:pPr>
              <w:pStyle w:val="Compact"/>
              <w:jc w:val="left"/>
            </w:pPr>
            <w:r>
              <w:rPr>
                <w:sz w:val="18"/>
              </w:rPr>
              <w:t xml:space="preserve">Which services are inside vs. outside the budget? (Capital, high-cost drugs, outpatient, physician services?)</w:t>
            </w:r>
          </w:p>
        </w:tc>
        <w:tc>
          <w:tcPr>
            <w:tcW w:w="2790" w:type="dxa"/>
          </w:tcPr>
          <w:p>
            <w:pPr>
              <w:pStyle w:val="Compact"/>
              <w:jc w:val="left"/>
            </w:pPr>
            <w:r>
              <w:rPr>
                <w:sz w:val="18"/>
              </w:rPr>
              <w:t xml:space="preserve">Broader scope = more comprehensive cost control. Narrower scope = simpler to administer but leaves cost-shifting opportunities.</w:t>
            </w:r>
          </w:p>
        </w:tc>
        <w:tc>
          <w:tcPr>
            <w:tcW w:w="2700" w:type="dxa"/>
          </w:tcPr>
          <w:p>
            <w:pPr>
              <w:pStyle w:val="Compact"/>
              <w:jc w:val="left"/>
            </w:pPr>
            <w:r>
              <w:rPr>
                <w:sz w:val="18"/>
              </w:rPr>
              <w:t xml:space="preserve">TBD through rulemaking. Maryland excludes physician office services and outpatient drugs. Vermont likely to follow similar structure initially.</w:t>
            </w:r>
          </w:p>
        </w:tc>
      </w:tr>
      <w:tr>
        <w:trPr/>
        <w:tc>
          <w:tcPr>
            <w:tcW w:w="1260" w:type="dxa"/>
          </w:tcPr>
          <w:p>
            <w:pPr>
              <w:pStyle w:val="Compact"/>
              <w:jc w:val="left"/>
            </w:pPr>
            <w:r>
              <w:rPr>
                <w:sz w:val="18"/>
              </w:rPr>
              <w:t xml:space="preserve">Population adjustment</w:t>
            </w:r>
          </w:p>
        </w:tc>
        <w:tc>
          <w:tcPr>
            <w:tcW w:w="2340" w:type="dxa"/>
          </w:tcPr>
          <w:p>
            <w:pPr>
              <w:pStyle w:val="Compact"/>
              <w:jc w:val="left"/>
            </w:pPr>
            <w:r>
              <w:rPr>
                <w:sz w:val="18"/>
              </w:rPr>
              <w:t xml:space="preserve">How does the budget account for patient demographics, complexity, and socioeconomic factors?</w:t>
            </w:r>
          </w:p>
        </w:tc>
        <w:tc>
          <w:tcPr>
            <w:tcW w:w="2790" w:type="dxa"/>
          </w:tcPr>
          <w:p>
            <w:pPr>
              <w:pStyle w:val="Compact"/>
              <w:jc w:val="left"/>
            </w:pPr>
            <w:r>
              <w:rPr>
                <w:sz w:val="18"/>
              </w:rPr>
              <w:t xml:space="preserve">No adjustment rewards hospitals serving healthier populations. Over-adjustment reduces cost-control incentives.</w:t>
            </w:r>
          </w:p>
        </w:tc>
        <w:tc>
          <w:tcPr>
            <w:tcW w:w="2700" w:type="dxa"/>
          </w:tcPr>
          <w:p>
            <w:pPr>
              <w:pStyle w:val="Compact"/>
              <w:jc w:val="left"/>
            </w:pPr>
            <w:r>
              <w:rPr>
                <w:sz w:val="18"/>
              </w:rPr>
              <w:t xml:space="preserve">GMCB considering payer mix, labor costs, social risk factors for each hospital. Critical for Vermont’s CAHs vs. UVMMC.</w:t>
            </w:r>
          </w:p>
        </w:tc>
      </w:tr>
      <w:tr>
        <w:trPr/>
        <w:tc>
          <w:tcPr>
            <w:tcW w:w="1260" w:type="dxa"/>
          </w:tcPr>
          <w:p>
            <w:pPr>
              <w:pStyle w:val="Compact"/>
              <w:jc w:val="left"/>
            </w:pPr>
            <w:r>
              <w:rPr>
                <w:sz w:val="18"/>
              </w:rPr>
              <w:t xml:space="preserve">Volume treatment</w:t>
            </w:r>
          </w:p>
        </w:tc>
        <w:tc>
          <w:tcPr>
            <w:tcW w:w="2340" w:type="dxa"/>
          </w:tcPr>
          <w:p>
            <w:pPr>
              <w:pStyle w:val="Compact"/>
              <w:jc w:val="left"/>
            </w:pPr>
            <w:r>
              <w:rPr>
                <w:sz w:val="18"/>
              </w:rPr>
              <w:t xml:space="preserve">Does the budget adjust if patient volume changes significantly?</w:t>
            </w:r>
          </w:p>
        </w:tc>
        <w:tc>
          <w:tcPr>
            <w:tcW w:w="2790" w:type="dxa"/>
          </w:tcPr>
          <w:p>
            <w:pPr>
              <w:pStyle w:val="Compact"/>
              <w:jc w:val="left"/>
            </w:pPr>
            <w:r>
              <w:rPr>
                <w:sz w:val="18"/>
              </w:rPr>
              <w:t xml:space="preserve">Fixed budget = maximum cost-control incentive. Volume-adjusted budget = lower risk for hospitals, less population health incentive.</w:t>
            </w:r>
          </w:p>
        </w:tc>
        <w:tc>
          <w:tcPr>
            <w:tcW w:w="2700" w:type="dxa"/>
          </w:tcPr>
          <w:p>
            <w:pPr>
              <w:pStyle w:val="Compact"/>
              <w:jc w:val="left"/>
            </w:pPr>
            <w:r>
              <w:rPr>
                <w:sz w:val="18"/>
              </w:rPr>
              <w:t xml:space="preserve">Maryland preserved revenue initially when volume decreased to ease transition. Vermont likely to adopt similar glide path.</w:t>
            </w:r>
          </w:p>
        </w:tc>
      </w:tr>
      <w:tr>
        <w:trPr/>
        <w:tc>
          <w:tcPr>
            <w:tcW w:w="1260" w:type="dxa"/>
          </w:tcPr>
          <w:p>
            <w:pPr>
              <w:pStyle w:val="Compact"/>
              <w:jc w:val="left"/>
            </w:pPr>
            <w:r>
              <w:rPr>
                <w:sz w:val="18"/>
              </w:rPr>
              <w:t xml:space="preserve">Quality linkage</w:t>
            </w:r>
          </w:p>
        </w:tc>
        <w:tc>
          <w:tcPr>
            <w:tcW w:w="2340" w:type="dxa"/>
          </w:tcPr>
          <w:p>
            <w:pPr>
              <w:pStyle w:val="Compact"/>
              <w:jc w:val="left"/>
            </w:pPr>
            <w:r>
              <w:rPr>
                <w:sz w:val="18"/>
              </w:rPr>
              <w:t xml:space="preserve">How are quality metrics integrated — penalty, incentive, or both?</w:t>
            </w:r>
          </w:p>
        </w:tc>
        <w:tc>
          <w:tcPr>
            <w:tcW w:w="2790" w:type="dxa"/>
          </w:tcPr>
          <w:p>
            <w:pPr>
              <w:pStyle w:val="Compact"/>
              <w:jc w:val="left"/>
            </w:pPr>
            <w:r>
              <w:rPr>
                <w:sz w:val="18"/>
              </w:rPr>
              <w:t xml:space="preserve">Too small a linkage = no behavioral change. Too large = financial instability for hospitals still improving.</w:t>
            </w:r>
          </w:p>
        </w:tc>
        <w:tc>
          <w:tcPr>
            <w:tcW w:w="2700" w:type="dxa"/>
          </w:tcPr>
          <w:p>
            <w:pPr>
              <w:pStyle w:val="Compact"/>
              <w:jc w:val="left"/>
            </w:pPr>
            <w:r>
              <w:rPr>
                <w:sz w:val="18"/>
              </w:rPr>
              <w:t xml:space="preserve">Act 68 requires standardized accountability metrics. GMCB quality programs (readmissions, HACs) will be embedded.</w:t>
            </w:r>
          </w:p>
        </w:tc>
      </w:tr>
      <w:tr>
        <w:trPr>
          <w:cantSplit/>
        </w:trPr>
        <w:tc>
          <w:tcPr>
            <w:tcW w:w="1260" w:type="dxa"/>
          </w:tcPr>
          <w:p>
            <w:pPr>
              <w:pStyle w:val="Compact"/>
              <w:jc w:val="left"/>
            </w:pPr>
            <w:r>
              <w:rPr>
                <w:sz w:val="18"/>
              </w:rPr>
              <w:t xml:space="preserve">Flexibility mechanisms</w:t>
            </w:r>
          </w:p>
        </w:tc>
        <w:tc>
          <w:tcPr>
            <w:tcW w:w="2340" w:type="dxa"/>
          </w:tcPr>
          <w:p>
            <w:pPr>
              <w:pStyle w:val="Compact"/>
              <w:jc w:val="left"/>
            </w:pPr>
            <w:r>
              <w:rPr>
                <w:sz w:val="18"/>
              </w:rPr>
              <w:t xml:space="preserve">Provisions for mid-year adjustments, carryover of savings, risk corridors?</w:t>
            </w:r>
          </w:p>
        </w:tc>
        <w:tc>
          <w:tcPr>
            <w:tcW w:w="2790" w:type="dxa"/>
          </w:tcPr>
          <w:p>
            <w:pPr>
              <w:pStyle w:val="Compact"/>
              <w:jc w:val="left"/>
            </w:pPr>
            <w:r>
              <w:rPr>
                <w:sz w:val="18"/>
              </w:rPr>
              <w:t xml:space="preserve">More flexibility = lower hospital risk, easier adoption. Less flexibility = stronger cost-control signal.</w:t>
            </w:r>
          </w:p>
        </w:tc>
        <w:tc>
          <w:tcPr>
            <w:tcW w:w="2700" w:type="dxa"/>
          </w:tcPr>
          <w:p>
            <w:pPr>
              <w:pStyle w:val="Compact"/>
              <w:jc w:val="left"/>
            </w:pPr>
            <w:r>
              <w:rPr>
                <w:sz w:val="18"/>
              </w:rPr>
              <w:t xml:space="preserve">GMCB authorized to identify conditions requiring modification or termination of RBP or budget parameters.</w:t>
            </w:r>
          </w:p>
        </w:tc>
      </w:tr>
    </w:tbl>
    <w:p>
      <w:pPr>
        <w:pStyle w:val="Caption"/>
        <w:spacing w:before="120"/>
      </w:pPr>
      <w:r>
        <w:rPr>
          <w:i/>
          <w:iCs/>
        </w:rPr>
        <w:t xml:space="preserve">Figure 6.5 — Five dimensions of global budget design with Vermont’s current direction. Source: GMCB Act 68 Update (February 2026); Act 68 of 2025.</w:t>
      </w:r>
    </w:p>
    <w:p>
      <w:pPr>
        <w:pStyle w:val="Heading3"/>
        <w:keepNext w:val="false"/>
      </w:pPr>
      <w:r>
        <w:rPr>
          <w:color w:val="161B22"/>
        </w:rPr>
        <w:t xml:space="preserve">6.4.3  </w:t>
      </w:r>
      <w:bookmarkStart w:id="1185" w:name="_Toc1184"/>
      <w:r>
        <w:rPr>
          <w:b/>
          <w:bCs/>
          <w:color w:val="161B22"/>
        </w:rPr>
        <w:t xml:space="preserve">Vermont’s Global Budget History: Four Attempts, One Lesson</w:t>
      </w:r>
      <w:bookmarkEnd w:id="1185"/>
    </w:p>
    <w:p>
      <w:pPr>
        <w:pStyle w:val="FirstParagraph"/>
        <w:keepNext w:val="false"/>
      </w:pPr>
      <w: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tbl>
      <w:tblPr>
        <w:tblStyle w:val="HTRTable"/>
        <w:tblLook w:firstRow="1" w:lastRow="0" w:firstColumn="0" w:lastColumn="0" w:noHBand="0" w:noVBand="1" w:val="0020"/>
        <w:tblW w:w="9072" w:type="dxa"/>
        <w:tblLayout w:type="fixed"/>
      </w:tblPr>
      <w:tblGrid>
        <w:gridCol w:w="1560"/>
        <w:gridCol w:w="1185"/>
        <w:gridCol w:w="2835"/>
        <w:gridCol w:w="3495"/>
      </w:tblGrid>
      <w:tr>
        <w:trPr>
          <w:tblHeader w:val="on"/>
          <w:cantSplit/>
        </w:trPr>
        <w:tc>
          <w:tcPr>
            <w:shd w:val="clear" w:color="auto" w:fill="1B3A6B"/>
            <w:tcW w:w="1560" w:type="dxa"/>
          </w:tcPr>
          <w:p>
            <w:pPr>
              <w:pStyle w:val="Compact"/>
              <w:jc w:val="left"/>
            </w:pPr>
            <w:r>
              <w:rPr>
                <w:b/>
                <w:color w:val="FFFFFF"/>
                <w:sz w:val="18"/>
              </w:rPr>
              <w:t xml:space="preserve">Approach</w:t>
            </w:r>
          </w:p>
        </w:tc>
        <w:tc>
          <w:tcPr>
            <w:shd w:val="clear" w:color="auto" w:fill="1B3A6B"/>
            <w:tcW w:w="1185" w:type="dxa"/>
          </w:tcPr>
          <w:p>
            <w:pPr>
              <w:pStyle w:val="Compact"/>
              <w:jc w:val="left"/>
            </w:pPr>
            <w:r>
              <w:rPr>
                <w:b/>
                <w:color w:val="FFFFFF"/>
                <w:sz w:val="18"/>
              </w:rPr>
              <w:t xml:space="preserve">Year(s)</w:t>
            </w:r>
          </w:p>
        </w:tc>
        <w:tc>
          <w:tcPr>
            <w:shd w:val="clear" w:color="auto" w:fill="1B3A6B"/>
            <w:tcW w:w="2835" w:type="dxa"/>
          </w:tcPr>
          <w:p>
            <w:pPr>
              <w:pStyle w:val="Compact"/>
              <w:jc w:val="left"/>
            </w:pPr>
            <w:r>
              <w:rPr>
                <w:b/>
                <w:color w:val="FFFFFF"/>
                <w:sz w:val="18"/>
              </w:rPr>
              <w:t xml:space="preserve">Structure</w:t>
            </w:r>
          </w:p>
        </w:tc>
        <w:tc>
          <w:tcPr>
            <w:shd w:val="clear" w:color="auto" w:fill="1B3A6B"/>
            <w:tcW w:w="3495" w:type="dxa"/>
          </w:tcPr>
          <w:p>
            <w:pPr>
              <w:pStyle w:val="Compact"/>
              <w:jc w:val="left"/>
            </w:pPr>
            <w:r>
              <w:rPr>
                <w:b/>
                <w:color w:val="FFFFFF"/>
                <w:sz w:val="18"/>
              </w:rPr>
              <w:t xml:space="preserve">Outcome and lesson</w:t>
            </w:r>
          </w:p>
        </w:tc>
      </w:tr>
      <w:tr>
        <w:trPr>
          <w:cantSplit/>
        </w:trPr>
        <w:tc>
          <w:tcPr>
            <w:tcW w:w="1560" w:type="dxa"/>
          </w:tcPr>
          <w:p>
            <w:pPr>
              <w:pStyle w:val="Compact"/>
              <w:jc w:val="left"/>
            </w:pPr>
            <w:r>
              <w:rPr>
                <w:sz w:val="18"/>
              </w:rPr>
              <w:t xml:space="preserve">GMCB Net Patient Revenue Cap</w:t>
            </w:r>
          </w:p>
        </w:tc>
        <w:tc>
          <w:tcPr>
            <w:tcW w:w="1185" w:type="dxa"/>
          </w:tcPr>
          <w:p>
            <w:pPr>
              <w:pStyle w:val="Compact"/>
              <w:jc w:val="left"/>
            </w:pPr>
            <w:r>
              <w:rPr>
                <w:sz w:val="18"/>
              </w:rPr>
              <w:t xml:space="preserve">2012–present</w:t>
            </w:r>
          </w:p>
        </w:tc>
        <w:tc>
          <w:tcPr>
            <w:tcW w:w="2835" w:type="dxa"/>
          </w:tcPr>
          <w:p>
            <w:pPr>
              <w:pStyle w:val="Compact"/>
              <w:jc w:val="left"/>
            </w:pPr>
            <w:r>
              <w:rPr>
                <w:sz w:val="18"/>
              </w:rPr>
              <w:t xml:space="preserve">Regulatory cap on net patient revenue each hospital may receive</w:t>
            </w:r>
          </w:p>
        </w:tc>
        <w:tc>
          <w:tcPr>
            <w:tcW w:w="3495" w:type="dxa"/>
          </w:tcPr>
          <w:p>
            <w:pPr>
              <w:pStyle w:val="Compact"/>
              <w:jc w:val="left"/>
            </w:pPr>
            <w:r>
              <w:rPr>
                <w:sz w:val="18"/>
              </w:rPr>
              <w:t xml:space="preserve">Partial constraint. Controlled revenue growth within individual hospital budgets but did not align incentives across payers or address volume gaming.</w:t>
            </w:r>
          </w:p>
        </w:tc>
      </w:tr>
      <w:tr>
        <w:trPr/>
        <w:tc>
          <w:tcPr>
            <w:tcW w:w="1560" w:type="dxa"/>
          </w:tcPr>
          <w:p>
            <w:pPr>
              <w:pStyle w:val="Compact"/>
              <w:jc w:val="left"/>
            </w:pPr>
            <w:r>
              <w:rPr>
                <w:sz w:val="18"/>
              </w:rPr>
              <w:t xml:space="preserve">Rutland Regional Medical Center Pilot</w:t>
            </w:r>
          </w:p>
        </w:tc>
        <w:tc>
          <w:tcPr>
            <w:tcW w:w="1185" w:type="dxa"/>
          </w:tcPr>
          <w:p>
            <w:pPr>
              <w:pStyle w:val="Compact"/>
              <w:jc w:val="left"/>
            </w:pPr>
            <w:r>
              <w:rPr>
                <w:sz w:val="18"/>
              </w:rPr>
              <w:t xml:space="preserve">2014 (proposed)</w:t>
            </w:r>
          </w:p>
        </w:tc>
        <w:tc>
          <w:tcPr>
            <w:tcW w:w="2835" w:type="dxa"/>
          </w:tcPr>
          <w:p>
            <w:pPr>
              <w:pStyle w:val="Compact"/>
              <w:jc w:val="left"/>
            </w:pPr>
            <w:r>
              <w:rPr>
                <w:sz w:val="18"/>
              </w:rPr>
              <w:t xml:space="preserve">Hospital payments based on historical revenue plus inflation, adjusted for demographics</w:t>
            </w:r>
          </w:p>
        </w:tc>
        <w:tc>
          <w:tcPr>
            <w:tcW w:w="3495" w:type="dxa"/>
          </w:tcPr>
          <w:p>
            <w:pPr>
              <w:pStyle w:val="Compact"/>
              <w:jc w:val="left"/>
            </w:pPr>
            <w:r>
              <w:rPr>
                <w:sz w:val="18"/>
              </w:rPr>
              <w:t xml:space="preserve">Never implemented. Hospital opposition and implementation complexity prevented launch. Showed that hospital buy-in is necessary but not sufficient without statutory mandate.</w:t>
            </w:r>
          </w:p>
        </w:tc>
      </w:tr>
      <w:tr>
        <w:trPr/>
        <w:tc>
          <w:tcPr>
            <w:tcW w:w="1560" w:type="dxa"/>
          </w:tcPr>
          <w:p>
            <w:pPr>
              <w:pStyle w:val="Compact"/>
              <w:jc w:val="left"/>
            </w:pPr>
            <w:r>
              <w:rPr>
                <w:sz w:val="18"/>
              </w:rPr>
              <w:t xml:space="preserve">Vermont All-Payer ACO Model</w:t>
            </w:r>
          </w:p>
        </w:tc>
        <w:tc>
          <w:tcPr>
            <w:tcW w:w="1185" w:type="dxa"/>
          </w:tcPr>
          <w:p>
            <w:pPr>
              <w:pStyle w:val="Compact"/>
              <w:jc w:val="left"/>
            </w:pPr>
            <w:r>
              <w:rPr>
                <w:sz w:val="18"/>
              </w:rPr>
              <w:t xml:space="preserve">2017–2025</w:t>
            </w:r>
          </w:p>
        </w:tc>
        <w:tc>
          <w:tcPr>
            <w:tcW w:w="2835" w:type="dxa"/>
          </w:tcPr>
          <w:p>
            <w:pPr>
              <w:pStyle w:val="Compact"/>
              <w:jc w:val="left"/>
            </w:pPr>
            <w:r>
              <w:rPr>
                <w:sz w:val="18"/>
              </w:rPr>
              <w:t xml:space="preserve">Voluntary commercial payer/provider participation in hospital global payments aligned across Medicare, Medicaid, and commercial based on historical spend</w:t>
            </w:r>
          </w:p>
        </w:tc>
        <w:tc>
          <w:tcPr>
            <w:tcW w:w="3495" w:type="dxa"/>
          </w:tcPr>
          <w:p>
            <w:pPr>
              <w:pStyle w:val="Compact"/>
              <w:jc w:val="left"/>
            </w:pPr>
            <w:r>
              <w:rPr>
                <w:sz w:val="18"/>
              </w:rPr>
              <w:t xml:space="preserve">Voluntary participation meant highest-cost commercial payers opted out. OneCare Vermont could not compel participation. Model produced modest results but never achieved the all-payer alignment that makes global budgets effective. Expired end of 2025.</w:t>
            </w:r>
          </w:p>
        </w:tc>
      </w:tr>
      <w:tr>
        <w:trPr>
          <w:cantSplit/>
        </w:trPr>
        <w:tc>
          <w:tcPr>
            <w:tcW w:w="1560" w:type="dxa"/>
          </w:tcPr>
          <w:p>
            <w:pPr>
              <w:pStyle w:val="Compact"/>
              <w:jc w:val="left"/>
            </w:pPr>
            <w:r>
              <w:rPr>
                <w:sz w:val="18"/>
              </w:rPr>
              <w:t xml:space="preserve">Act 167 / Act 68 Mandate</w:t>
            </w:r>
          </w:p>
        </w:tc>
        <w:tc>
          <w:tcPr>
            <w:tcW w:w="1185" w:type="dxa"/>
          </w:tcPr>
          <w:p>
            <w:pPr>
              <w:pStyle w:val="Compact"/>
              <w:jc w:val="left"/>
            </w:pPr>
            <w:r>
              <w:rPr>
                <w:sz w:val="18"/>
              </w:rPr>
              <w:t xml:space="preserve">2022–present</w:t>
            </w:r>
          </w:p>
        </w:tc>
        <w:tc>
          <w:tcPr>
            <w:tcW w:w="2835" w:type="dxa"/>
          </w:tcPr>
          <w:p>
            <w:pPr>
              <w:pStyle w:val="Compact"/>
              <w:jc w:val="left"/>
            </w:pPr>
            <w:r>
              <w:rPr>
                <w:sz w:val="18"/>
              </w:rPr>
              <w:t xml:space="preserve">GMCB directed to design and implement mandatory global budgets: non-CAH hospitals by FY2028, all hospitals by FY2030</w:t>
            </w:r>
          </w:p>
        </w:tc>
        <w:tc>
          <w:tcPr>
            <w:tcW w:w="3495" w:type="dxa"/>
          </w:tcPr>
          <w:p>
            <w:pPr>
              <w:pStyle w:val="Compact"/>
              <w:jc w:val="left"/>
            </w:pPr>
            <w:r>
              <w:rPr>
                <w:sz w:val="18"/>
              </w:rPr>
              <w:t xml:space="preserve">In progress. Removes the voluntary participation flaw that undermined all prior attempts.</w:t>
            </w:r>
          </w:p>
        </w:tc>
      </w:tr>
    </w:tbl>
    <w:p>
      <w:pPr>
        <w:pStyle w:val="Caption"/>
        <w:spacing w:before="120"/>
      </w:pPr>
      <w:r>
        <w:rPr>
          <w:i/>
          <w:iCs/>
        </w:rPr>
        <w:t xml:space="preserve">Figure 6.6 — Vermont global budget history: four attempts and the central lesson. Sources: GMCB Act 68 Update (February 2026); Oliver Wyman Act 167 Report.</w:t>
      </w:r>
    </w:p>
    <w:p>
      <w:pPr>
        <w:pStyle w:val="BodyText"/>
      </w:pPr>
      <w: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opt-out. This is the design difference that matters.</w:t>
      </w:r>
    </w:p>
    <w:p>
      <w:pPr>
        <w:pStyle w:val="PullQuote"/>
      </w:pPr>
      <w:r>
        <w:rPr>
          <w:rFonts w:ascii="Garamond" w:hAnsi="Garamond"/>
          <w:i/>
          <w:color w:val="1A1A1A"/>
          <w:sz w:val="22"/>
        </w:rPr>
        <w:t xml:space="preserve">“If the model is not adequately regulated and sufficiently resourced, it will fail dramatically and harm patients and harm our health system.”</w:t>
      </w:r>
    </w:p>
    <w:p>
      <w:pPr>
        <w:pStyle w:val="QuoteAttr"/>
      </w:pPr>
      <w:r>
        <w:rPr>
          <w:rFonts w:ascii="Garamond" w:hAnsi="Garamond"/>
          <w:b w:val="0"/>
          <w:i w:val="0"/>
          <w:color w:val="333333"/>
          <w:sz w:val="19"/>
        </w:rPr>
        <w:t xml:space="preserve">— Owen Foster, Chair of the Vermont Green Mountain Care Board, on signing the AHEAD State Agreement, January 2025</w:t>
      </w:r>
    </w:p>
    <w:p>
      <w:pPr>
        <w:pStyle w:val="Heading2"/>
        <w:pBdr>
          <w:top w:val="single" w:sz="6" w:space="10" w:color="C9D2DF"/>
        </w:pBdr>
      </w:pPr>
      <w:r>
        <w:rPr>
          <w:color w:val="161B22"/>
        </w:rPr>
        <w:t xml:space="preserve">6.5  </w:t>
      </w:r>
      <w:bookmarkStart w:id="1186" w:name="_Toc1185"/>
      <w:r>
        <w:rPr>
          <w:b/>
          <w:bCs/>
          <w:color w:val="161B22"/>
        </w:rPr>
        <w:t xml:space="preserve">Maryland — A Decade of Global Budget Evidence</w:t>
      </w:r>
      <w:bookmarkEnd w:id="1186"/>
    </w:p>
    <w:p>
      <w:pPr>
        <w:pStyle w:val="FirstParagraph"/>
      </w:pPr>
      <w: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w:t>
      </w:r>
      <w:r>
        <w:t xml:space="preserve"> </w:t>
      </w:r>
      <w:r>
        <w:t xml:space="preserve">“does this kind of model work anywhere, over time?”</w:t>
      </w:r>
      <w:r>
        <w:t xml:space="preserve"> </w:t>
      </w:r>
      <w:r>
        <w:t xml:space="preserve">while Vermont answers</w:t>
      </w:r>
      <w:r>
        <w:t xml:space="preserve"> </w:t>
      </w:r>
      <w:r>
        <w:t xml:space="preserve">“what does it take to implement one today, under current conditions?”</w:t>
      </w:r>
      <w:r>
        <w:t xml:space="preserve"> </w:t>
      </w:r>
      <w:r>
        <w:t xml:space="preserve">A reader in a state with neither Vermont’s all-payer infrastructure nor Maryland’s decades of regulatory history should read this section first, since it is the evidence base that does not depend on either state’s specific starting conditions.</w:t>
      </w:r>
    </w:p>
    <w:p>
      <w:pPr>
        <w:pStyle w:val="Heading3"/>
      </w:pPr>
      <w:r>
        <w:rPr>
          <w:color w:val="161B22"/>
        </w:rPr>
        <w:t xml:space="preserve">6.5.1  </w:t>
      </w:r>
      <w:bookmarkStart w:id="1187" w:name="_Toc1186"/>
      <w:r>
        <w:rPr>
          <w:b/>
          <w:bCs/>
          <w:color w:val="161B22"/>
        </w:rPr>
        <w:t xml:space="preserve">Maryland All-Payer Model — A Decade of Evidence</w:t>
      </w:r>
      <w:bookmarkEnd w:id="1187"/>
    </w:p>
    <w:p>
      <w:pPr>
        <w:pStyle w:val="FirstParagraph"/>
      </w:pPr>
      <w:r>
        <w:t xml:space="preserve">The only U.S. state with mandatory all-payer global budgets since 2014. Vermont’s closest comparable.</w:t>
      </w:r>
    </w:p>
    <w:p>
      <w:pPr>
        <w:pStyle w:val="BodyText"/>
      </w:pPr>
      <w:r>
        <w:t xml:space="preserve">$1.4 billion in Medicare hospital savings vs. projected national trend.</w:t>
      </w:r>
    </w:p>
    <w:p>
      <w:pPr>
        <w:pStyle w:val="BodyText"/>
      </w:pPr>
      <w:r>
        <w:t xml:space="preserve">7% reduction in hospital admissions for Medicare patients. Avoidable admissions down over 6%.</w:t>
      </w:r>
    </w:p>
    <w:p>
      <w:pPr>
        <w:pStyle w:val="BodyText"/>
      </w:pPr>
      <w:r>
        <w:t xml:space="preserve">Vermont’s AHEAD EAST Fund ($150M/year) addresses the gap: global budgets without primary care investment reduce volume without improving population health.</w:t>
      </w:r>
    </w:p>
    <w:p>
      <w:pPr>
        <w:pStyle w:val="BodyText"/>
      </w:pPr>
      <w: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pPr>
        <w:pStyle w:val="Heading3"/>
      </w:pPr>
      <w:r>
        <w:rPr>
          <w:color w:val="161B22"/>
        </w:rPr>
        <w:t xml:space="preserve">6.5.2  </w:t>
      </w:r>
      <w:bookmarkStart w:id="1188" w:name="_Toc1187"/>
      <w:r>
        <w:rPr>
          <w:b/>
          <w:bCs/>
          <w:color w:val="161B22"/>
        </w:rPr>
        <w:t xml:space="preserve">The Maryland Architecture</w:t>
      </w:r>
      <w:bookmarkEnd w:id="1188"/>
    </w:p>
    <w:p>
      <w:pPr>
        <w:pStyle w:val="FirstParagraph"/>
      </w:pPr>
      <w:r>
        <w:t xml:space="preserve">Maryland’s Health Services Cost Review Commission (HSCRC) was established in 1972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pPr>
        <w:pStyle w:val="BodyText"/>
      </w:pPr>
      <w: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pPr>
        <w:pStyle w:val="Heading3"/>
        <w:keepNext w:val="false"/>
      </w:pPr>
      <w:r>
        <w:rPr>
          <w:color w:val="161B22"/>
        </w:rPr>
        <w:t xml:space="preserve">6.5.3  </w:t>
      </w:r>
      <w:bookmarkStart w:id="1189" w:name="_Toc1188"/>
      <w:r>
        <w:rPr>
          <w:b/>
          <w:bCs/>
          <w:color w:val="161B22"/>
        </w:rPr>
        <w:t xml:space="preserve">The Results</w:t>
      </w:r>
      <w:bookmarkEnd w:id="1189"/>
    </w:p>
    <w:p>
      <w:pPr>
        <w:pStyle w:val="FirstParagraph"/>
        <w:keepNext w:val="false"/>
      </w:pPr>
      <w:r>
        <w:t xml:space="preserve">The evidence from Maryland’s global budget model is substantial and consistent across multiple independent evaluations: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Medicare hospital savings to date $1.4B vs. projected national trend (HSCRC)</w:t>
            </w:r>
          </w:p>
        </w:tc>
        <w:tc>
          <w:tcPr>
            <w:shd w:val="clear" w:color="auto" w:fill="1B3A6B"/>
            <w:tcW w:w="4536" w:type="dxa"/>
          </w:tcPr>
          <w:p>
            <w:pPr>
              <w:pStyle w:val="Compact"/>
              <w:jc w:val="left"/>
            </w:pPr>
            <w:r>
              <w:rPr>
                <w:b/>
                <w:color w:val="FFFFFF"/>
                <w:sz w:val="18"/>
              </w:rPr>
              <w:t xml:space="preserve">Reduction in hospital admissions 7% Medicare patients; avoidable admissions down &gt;6%</w:t>
            </w:r>
          </w:p>
        </w:tc>
      </w:tr>
      <w:tr>
        <w:trPr/>
        <w:tc>
          <w:tcPr>
            <w:tcW w:w="4536" w:type="dxa"/>
          </w:tcPr>
          <w:p>
            <w:pPr>
              <w:pStyle w:val="Compact"/>
              <w:jc w:val="left"/>
            </w:pPr>
            <w:r>
              <w:rPr>
                <w:sz w:val="18"/>
              </w:rPr>
              <w:t xml:space="preserve">Reduction in hospital spending $800M Medicare Part A and B combined (CMS evaluation)</w:t>
            </w:r>
          </w:p>
        </w:tc>
        <w:tc>
          <w:tcPr>
            <w:tcW w:w="4536" w:type="dxa"/>
          </w:tcPr>
          <w:p>
            <w:pPr>
              <w:pStyle w:val="Compact"/>
              <w:jc w:val="left"/>
            </w:pPr>
            <w:r>
              <w:rPr>
                <w:sz w:val="18"/>
              </w:rPr>
              <w:t xml:space="preserve">All-payer per capita growth cap 3.58% committed growth rate under Maryland model</w:t>
            </w:r>
          </w:p>
        </w:tc>
      </w:tr>
    </w:tbl>
    <w:p>
      <w:pPr>
        <w:pStyle w:val="Caption"/>
        <w:spacing w:before="120"/>
      </w:pPr>
      <w:r>
        <w:rPr>
          <w:i/>
          <w:iCs/>
        </w:rPr>
        <w:t xml:space="preserve">Figure 6.7 — Maryland All-Payer Global Budget Model results summary. Sources: HSCRC; CMS; Commonwealth Fund; Milbank Memorial Fund.</w:t>
      </w:r>
    </w:p>
    <w:p>
      <w:pPr>
        <w:pStyle w:val="BodyText"/>
      </w:pPr>
      <w:r>
        <w:t xml:space="preserve">Maryland also reduced hospital spending for commercial beneficiaries, cut ED visits and inpatient admissions across all payer types,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pPr>
        <w:pStyle w:val="Heading3"/>
      </w:pPr>
      <w:r>
        <w:rPr>
          <w:color w:val="161B22"/>
        </w:rPr>
        <w:t xml:space="preserve">6.5.4  </w:t>
      </w:r>
      <w:bookmarkStart w:id="1190" w:name="_Toc1189"/>
      <w:r>
        <w:rPr>
          <w:b/>
          <w:bCs/>
          <w:color w:val="161B22"/>
        </w:rPr>
        <w:t xml:space="preserve">The Limitations — What Maryland Teaches About What Global Budgets Cannot Do Alone</w:t>
      </w:r>
      <w:bookmarkEnd w:id="1190"/>
    </w:p>
    <w:p>
      <w:pPr>
        <w:pStyle w:val="FirstParagraph"/>
      </w:pPr>
      <w:r>
        <w:t xml:space="preserve">The Maryland evidence is not uniformly positive, and intellectual honesty requires presenting the limitations alongside the achievements. The Milbank Fund’s evaluation found mixed results on quality metrics and no improvement in overall population health measures like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pPr>
        <w:pStyle w:val="BodyText"/>
      </w:pPr>
      <w:r>
        <w:t xml:space="preserve">When Maryland reduced avoidable hospital admissions, the reduction was concentrated among healthier patients — people who, with adequate primary care and social support, would not have needed hospitalization. The sickest patients continued arriving at emergency departments, and hospitals actually spent more time treating them. The lesson is that a global budget without commensurate investment in primary care, behavioral health, housing, and transportation does not improve population health — it just reduces hospital revenue while leaving the underlying drivers of high utilization intact.</w:t>
      </w:r>
    </w:p>
    <w:p>
      <w:pPr>
        <w:pStyle w:val="BodyText"/>
        <w:keepNext w:val="false"/>
      </w:pPr>
      <w:r>
        <w:t xml:space="preserve">Vermont has heard this lesson clearly. The AHEAD State Agreement explicitly links hospital global budgets with the Equity, Access, and Statewide Transformation (EAST) Fund — providing up to $150 million in additional Medicare funds annually starting in 2027 to invest in primary care, mental health, home health, and long-term care services. The Rural Health Transformation Program award of $195 million provides capital for workforce, telehealth, and community infrastructure. Vermont’s global budget design is, from the beginning, paired with the community investment that Maryland added only after its first years of operation.</w:t>
      </w:r>
    </w:p>
    <w:p>
      <w:pPr>
        <w:pStyle w:val="Heading2"/>
        <w:pBdr>
          <w:top w:val="single" w:sz="6" w:space="10" w:color="C9D2DF"/>
        </w:pBdr>
        <w:keepNext w:val="false"/>
      </w:pPr>
      <w:r>
        <w:rPr>
          <w:color w:val="161B22"/>
        </w:rPr>
        <w:t xml:space="preserve">6.6  </w:t>
      </w:r>
      <w:bookmarkStart w:id="1191" w:name="_Toc1190"/>
      <w:r>
        <w:rPr>
          <w:b/>
          <w:bCs/>
          <w:color w:val="161B22"/>
        </w:rPr>
        <w:t xml:space="preserve">The AHEAD Model — Medicare’s Entry into Vermont’s Reform</w:t>
      </w:r>
      <w:bookmarkEnd w:id="1191"/>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Jan 2028</w:t>
            </w:r>
          </w:p>
          <w:p>
            <w:pPr>
              <w:jc w:val="center"/>
              <w:spacing w:after="40"/>
            </w:pPr>
            <w:r>
              <w:rPr>
                <w:rFonts w:ascii="Calibri" w:hAnsi="Calibri"/>
                <w:b/>
                <w:sz w:val="16"/>
                <w:color w:val="1B3A6B"/>
              </w:rPr>
              <w:t>AHEAD Cohort 2 Launches</w:t>
            </w:r>
          </w:p>
        </w:tc>
        <w:tc>
          <w:tcPr>
            <w:tcW w:w="2268" w:type="dxa"/>
            <w:shd w:val="clear" w:color="auto" w:fill="E8F0FB"/>
            <w:vAlign w:val="center"/>
          </w:tcPr>
          <w:p>
            <w:pPr>
              <w:jc w:val="center"/>
              <w:spacing w:after="20" w:before="40"/>
            </w:pPr>
            <w:r>
              <w:rPr>
                <w:rFonts w:ascii="Calibri" w:hAnsi="Calibri"/>
                <w:b/>
                <w:sz w:val="16"/>
                <w:color w:val="1B3A6B"/>
              </w:rPr>
              <w:t>$150M/yr</w:t>
            </w:r>
          </w:p>
          <w:p>
            <w:pPr>
              <w:jc w:val="center"/>
              <w:spacing w:after="40"/>
            </w:pPr>
            <w:r>
              <w:rPr>
                <w:rFonts w:ascii="Calibri" w:hAnsi="Calibri"/>
                <w:b/>
                <w:sz w:val="16"/>
                <w:color w:val="1B3A6B"/>
              </w:rPr>
              <w:t>EAST Fund for Vermont</w:t>
            </w:r>
          </w:p>
        </w:tc>
        <w:tc>
          <w:tcPr>
            <w:tcW w:w="2268" w:type="dxa"/>
            <w:shd w:val="clear" w:color="auto" w:fill="E8F0FB"/>
            <w:vAlign w:val="center"/>
          </w:tcPr>
          <w:p>
            <w:pPr>
              <w:jc w:val="center"/>
              <w:spacing w:after="20" w:before="40"/>
            </w:pPr>
            <w:r>
              <w:rPr>
                <w:rFonts w:ascii="Calibri" w:hAnsi="Calibri"/>
                <w:b/>
                <w:sz w:val="16"/>
                <w:color w:val="1B3A6B"/>
              </w:rPr>
              <w:t>9 Years</w:t>
            </w:r>
          </w:p>
          <w:p>
            <w:pPr>
              <w:jc w:val="center"/>
              <w:spacing w:after="40"/>
            </w:pPr>
            <w:r>
              <w:rPr>
                <w:rFonts w:ascii="Calibri" w:hAnsi="Calibri"/>
                <w:b/>
                <w:sz w:val="16"/>
                <w:color w:val="1B3A6B"/>
              </w:rPr>
              <w:t>Model Duration to 2035</w:t>
            </w:r>
          </w:p>
        </w:tc>
        <w:tc>
          <w:tcPr>
            <w:tcW w:w="2268" w:type="dxa"/>
            <w:shd w:val="clear" w:color="auto" w:fill="E8F0FB"/>
            <w:vAlign w:val="center"/>
          </w:tcPr>
          <w:p>
            <w:pPr>
              <w:jc w:val="center"/>
              <w:spacing w:after="20" w:before="40"/>
            </w:pPr>
            <w:r>
              <w:rPr>
                <w:rFonts w:ascii="Calibri" w:hAnsi="Calibri"/>
                <w:b/>
                <w:sz w:val="16"/>
                <w:color w:val="1B3A6B"/>
              </w:rPr>
              <w:t>3-Payer</w:t>
            </w:r>
          </w:p>
          <w:p>
            <w:pPr>
              <w:jc w:val="center"/>
              <w:spacing w:after="40"/>
            </w:pPr>
            <w:r>
              <w:rPr>
                <w:rFonts w:ascii="Calibri" w:hAnsi="Calibri"/>
                <w:b/>
                <w:sz w:val="16"/>
                <w:color w:val="1B3A6B"/>
              </w:rPr>
              <w:t>Medicare + Medicaid + Commercial</w:t>
            </w:r>
          </w:p>
        </w:tc>
      </w:tr>
    </w:tbl>
    <w:p>
      <w:pPr>
        <w:spacing w:after="120"/>
      </w:pPr>
    </w:p>
    <w:p>
      <w:pPr>
        <w:pStyle w:val="BodyText"/>
      </w:pPr>
      <w:r>
        <w:t xml:space="preserve">The AHEAD (Achieving Healthcare Efficiency through Accountable Design) Model represents the federal government’s partnership with states committed to genuine all-payer total cost of care transformation. Vermont signed its AHEAD State Agreement on January 17, 2025, committing to participate in Cohort 2 beginning January 1, 2028. The agreement was a 3-1 vote by GMCB, with the dissenting member citing concerns about implementation complexity — a vote that reflects the genuine difficulty and ambition of what Vermont has committed to.</w:t>
      </w:r>
    </w:p>
    <w:p>
      <w:pPr>
        <w:pStyle w:val="Heading3"/>
      </w:pPr>
      <w:r>
        <w:rPr>
          <w:color w:val="161B22"/>
        </w:rPr>
        <w:t xml:space="preserve">6.6.1  </w:t>
      </w:r>
      <w:bookmarkStart w:id="1192" w:name="_Toc1191"/>
      <w:r>
        <w:rPr>
          <w:b/>
          <w:bCs/>
          <w:color w:val="161B22"/>
        </w:rPr>
        <w:t xml:space="preserve">What AHEAD Actually Is</w:t>
      </w:r>
      <w:bookmarkEnd w:id="1192"/>
    </w:p>
    <w:p>
      <w:pPr>
        <w:pStyle w:val="FirstParagraph"/>
      </w:pPr>
      <w:r>
        <w:t xml:space="preserve">AHEAD is a voluntary state total cost of care model that aims to drive state-level healthcare transformation and multi-payer alignment. The model has three primary components that operate in concert:</w:t>
      </w:r>
    </w:p>
    <w:p>
      <w:pPr>
        <w:pStyle w:val="Compact"/>
        <w:numPr>
          <w:ilvl w:val="0"/>
          <w:numId w:val="1022"/>
        </w:numPr>
        <w:keepLines w:val="true"/>
        <w:keepNext w:val="true"/>
      </w:pPr>
      <w:r>
        <w:t xml:space="preserve">Hospital Global Budgets — participating hospitals receive prospective, biweekly Medicare FFS payments instead of traditional claims-based payments, providing revenue predictability while creating population health incentives</w:t>
      </w:r>
    </w:p>
    <w:p>
      <w:pPr>
        <w:pStyle w:val="Compact"/>
        <w:numPr>
          <w:ilvl w:val="0"/>
          <w:numId w:val="1022"/>
        </w:numPr>
        <w:keepLines w:val="true"/>
        <w:keepNext w:val="true"/>
      </w:pPr>
      <w:r>
        <w:t xml:space="preserve">Primary Care AHEAD — voluntary program for primary care practices to receive enhanced prospective, risk-adjusted Medicare payments for coordinated care, with four payment pathway options including fully prospective models</w:t>
      </w:r>
    </w:p>
    <w:p>
      <w:pPr>
        <w:pStyle w:val="Compact"/>
        <w:numPr>
          <w:ilvl w:val="0"/>
          <w:numId w:val="1022"/>
        </w:numPr>
        <w:keepLines w:val="true"/>
      </w:pPr>
      <w:r>
        <w:t xml:space="preserve">State accountability — Vermont commits to controlling total cost of care growth, increasing primary care investment as a percentage of total spending, and improving population health outcomes and equity metrics</w:t>
      </w:r>
    </w:p>
    <w:p>
      <w:pPr>
        <w:pStyle w:val="FirstParagraph"/>
      </w:pPr>
      <w:r>
        <w:rPr>
          <w:b/>
          <w:bCs/>
        </w:rPr>
        <w:t xml:space="preserve">The AHEAD Financial Package for Vermont</w:t>
      </w:r>
    </w:p>
    <w:p>
      <w:pPr>
        <w:pStyle w:val="BodyText"/>
      </w:pPr>
      <w:r>
        <w:t xml:space="preserve">The AHEAD State Agreement provides Vermont with a substantial financial resource package alongside its accountability commitments:</w:t>
      </w:r>
    </w:p>
    <w:p>
      <w:pPr>
        <w:pStyle w:val="Compact"/>
        <w:numPr>
          <w:ilvl w:val="0"/>
          <w:numId w:val="1023"/>
        </w:numPr>
        <w:keepLines w:val="true"/>
        <w:keepNext w:val="true"/>
      </w:pPr>
      <w:r>
        <w:t xml:space="preserve">Up to $150 million in additional Medicare funds annually starting in 2027, with inflation adjustments each year</w:t>
      </w:r>
    </w:p>
    <w:p>
      <w:pPr>
        <w:pStyle w:val="Compact"/>
        <w:numPr>
          <w:ilvl w:val="0"/>
          <w:numId w:val="1023"/>
        </w:numPr>
        <w:keepLines w:val="true"/>
      </w:pPr>
      <w:r>
        <w:t xml:space="preserve">$1.2 million in federal transformation grants beginning Cooperative Agreement Year 3 (2027) for health system transformation</w:t>
      </w:r>
    </w:p>
    <w:p>
      <w:pPr>
        <w:pStyle w:val="FirstParagraph"/>
      </w:pPr>
      <w:r>
        <w:t xml:space="preserve">Equity, Access, and Statewide Transformation (EAST) Fund for investment in primary care, behavioral health, home health, and long-term care — the community infrastructure layer that makes global budgets work</w:t>
      </w:r>
    </w:p>
    <w:p>
      <w:pPr>
        <w:pStyle w:val="BodyText"/>
      </w:pPr>
      <w:r>
        <w:t xml:space="preserve">Technical assistance from CMS on global budget design methodology, risk adjustment, and performance monitoring</w:t>
      </w:r>
    </w:p>
    <w:p>
      <w:pPr>
        <w:pStyle w:val="BodyText"/>
      </w:pPr>
      <w:r>
        <w:t xml:space="preserve">Nine-year model duration (through December 31, 2035) providing multi-year planning horizon for hospital transformation</w:t>
      </w:r>
    </w:p>
    <w:p>
      <w:pPr>
        <w:pStyle w:val="BodyText"/>
      </w:pPr>
      <w:r>
        <w:t xml:space="preserve">The $150M annual figure is significant context: Vermont’s total Medicare and Medicaid spending exceeds $3 billion annually. The AHEAD funds represent approximately 5% of that total — meaningful but not transformative in isolation. The value is in what the funds are explicitly directed toward: the community infrastructure and primary care investment that turns a hospital cost-control model into a population health model.</w:t>
      </w:r>
    </w:p>
    <w:p>
      <w:pPr>
        <w:pStyle w:val="Heading3"/>
      </w:pPr>
      <w:r>
        <w:rPr>
          <w:color w:val="161B22"/>
        </w:rPr>
        <w:t xml:space="preserve">6.6.2  </w:t>
      </w:r>
      <w:bookmarkStart w:id="1193" w:name="_Toc1192"/>
      <w:r>
        <w:rPr>
          <w:b/>
          <w:bCs/>
          <w:color w:val="161B22"/>
        </w:rPr>
        <w:t xml:space="preserve">The AHEAD-Act 68 Integration: Why Both Are Required</w:t>
      </w:r>
      <w:bookmarkEnd w:id="1193"/>
    </w:p>
    <w:p>
      <w:pPr>
        <w:pStyle w:val="FirstParagraph"/>
        <w:keepNext w:val="false"/>
      </w:pPr>
      <w:r>
        <w:t xml:space="preserve">A critical analytical point that is easily missed: the AHEAD Model and Act 68 are not alternatives or substitutes. They are complementary layers of the same reform architecture, operating on different payer populations and at different speeds, but designed to converge on the same outcome: a Vermont hospital system operating under aligned all-payer global budgets.</w:t>
      </w:r>
    </w:p>
    <w:p>
      <w:pPr>
        <w:pStyle w:val="BodyText"/>
        <w:keepNext w:val="false"/>
      </w:pPr>
      <w:r>
        <w:t xml:space="preserve">AHEAD governs Medicare FFS hospital payments — approximately 23% of Vermont’s insured population and a higher share of hospital revenue given Medicare’s age-driven intensity. Act 68 governs commercial hospital prices and budgets — approximately 52% of Vermont’s insured population and the majority of hospital revenue. Vermont’s Medicaid global budget, already operational under the Global Commitment to Health demonstration and aligned with AHEAD, covers approximately 19% of the population. Together, these three layers create the all-payer alignment that makes a global budget system effective.</w:t>
      </w:r>
    </w:p>
    <w:tbl>
      <w:tblPr>
        <w:tblStyle w:val="HTRTable"/>
        <w:tblLook w:firstRow="1" w:lastRow="0" w:firstColumn="0" w:lastColumn="0" w:noHBand="0" w:noVBand="1" w:val="0020"/>
        <w:tblW w:w="9072" w:type="dxa"/>
        <w:tblLayout w:type="fixed"/>
      </w:tblPr>
      <w:tblGrid>
        <w:gridCol w:w="1528"/>
        <w:gridCol w:w="1232"/>
        <w:gridCol w:w="2958"/>
        <w:gridCol w:w="1824"/>
        <w:gridCol w:w="1528"/>
      </w:tblGrid>
      <w:tr>
        <w:trPr>
          <w:tblHeader w:val="on"/>
          <w:cantSplit/>
        </w:trPr>
        <w:tc>
          <w:tcPr>
            <w:shd w:val="clear" w:color="auto" w:fill="1B3A6B"/>
            <w:tcW w:w="1528" w:type="dxa"/>
          </w:tcPr>
          <w:p>
            <w:pPr>
              <w:pStyle w:val="Compact"/>
              <w:jc w:val="left"/>
            </w:pPr>
            <w:r>
              <w:rPr>
                <w:b/>
                <w:color w:val="FFFFFF"/>
                <w:sz w:val="18"/>
              </w:rPr>
              <w:t xml:space="preserve">Payer layer</w:t>
            </w:r>
          </w:p>
        </w:tc>
        <w:tc>
          <w:tcPr>
            <w:shd w:val="clear" w:color="auto" w:fill="1B3A6B"/>
            <w:tcW w:w="1232" w:type="dxa"/>
          </w:tcPr>
          <w:p>
            <w:pPr>
              <w:pStyle w:val="Compact"/>
              <w:jc w:val="left"/>
            </w:pPr>
            <w:r>
              <w:rPr>
                <w:b/>
                <w:color w:val="FFFFFF"/>
                <w:sz w:val="18"/>
              </w:rPr>
              <w:t xml:space="preserve">% of VT insured pop.</w:t>
            </w:r>
          </w:p>
        </w:tc>
        <w:tc>
          <w:tcPr>
            <w:shd w:val="clear" w:color="auto" w:fill="1B3A6B"/>
            <w:tcW w:w="2958" w:type="dxa"/>
          </w:tcPr>
          <w:p>
            <w:pPr>
              <w:pStyle w:val="Compact"/>
              <w:jc w:val="left"/>
            </w:pPr>
            <w:r>
              <w:rPr>
                <w:b/>
                <w:color w:val="FFFFFF"/>
                <w:sz w:val="18"/>
              </w:rPr>
              <w:t xml:space="preserve">Payment mechanism</w:t>
            </w:r>
          </w:p>
        </w:tc>
        <w:tc>
          <w:tcPr>
            <w:shd w:val="clear" w:color="auto" w:fill="1B3A6B"/>
            <w:tcW w:w="1824" w:type="dxa"/>
          </w:tcPr>
          <w:p>
            <w:pPr>
              <w:pStyle w:val="Compact"/>
              <w:jc w:val="left"/>
            </w:pPr>
            <w:r>
              <w:rPr>
                <w:b/>
                <w:color w:val="FFFFFF"/>
                <w:sz w:val="18"/>
              </w:rPr>
              <w:t xml:space="preserve">Effective date</w:t>
            </w:r>
          </w:p>
        </w:tc>
        <w:tc>
          <w:tcPr>
            <w:shd w:val="clear" w:color="auto" w:fill="1B3A6B"/>
            <w:tcW w:w="1528" w:type="dxa"/>
          </w:tcPr>
          <w:p>
            <w:pPr>
              <w:pStyle w:val="Compact"/>
              <w:jc w:val="left"/>
            </w:pPr>
            <w:r>
              <w:rPr>
                <w:b/>
                <w:color w:val="FFFFFF"/>
                <w:sz w:val="18"/>
              </w:rPr>
              <w:t xml:space="preserve">Governing authority</w:t>
            </w:r>
          </w:p>
        </w:tc>
      </w:tr>
      <w:tr>
        <w:trPr>
          <w:cantSplit/>
        </w:trPr>
        <w:tc>
          <w:tcPr>
            <w:tcW w:w="1528" w:type="dxa"/>
          </w:tcPr>
          <w:p>
            <w:pPr>
              <w:pStyle w:val="Compact"/>
              <w:jc w:val="left"/>
            </w:pPr>
            <w:r>
              <w:rPr>
                <w:sz w:val="18"/>
              </w:rPr>
              <w:t xml:space="preserve">Medicare FFS</w:t>
            </w:r>
          </w:p>
        </w:tc>
        <w:tc>
          <w:tcPr>
            <w:tcW w:w="1232" w:type="dxa"/>
          </w:tcPr>
          <w:p>
            <w:pPr>
              <w:pStyle w:val="Compact"/>
              <w:jc w:val="left"/>
            </w:pPr>
            <w:r>
              <w:rPr>
                <w:sz w:val="18"/>
              </w:rPr>
              <w:t xml:space="preserve">~23%</w:t>
            </w:r>
          </w:p>
        </w:tc>
        <w:tc>
          <w:tcPr>
            <w:tcW w:w="2958" w:type="dxa"/>
          </w:tcPr>
          <w:p>
            <w:pPr>
              <w:pStyle w:val="Compact"/>
              <w:jc w:val="left"/>
            </w:pPr>
            <w:r>
              <w:rPr>
                <w:sz w:val="18"/>
              </w:rPr>
              <w:t xml:space="preserve">AHEAD Hospital Global Budgets; biweekly prospective payments</w:t>
            </w:r>
          </w:p>
        </w:tc>
        <w:tc>
          <w:tcPr>
            <w:tcW w:w="1824" w:type="dxa"/>
          </w:tcPr>
          <w:p>
            <w:pPr>
              <w:pStyle w:val="Compact"/>
              <w:jc w:val="left"/>
            </w:pPr>
            <w:r>
              <w:rPr>
                <w:sz w:val="18"/>
              </w:rPr>
              <w:t xml:space="preserve">January 2028</w:t>
            </w:r>
          </w:p>
        </w:tc>
        <w:tc>
          <w:tcPr>
            <w:tcW w:w="1528" w:type="dxa"/>
          </w:tcPr>
          <w:p>
            <w:pPr>
              <w:pStyle w:val="Compact"/>
              <w:jc w:val="left"/>
            </w:pPr>
            <w:r>
              <w:rPr>
                <w:sz w:val="18"/>
              </w:rPr>
              <w:t xml:space="preserve">CMS / AHEAD State Agreement</w:t>
            </w:r>
          </w:p>
        </w:tc>
      </w:tr>
      <w:tr>
        <w:trPr/>
        <w:tc>
          <w:tcPr>
            <w:tcW w:w="1528" w:type="dxa"/>
          </w:tcPr>
          <w:p>
            <w:pPr>
              <w:pStyle w:val="Compact"/>
              <w:jc w:val="left"/>
            </w:pPr>
            <w:r>
              <w:rPr>
                <w:sz w:val="18"/>
              </w:rPr>
              <w:t xml:space="preserve">Medicaid</w:t>
            </w:r>
          </w:p>
        </w:tc>
        <w:tc>
          <w:tcPr>
            <w:tcW w:w="1232" w:type="dxa"/>
          </w:tcPr>
          <w:p>
            <w:pPr>
              <w:pStyle w:val="Compact"/>
              <w:jc w:val="left"/>
            </w:pPr>
            <w:r>
              <w:rPr>
                <w:sz w:val="18"/>
              </w:rPr>
              <w:t xml:space="preserve">~19%</w:t>
            </w:r>
          </w:p>
        </w:tc>
        <w:tc>
          <w:tcPr>
            <w:tcW w:w="2958" w:type="dxa"/>
          </w:tcPr>
          <w:p>
            <w:pPr>
              <w:pStyle w:val="Compact"/>
              <w:jc w:val="left"/>
            </w:pPr>
            <w:r>
              <w:rPr>
                <w:sz w:val="18"/>
              </w:rPr>
              <w:t xml:space="preserve">Vermont Global Commitment to Health; Medicaid global budget aligned with AHEAD</w:t>
            </w:r>
          </w:p>
        </w:tc>
        <w:tc>
          <w:tcPr>
            <w:tcW w:w="1824" w:type="dxa"/>
          </w:tcPr>
          <w:p>
            <w:pPr>
              <w:pStyle w:val="Compact"/>
              <w:jc w:val="left"/>
            </w:pPr>
            <w:r>
              <w:rPr>
                <w:sz w:val="18"/>
              </w:rPr>
              <w:t xml:space="preserve">In operation; aligned with AHEAD 2027</w:t>
            </w:r>
          </w:p>
        </w:tc>
        <w:tc>
          <w:tcPr>
            <w:tcW w:w="1528" w:type="dxa"/>
          </w:tcPr>
          <w:p>
            <w:pPr>
              <w:pStyle w:val="Compact"/>
              <w:jc w:val="left"/>
            </w:pPr>
            <w:r>
              <w:rPr>
                <w:sz w:val="18"/>
              </w:rPr>
              <w:t xml:space="preserve">DVHA / CMS Demonstration Waiver</w:t>
            </w:r>
          </w:p>
        </w:tc>
      </w:tr>
      <w:tr>
        <w:trPr/>
        <w:tc>
          <w:tcPr>
            <w:tcW w:w="1528" w:type="dxa"/>
          </w:tcPr>
          <w:p>
            <w:pPr>
              <w:pStyle w:val="Compact"/>
              <w:jc w:val="left"/>
            </w:pPr>
            <w:r>
              <w:rPr>
                <w:sz w:val="18"/>
              </w:rPr>
              <w:t xml:space="preserve">Commercial (incl. self-insured)</w:t>
            </w:r>
          </w:p>
        </w:tc>
        <w:tc>
          <w:tcPr>
            <w:tcW w:w="1232" w:type="dxa"/>
          </w:tcPr>
          <w:p>
            <w:pPr>
              <w:pStyle w:val="Compact"/>
              <w:jc w:val="left"/>
            </w:pPr>
            <w:r>
              <w:rPr>
                <w:sz w:val="18"/>
              </w:rPr>
              <w:t xml:space="preserve">~52%</w:t>
            </w:r>
          </w:p>
        </w:tc>
        <w:tc>
          <w:tcPr>
            <w:tcW w:w="2958" w:type="dxa"/>
          </w:tcPr>
          <w:p>
            <w:pPr>
              <w:pStyle w:val="Compact"/>
              <w:jc w:val="left"/>
            </w:pPr>
            <w:r>
              <w:rPr>
                <w:sz w:val="18"/>
              </w:rPr>
              <w:t xml:space="preserve">Reference-Based Pricing (FY2027) → Global Hospital Budgets (FY2028+)</w:t>
            </w:r>
          </w:p>
        </w:tc>
        <w:tc>
          <w:tcPr>
            <w:tcW w:w="1824" w:type="dxa"/>
          </w:tcPr>
          <w:p>
            <w:pPr>
              <w:pStyle w:val="Compact"/>
              <w:jc w:val="left"/>
            </w:pPr>
            <w:r>
              <w:rPr>
                <w:sz w:val="18"/>
              </w:rPr>
              <w:t xml:space="preserve">RBP FY2027; budgets FY2028</w:t>
            </w:r>
          </w:p>
        </w:tc>
        <w:tc>
          <w:tcPr>
            <w:tcW w:w="1528" w:type="dxa"/>
          </w:tcPr>
          <w:p>
            <w:pPr>
              <w:pStyle w:val="Compact"/>
              <w:jc w:val="left"/>
            </w:pPr>
            <w:r>
              <w:rPr>
                <w:sz w:val="18"/>
              </w:rPr>
              <w:t xml:space="preserve">GMCB / Act 68</w:t>
            </w:r>
          </w:p>
        </w:tc>
      </w:tr>
      <w:tr>
        <w:trPr/>
        <w:tc>
          <w:tcPr>
            <w:tcW w:w="1528" w:type="dxa"/>
          </w:tcPr>
          <w:p>
            <w:pPr>
              <w:pStyle w:val="Compact"/>
              <w:jc w:val="left"/>
            </w:pPr>
            <w:r>
              <w:rPr>
                <w:sz w:val="18"/>
              </w:rPr>
              <w:t xml:space="preserve">Medicare Advantage</w:t>
            </w:r>
          </w:p>
        </w:tc>
        <w:tc>
          <w:tcPr>
            <w:tcW w:w="1232" w:type="dxa"/>
          </w:tcPr>
          <w:p>
            <w:pPr>
              <w:pStyle w:val="Compact"/>
              <w:jc w:val="left"/>
            </w:pPr>
            <w:r>
              <w:rPr>
                <w:sz w:val="18"/>
              </w:rPr>
              <w:t xml:space="preserve">~31% of Medicare-eligible</w:t>
            </w:r>
          </w:p>
        </w:tc>
        <w:tc>
          <w:tcPr>
            <w:tcW w:w="2958" w:type="dxa"/>
          </w:tcPr>
          <w:p>
            <w:pPr>
              <w:pStyle w:val="Compact"/>
              <w:jc w:val="left"/>
            </w:pPr>
            <w:r>
              <w:rPr>
                <w:sz w:val="18"/>
              </w:rPr>
              <w:t xml:space="preserve">Outside AHEAD; traditional managed care contracts</w:t>
            </w:r>
          </w:p>
        </w:tc>
        <w:tc>
          <w:tcPr>
            <w:tcW w:w="1824" w:type="dxa"/>
          </w:tcPr>
          <w:p>
            <w:pPr>
              <w:pStyle w:val="Compact"/>
              <w:jc w:val="left"/>
            </w:pPr>
            <w:r>
              <w:rPr>
                <w:sz w:val="18"/>
              </w:rPr>
              <w:t xml:space="preserve">Not currently in scope</w:t>
            </w:r>
          </w:p>
        </w:tc>
        <w:tc>
          <w:tcPr>
            <w:tcW w:w="1528" w:type="dxa"/>
          </w:tcPr>
          <w:p>
            <w:pPr>
              <w:pStyle w:val="Compact"/>
              <w:jc w:val="left"/>
            </w:pPr>
            <w:r>
              <w:rPr>
                <w:sz w:val="18"/>
              </w:rPr>
              <w:t xml:space="preserve">CMS MA contracts</w:t>
            </w:r>
          </w:p>
        </w:tc>
      </w:tr>
      <w:tr>
        <w:trPr>
          <w:cantSplit/>
        </w:trPr>
        <w:tc>
          <w:tcPr>
            <w:tcW w:w="1528" w:type="dxa"/>
          </w:tcPr>
          <w:p>
            <w:pPr>
              <w:pStyle w:val="Compact"/>
              <w:jc w:val="left"/>
            </w:pPr>
            <w:r>
              <w:rPr>
                <w:sz w:val="18"/>
              </w:rPr>
              <w:t xml:space="preserve">Uninsured</w:t>
            </w:r>
          </w:p>
        </w:tc>
        <w:tc>
          <w:tcPr>
            <w:tcW w:w="1232" w:type="dxa"/>
          </w:tcPr>
          <w:p>
            <w:pPr>
              <w:pStyle w:val="Compact"/>
              <w:jc w:val="left"/>
            </w:pPr>
            <w:r>
              <w:rPr>
                <w:sz w:val="18"/>
              </w:rPr>
              <w:t xml:space="preserve">~3%</w:t>
            </w:r>
          </w:p>
        </w:tc>
        <w:tc>
          <w:tcPr>
            <w:tcW w:w="2958" w:type="dxa"/>
          </w:tcPr>
          <w:p>
            <w:pPr>
              <w:pStyle w:val="Compact"/>
              <w:jc w:val="left"/>
            </w:pPr>
            <w:r>
              <w:rPr>
                <w:sz w:val="18"/>
              </w:rPr>
              <w:t xml:space="preserve">Charity care; DSH payments</w:t>
            </w:r>
          </w:p>
        </w:tc>
        <w:tc>
          <w:tcPr>
            <w:tcW w:w="1824" w:type="dxa"/>
          </w:tcPr>
          <w:p>
            <w:pPr>
              <w:pStyle w:val="Compact"/>
              <w:jc w:val="left"/>
            </w:pPr>
            <w:r>
              <w:rPr>
                <w:sz w:val="18"/>
              </w:rPr>
              <w:t xml:space="preserve">Ongoing</w:t>
            </w:r>
          </w:p>
        </w:tc>
        <w:tc>
          <w:tcPr>
            <w:tcW w:w="1528" w:type="dxa"/>
          </w:tcPr>
          <w:p>
            <w:pPr>
              <w:pStyle w:val="Compact"/>
              <w:jc w:val="left"/>
            </w:pPr>
            <w:r>
              <w:rPr>
                <w:sz w:val="18"/>
              </w:rPr>
              <w:t xml:space="preserve">GMCB / DVHA</w:t>
            </w:r>
          </w:p>
        </w:tc>
      </w:tr>
    </w:tbl>
    <w:p>
      <w:pPr>
        <w:pStyle w:val="Caption"/>
        <w:spacing w:before="120"/>
      </w:pPr>
      <w:r>
        <w:rPr>
          <w:i/>
          <w:iCs/>
        </w:rPr>
        <w:t xml:space="preserve">Figure 6.8 — Vermont all-payer architecture under AHEAD + Act 68 combined. Sources: Vermont RHT Program Application (November 2025); AHS AHEAD fact sheet; Act 68.</w:t>
      </w:r>
    </w:p>
    <w:p>
      <w:pPr>
        <w:pStyle w:val="BodyText"/>
      </w:pPr>
      <w:r>
        <w:t xml:space="preserve">The Medicare Advantage gap is worth noting. AHEAD applies to Medicare fee-for-service beneficiaries; approximately 31% of Vermont’s Medicare-eligible population is in Medicare Advantage plans, which are managed care contracts between CMS and private insurers. These plans operate outside the AHEAD global budget framework. As MA enrollment continues growing nationally, this gap represents an increasing share of the Medicare population that is not subject to Vermont’s hospital cost-containment regime — a design limitation that Vermont policymakers are aware of and that will require ongoing attention.</w:t>
      </w:r>
    </w:p>
    <w:p>
      <w:pPr>
        <w:pStyle w:val="Heading2"/>
        <w:pBdr>
          <w:top w:val="single" w:sz="6" w:space="10" w:color="C9D2DF"/>
        </w:pBdr>
      </w:pPr>
      <w:r>
        <w:rPr>
          <w:color w:val="161B22"/>
        </w:rPr>
        <w:t xml:space="preserve">6.7  </w:t>
      </w:r>
      <w:bookmarkStart w:id="1194" w:name="_Toc1193"/>
      <w:r>
        <w:rPr>
          <w:b/>
          <w:bCs/>
          <w:color w:val="161B22"/>
        </w:rPr>
        <w:t xml:space="preserve">Hospital Financial Modeling — Reading the Numbers That Matter</w:t>
      </w:r>
      <w:bookmarkEnd w:id="1194"/>
    </w:p>
    <w:p>
      <w:pPr>
        <w:pStyle w:val="FirstParagraph"/>
      </w:pPr>
      <w: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pPr>
        <w:pStyle w:val="Heading3"/>
        <w:keepNext w:val="false"/>
      </w:pPr>
      <w:r>
        <w:rPr>
          <w:color w:val="161B22"/>
        </w:rPr>
        <w:t xml:space="preserve">6.7.1  </w:t>
      </w:r>
      <w:bookmarkStart w:id="1195" w:name="_Toc1194"/>
      <w:r>
        <w:rPr>
          <w:b/>
          <w:bCs/>
          <w:color w:val="161B22"/>
        </w:rPr>
        <w:t xml:space="preserve">The Oliver Wyman Projection Scenarios</w:t>
      </w:r>
      <w:bookmarkEnd w:id="1195"/>
    </w:p>
    <w:p>
      <w:pPr>
        <w:pStyle w:val="FirstParagraph"/>
        <w:keepNext w:val="false"/>
      </w:pPr>
      <w: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HTRTable"/>
        <w:tblLook w:firstRow="1" w:lastRow="0" w:firstColumn="0" w:lastColumn="0" w:noHBand="0" w:noVBand="1" w:val="0020"/>
        <w:tblW w:w="9072" w:type="dxa"/>
        <w:tblLayout w:type="fixed"/>
      </w:tblPr>
      <w:tblGrid>
        <w:gridCol w:w="1680"/>
        <w:gridCol w:w="7380"/>
      </w:tblGrid>
      <w:tr>
        <w:trPr>
          <w:tblHeader w:val="on"/>
          <w:cantSplit/>
        </w:trPr>
        <w:tc>
          <w:tcPr>
            <w:shd w:val="clear" w:color="auto" w:fill="1B3A6B"/>
            <w:tcW w:w="1680" w:type="dxa"/>
          </w:tcPr>
          <w:p>
            <w:pPr>
              <w:pStyle w:val="Compact"/>
              <w:jc w:val="left"/>
            </w:pPr>
            <w:r>
              <w:rPr>
                <w:b/>
                <w:color w:val="FFFFFF"/>
                <w:sz w:val="18"/>
              </w:rPr>
              <w:t xml:space="preserve">Scenario</w:t>
            </w:r>
          </w:p>
        </w:tc>
        <w:tc>
          <w:tcPr>
            <w:shd w:val="clear" w:color="auto" w:fill="1B3A6B"/>
            <w:tcW w:w="7380" w:type="dxa"/>
          </w:tcPr>
          <w:p>
            <w:pPr>
              <w:pStyle w:val="Compact"/>
              <w:jc w:val="left"/>
            </w:pPr>
            <w:r>
              <w:rPr>
                <w:b/>
                <w:color w:val="FFFFFF"/>
                <w:sz w:val="18"/>
              </w:rPr>
              <w:t xml:space="preserve">Assumptions and 5-year system deficit</w:t>
            </w:r>
          </w:p>
        </w:tc>
      </w:tr>
      <w:tr>
        <w:trPr/>
        <w:tc>
          <w:tcPr>
            <w:tcW w:w="1680" w:type="dxa"/>
          </w:tcPr>
          <w:p>
            <w:pPr>
              <w:pStyle w:val="Compact"/>
              <w:jc w:val="left"/>
            </w:pPr>
            <w:r>
              <w:rPr>
                <w:sz w:val="18"/>
              </w:rPr>
              <w:t xml:space="preserve">Conservative: 3.5% revenue / 5% expense growth</w:t>
            </w:r>
          </w:p>
        </w:tc>
        <w:tc>
          <w:tcPr>
            <w:tcW w:w="7380" w:type="dxa"/>
          </w:tcPr>
          <w:p>
            <w:pPr>
              <w:pStyle w:val="Compact"/>
              <w:jc w:val="left"/>
            </w:pPr>
            <w:r>
              <w:rPr>
                <w:sz w:val="18"/>
              </w:rPr>
              <w:t xml:space="preserve">Non-340B revenue: +3.5% annually. All operating expenses: +5% annually from 2023 baseline.5-year system deficit (2024-2028):• $700M vs. break-even• $1.4B vs. 3% operating margin target• FY2023 budget overage of $106M suggests starting point may be worse than modeled</w:t>
            </w:r>
          </w:p>
        </w:tc>
      </w:tr>
      <w:tr>
        <w:trPr/>
        <w:tc>
          <w:tcPr>
            <w:tcW w:w="1680" w:type="dxa"/>
          </w:tcPr>
          <w:p>
            <w:pPr>
              <w:pStyle w:val="Compact"/>
              <w:jc w:val="left"/>
            </w:pPr>
            <w:r>
              <w:rPr>
                <w:sz w:val="18"/>
              </w:rPr>
              <w:t xml:space="preserve">Realistic: 3.5% revenue / 7-8% expense growth</w:t>
            </w:r>
          </w:p>
        </w:tc>
        <w:tc>
          <w:tcPr>
            <w:tcW w:w="7380" w:type="dxa"/>
          </w:tcPr>
          <w:p>
            <w:pPr>
              <w:pStyle w:val="Compact"/>
              <w:jc w:val="left"/>
            </w:pPr>
            <w:r>
              <w:rPr>
                <w:sz w:val="18"/>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p>
        </w:tc>
      </w:tr>
    </w:tbl>
    <w:p>
      <w:pPr>
        <w:pStyle w:val="Caption"/>
        <w:spacing w:before="120"/>
      </w:pPr>
      <w:r>
        <w:rPr>
          <w:i/>
          <w:iCs/>
        </w:rPr>
        <w:t xml:space="preserve">Figure 6.9 — Oliver Wyman Vermont hospital financial projection scenarios. Source: Oliver Wyman Act 167 Community Engagement: Recommendations (August 2024, revised October 2024 and January 2025).</w:t>
      </w:r>
    </w:p>
    <w:p>
      <w:pPr>
        <w:pStyle w:val="BodyText"/>
      </w:pPr>
      <w: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again roughly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pPr>
        <w:pStyle w:val="Heading3"/>
        <w:keepNext w:val="false"/>
      </w:pPr>
      <w:r>
        <w:rPr>
          <w:color w:val="161B22"/>
        </w:rPr>
        <w:t xml:space="preserve">6.7.2  </w:t>
      </w:r>
      <w:bookmarkStart w:id="1196" w:name="_Toc1195"/>
      <w:r>
        <w:rPr>
          <w:b/>
          <w:bCs/>
          <w:color w:val="161B22"/>
        </w:rPr>
        <w:t xml:space="preserve">Reading the Metrics That Actually Matter Under Global Budgets</w:t>
      </w:r>
      <w:bookmarkEnd w:id="1196"/>
    </w:p>
    <w:p>
      <w:pPr>
        <w:pStyle w:val="FirstParagraph"/>
        <w:keepNext w:val="false"/>
      </w:pPr>
      <w: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HTRTable"/>
        <w:tblLook w:firstRow="1" w:lastRow="0" w:firstColumn="0" w:lastColumn="0" w:noHBand="0" w:noVBand="1" w:val="0020"/>
        <w:tblW w:w="9072" w:type="dxa"/>
        <w:tblLayout w:type="fixed"/>
      </w:tblPr>
      <w:tblGrid>
        <w:gridCol w:w="2805"/>
        <w:gridCol w:w="6270"/>
      </w:tblGrid>
      <w:tr>
        <w:trPr>
          <w:tblHeader w:val="on"/>
          <w:cantSplit/>
        </w:trPr>
        <w:tc>
          <w:tcPr>
            <w:shd w:val="clear" w:color="auto" w:fill="1B3A6B"/>
            <w:tcW w:w="2805" w:type="dxa"/>
          </w:tcPr>
          <w:p>
            <w:pPr>
              <w:pStyle w:val="Compact"/>
              <w:jc w:val="left"/>
            </w:pPr>
            <w:r>
              <w:rPr>
                <w:b/>
                <w:color w:val="FFFFFF"/>
                <w:sz w:val="18"/>
              </w:rPr>
              <w:t xml:space="preserve">In a fee-for-service environment, watch:</w:t>
            </w:r>
          </w:p>
        </w:tc>
        <w:tc>
          <w:tcPr>
            <w:shd w:val="clear" w:color="auto" w:fill="1B3A6B"/>
            <w:tcW w:w="6270" w:type="dxa"/>
          </w:tcPr>
          <w:p>
            <w:pPr>
              <w:pStyle w:val="Compact"/>
              <w:jc w:val="left"/>
            </w:pPr>
            <w:r>
              <w:rPr>
                <w:b/>
                <w:color w:val="FFFFFF"/>
                <w:sz w:val="18"/>
              </w:rPr>
              <w:t xml:space="preserve">In a global budget environment, watch:</w:t>
            </w:r>
          </w:p>
        </w:tc>
      </w:tr>
      <w:tr>
        <w:trPr>
          <w:cantSplit/>
        </w:trPr>
        <w:tc>
          <w:tcPr>
            <w:tcW w:w="2805" w:type="dxa"/>
          </w:tcPr>
          <w:p>
            <w:pPr>
              <w:pStyle w:val="Compact"/>
              <w:jc w:val="left"/>
            </w:pPr>
            <w:r>
              <w:rPr>
                <w:sz w:val="18"/>
              </w:rPr>
              <w:t xml:space="preserve">Net patient revenue growth</w:t>
            </w:r>
          </w:p>
        </w:tc>
        <w:tc>
          <w:tcPr>
            <w:tcW w:w="6270" w:type="dxa"/>
          </w:tcPr>
          <w:p>
            <w:pPr>
              <w:pStyle w:val="Compact"/>
              <w:jc w:val="left"/>
            </w:pPr>
            <w:r>
              <w:rPr>
                <w:sz w:val="18"/>
              </w:rPr>
              <w:t xml:space="preserve">Per-member-per-month cost trend vs. global budget cap</w:t>
            </w:r>
          </w:p>
        </w:tc>
      </w:tr>
      <w:tr>
        <w:trPr/>
        <w:tc>
          <w:tcPr>
            <w:tcW w:w="2805" w:type="dxa"/>
          </w:tcPr>
          <w:p>
            <w:pPr>
              <w:pStyle w:val="Compact"/>
              <w:jc w:val="left"/>
            </w:pPr>
            <w:r>
              <w:rPr>
                <w:sz w:val="18"/>
              </w:rPr>
              <w:t xml:space="preserve">Volume growth (admissions, procedures, visits)</w:t>
            </w:r>
          </w:p>
        </w:tc>
        <w:tc>
          <w:tcPr>
            <w:tcW w:w="6270" w:type="dxa"/>
          </w:tcPr>
          <w:p>
            <w:pPr>
              <w:pStyle w:val="Compact"/>
              <w:jc w:val="left"/>
            </w:pPr>
            <w:r>
              <w:rPr>
                <w:sz w:val="18"/>
              </w:rPr>
              <w:t xml:space="preserve">Potentially avoidable utilization rate — every avoidable admission is a cost, not revenue</w:t>
            </w:r>
          </w:p>
        </w:tc>
      </w:tr>
      <w:tr>
        <w:trPr/>
        <w:tc>
          <w:tcPr>
            <w:tcW w:w="2805" w:type="dxa"/>
          </w:tcPr>
          <w:p>
            <w:pPr>
              <w:pStyle w:val="Compact"/>
              <w:jc w:val="left"/>
            </w:pPr>
            <w:r>
              <w:rPr>
                <w:sz w:val="18"/>
              </w:rPr>
              <w:t xml:space="preserve">Case mix index — higher acuity = more revenue</w:t>
            </w:r>
          </w:p>
        </w:tc>
        <w:tc>
          <w:tcPr>
            <w:tcW w:w="6270" w:type="dxa"/>
          </w:tcPr>
          <w:p>
            <w:pPr>
              <w:pStyle w:val="Compact"/>
              <w:jc w:val="left"/>
            </w:pPr>
            <w:r>
              <w:rPr>
                <w:sz w:val="18"/>
              </w:rPr>
              <w:t xml:space="preserve">Population health outcomes — better outcomes reduce costs</w:t>
            </w:r>
          </w:p>
        </w:tc>
      </w:tr>
      <w:tr>
        <w:trPr/>
        <w:tc>
          <w:tcPr>
            <w:tcW w:w="2805" w:type="dxa"/>
          </w:tcPr>
          <w:p>
            <w:pPr>
              <w:pStyle w:val="Compact"/>
              <w:jc w:val="left"/>
            </w:pPr>
            <w:r>
              <w:rPr>
                <w:sz w:val="18"/>
              </w:rPr>
              <w:t xml:space="preserve">Market share — capturing more patients = more revenue</w:t>
            </w:r>
          </w:p>
        </w:tc>
        <w:tc>
          <w:tcPr>
            <w:tcW w:w="6270" w:type="dxa"/>
          </w:tcPr>
          <w:p>
            <w:pPr>
              <w:pStyle w:val="Compact"/>
              <w:jc w:val="left"/>
            </w:pPr>
            <w:r>
              <w:rPr>
                <w:sz w:val="18"/>
              </w:rPr>
              <w:t xml:space="preserve">ED diversion rate — keeping patients out of the ED saves money</w:t>
            </w:r>
          </w:p>
        </w:tc>
      </w:tr>
      <w:tr>
        <w:trPr/>
        <w:tc>
          <w:tcPr>
            <w:tcW w:w="2805" w:type="dxa"/>
          </w:tcPr>
          <w:p>
            <w:pPr>
              <w:pStyle w:val="Compact"/>
              <w:jc w:val="left"/>
            </w:pPr>
            <w:r>
              <w:rPr>
                <w:sz w:val="18"/>
              </w:rPr>
              <w:t xml:space="preserve">Payer mix — more commercial = better margins</w:t>
            </w:r>
          </w:p>
        </w:tc>
        <w:tc>
          <w:tcPr>
            <w:tcW w:w="6270" w:type="dxa"/>
          </w:tcPr>
          <w:p>
            <w:pPr>
              <w:pStyle w:val="Compact"/>
              <w:jc w:val="left"/>
            </w:pPr>
            <w:r>
              <w:rPr>
                <w:sz w:val="18"/>
              </w:rPr>
              <w:t xml:space="preserve">Readmission rate — every readmission is a cost without additional revenue</w:t>
            </w:r>
          </w:p>
        </w:tc>
      </w:tr>
      <w:tr>
        <w:trPr/>
        <w:tc>
          <w:tcPr>
            <w:tcW w:w="2805" w:type="dxa"/>
          </w:tcPr>
          <w:p>
            <w:pPr>
              <w:pStyle w:val="Compact"/>
              <w:jc w:val="left"/>
            </w:pPr>
            <w:r>
              <w:rPr>
                <w:sz w:val="18"/>
              </w:rPr>
              <w:t xml:space="preserve">Discharge volume</w:t>
            </w:r>
          </w:p>
        </w:tc>
        <w:tc>
          <w:tcPr>
            <w:tcW w:w="6270" w:type="dxa"/>
          </w:tcPr>
          <w:p>
            <w:pPr>
              <w:pStyle w:val="Compact"/>
              <w:jc w:val="left"/>
            </w:pPr>
            <w:r>
              <w:rPr>
                <w:sz w:val="18"/>
              </w:rPr>
              <w:t xml:space="preserve">Days to discharge — length of stay is a cost driver, not a revenue driver</w:t>
            </w:r>
          </w:p>
        </w:tc>
      </w:tr>
      <w:tr>
        <w:trPr/>
        <w:tc>
          <w:tcPr>
            <w:tcW w:w="2805" w:type="dxa"/>
          </w:tcPr>
          <w:p>
            <w:pPr>
              <w:pStyle w:val="Compact"/>
              <w:jc w:val="left"/>
            </w:pPr>
            <w:r>
              <w:rPr>
                <w:sz w:val="18"/>
              </w:rPr>
              <w:t xml:space="preserve">Revenue cycle efficiency — maximize what each claim pays</w:t>
            </w:r>
          </w:p>
        </w:tc>
        <w:tc>
          <w:tcPr>
            <w:tcW w:w="6270" w:type="dxa"/>
          </w:tcPr>
          <w:p>
            <w:pPr>
              <w:pStyle w:val="Compact"/>
              <w:jc w:val="left"/>
            </w:pPr>
            <w:r>
              <w:rPr>
                <w:sz w:val="18"/>
              </w:rPr>
              <w:t xml:space="preserve">Total cost of care per attributed member — efficiency across the whole continuum</w:t>
            </w:r>
          </w:p>
        </w:tc>
      </w:tr>
      <w:tr>
        <w:trPr>
          <w:cantSplit/>
        </w:trPr>
        <w:tc>
          <w:tcPr>
            <w:tcW w:w="2805" w:type="dxa"/>
          </w:tcPr>
          <w:p>
            <w:pPr>
              <w:pStyle w:val="Compact"/>
              <w:jc w:val="left"/>
            </w:pPr>
            <w:r>
              <w:rPr>
                <w:sz w:val="18"/>
              </w:rPr>
              <w:t xml:space="preserve">Operating margin per inpatient day</w:t>
            </w:r>
          </w:p>
        </w:tc>
        <w:tc>
          <w:tcPr>
            <w:tcW w:w="6270" w:type="dxa"/>
          </w:tcPr>
          <w:p>
            <w:pPr>
              <w:pStyle w:val="Compact"/>
              <w:jc w:val="left"/>
            </w:pPr>
            <w:r>
              <w:rPr>
                <w:sz w:val="18"/>
              </w:rPr>
              <w:t xml:space="preserve">Cost per quality-adjusted outcome — the fundamental global budget metric</w:t>
            </w:r>
          </w:p>
        </w:tc>
      </w:tr>
    </w:tbl>
    <w:p>
      <w:pPr>
        <w:pStyle w:val="Caption"/>
        <w:spacing w:before="120"/>
      </w:pPr>
      <w:r>
        <w:rPr>
          <w:i/>
          <w:iCs/>
        </w:rPr>
        <w:t xml:space="preserve">Figure 6.10 — Financial metrics that matter: FFS vs. global budget environment. Compiled from GMCB guidance, Maryland HSCRC methodology, and Act 68 accountability framework.</w:t>
      </w:r>
    </w:p>
    <w:p>
      <w:pPr>
        <w:pStyle w:val="BodyText"/>
      </w:pPr>
      <w: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pPr>
        <w:pStyle w:val="Heading3"/>
        <w:keepNext w:val="false"/>
      </w:pPr>
      <w:r>
        <w:rPr>
          <w:color w:val="161B22"/>
        </w:rPr>
        <w:t xml:space="preserve">6.7.3  </w:t>
      </w:r>
      <w:bookmarkStart w:id="1197" w:name="_Toc1196"/>
      <w:r>
        <w:rPr>
          <w:b/>
          <w:bCs/>
          <w:color w:val="161B22"/>
        </w:rPr>
        <w:t xml:space="preserve">The Savings Roadmap: Where Vermont’s $400M+ Can Come From</w:t>
      </w:r>
      <w:bookmarkEnd w:id="1197"/>
    </w:p>
    <w:p>
      <w:pPr>
        <w:pStyle w:val="FirstParagraph"/>
        <w:keepNext w:val="false"/>
      </w:pPr>
      <w:r>
        <w:t xml:space="preserve">Oliver Wyman’s analysis identified the specific sources of direct and indirect savings from Vermont’s transformation. Understanding this roadmap is essential for any organization planning its role in Vermont’s reformed system.</w:t>
      </w:r>
    </w:p>
    <w:tbl>
      <w:tblPr>
        <w:tblStyle w:val="HTRTable"/>
        <w:tblLook w:firstRow="1" w:lastRow="0" w:firstColumn="0" w:lastColumn="0" w:noHBand="0" w:noVBand="1" w:val="0020"/>
        <w:tblW w:w="9072" w:type="dxa"/>
        <w:tblLayout w:type="fixed"/>
      </w:tblPr>
      <w:tblGrid>
        <w:gridCol w:w="7955"/>
        <w:gridCol w:w="1116"/>
      </w:tblGrid>
      <w:tr>
        <w:trPr>
          <w:tblHeader w:val="on"/>
          <w:cantSplit/>
        </w:trPr>
        <w:tc>
          <w:tcPr>
            <w:shd w:val="clear" w:color="auto" w:fill="1B3A6B"/>
            <w:tcW w:w="7955" w:type="dxa"/>
          </w:tcPr>
          <w:p>
            <w:pPr>
              <w:pStyle w:val="Compact"/>
              <w:jc w:val="left"/>
            </w:pPr>
            <w:r>
              <w:rPr>
                <w:b/>
                <w:color w:val="FFFFFF"/>
                <w:sz w:val="18"/>
              </w:rPr>
              <w:t xml:space="preserve">Source of direct savings (5-year total)</w:t>
            </w:r>
          </w:p>
        </w:tc>
        <w:tc>
          <w:tcPr>
            <w:shd w:val="clear" w:color="auto" w:fill="1B3A6B"/>
            <w:tcW w:w="1116" w:type="dxa"/>
          </w:tcPr>
          <w:p>
            <w:pPr>
              <w:pStyle w:val="Compact"/>
              <w:jc w:val="right"/>
            </w:pPr>
            <w:r>
              <w:rPr>
                <w:b/>
                <w:color w:val="FFFFFF"/>
                <w:sz w:val="18"/>
              </w:rPr>
              <w:t xml:space="preserve">Estimate</w:t>
            </w:r>
          </w:p>
        </w:tc>
      </w:tr>
      <w:tr>
        <w:trPr>
          <w:cantSplit/>
        </w:trPr>
        <w:tc>
          <w:tcPr>
            <w:tcW w:w="7955" w:type="dxa"/>
          </w:tcPr>
          <w:p>
            <w:pPr>
              <w:pStyle w:val="Compact"/>
              <w:jc w:val="left"/>
            </w:pPr>
            <w:r>
              <w:rPr>
                <w:sz w:val="18"/>
              </w:rPr>
              <w:t xml:space="preserve">Close financially unsustainable inpatient facilities</w:t>
            </w:r>
          </w:p>
        </w:tc>
        <w:tc>
          <w:tcPr>
            <w:tcW w:w="1116" w:type="dxa"/>
          </w:tcPr>
          <w:p>
            <w:pPr>
              <w:pStyle w:val="Compact"/>
              <w:jc w:val="right"/>
            </w:pPr>
            <w:r>
              <w:rPr>
                <w:sz w:val="18"/>
              </w:rPr>
              <w:t xml:space="preserve">$100M+</w:t>
            </w:r>
          </w:p>
        </w:tc>
      </w:tr>
      <w:tr>
        <w:trPr/>
        <w:tc>
          <w:tcPr>
            <w:tcW w:w="7955" w:type="dxa"/>
          </w:tcPr>
          <w:p>
            <w:pPr>
              <w:pStyle w:val="Compact"/>
              <w:jc w:val="left"/>
            </w:pPr>
            <w:r>
              <w:rPr>
                <w:sz w:val="18"/>
              </w:rPr>
              <w:t xml:space="preserve">Reduce administrative costs and shared services synergies</w:t>
            </w:r>
          </w:p>
        </w:tc>
        <w:tc>
          <w:tcPr>
            <w:tcW w:w="1116" w:type="dxa"/>
          </w:tcPr>
          <w:p>
            <w:pPr>
              <w:pStyle w:val="Compact"/>
              <w:jc w:val="right"/>
            </w:pPr>
            <w:r>
              <w:rPr>
                <w:sz w:val="18"/>
              </w:rPr>
              <w:t xml:space="preserve">$115M+</w:t>
            </w:r>
          </w:p>
        </w:tc>
      </w:tr>
      <w:tr>
        <w:trPr/>
        <w:tc>
          <w:tcPr>
            <w:tcW w:w="7955" w:type="dxa"/>
          </w:tcPr>
          <w:p>
            <w:pPr>
              <w:pStyle w:val="Compact"/>
              <w:jc w:val="left"/>
            </w:pPr>
            <w:r>
              <w:rPr>
                <w:sz w:val="18"/>
              </w:rPr>
              <w:t xml:space="preserve">Shift procedures to ASUs and outpatient settings</w:t>
            </w:r>
          </w:p>
        </w:tc>
        <w:tc>
          <w:tcPr>
            <w:tcW w:w="1116" w:type="dxa"/>
          </w:tcPr>
          <w:p>
            <w:pPr>
              <w:pStyle w:val="Compact"/>
              <w:jc w:val="right"/>
            </w:pPr>
            <w:r>
              <w:rPr>
                <w:sz w:val="18"/>
              </w:rPr>
              <w:t xml:space="preserve">$130M+</w:t>
            </w:r>
          </w:p>
        </w:tc>
      </w:tr>
      <w:tr>
        <w:trPr/>
        <w:tc>
          <w:tcPr>
            <w:tcW w:w="7955" w:type="dxa"/>
          </w:tcPr>
          <w:p>
            <w:pPr>
              <w:pStyle w:val="Compact"/>
              <w:jc w:val="left"/>
            </w:pPr>
            <w:r>
              <w:rPr>
                <w:sz w:val="18"/>
              </w:rPr>
              <w:t xml:space="preserve">Expand primary care to reduce preventable ED visits</w:t>
            </w:r>
          </w:p>
        </w:tc>
        <w:tc>
          <w:tcPr>
            <w:tcW w:w="1116" w:type="dxa"/>
          </w:tcPr>
          <w:p>
            <w:pPr>
              <w:pStyle w:val="Compact"/>
              <w:jc w:val="right"/>
            </w:pPr>
            <w:r>
              <w:rPr>
                <w:sz w:val="18"/>
              </w:rPr>
              <w:t xml:space="preserve">$90M+</w:t>
            </w:r>
          </w:p>
        </w:tc>
      </w:tr>
      <w:tr>
        <w:trPr>
          <w:cantSplit/>
        </w:trPr>
        <w:tc>
          <w:tcPr>
            <w:tcW w:w="7955" w:type="dxa"/>
          </w:tcPr>
          <w:p>
            <w:pPr>
              <w:pStyle w:val="Compact"/>
              <w:jc w:val="left"/>
            </w:pPr>
            <w:r>
              <w:rPr>
                <w:sz w:val="18"/>
              </w:rPr>
              <w:t xml:space="preserve">Address SDOH to reduce avoidable hospitalizations</w:t>
            </w:r>
          </w:p>
        </w:tc>
        <w:tc>
          <w:tcPr>
            <w:tcW w:w="1116" w:type="dxa"/>
          </w:tcPr>
          <w:p>
            <w:pPr>
              <w:pStyle w:val="Compact"/>
              <w:jc w:val="right"/>
            </w:pPr>
            <w:r>
              <w:rPr>
                <w:sz w:val="18"/>
              </w:rPr>
              <w:t xml:space="preserve">$80M+</w:t>
            </w:r>
          </w:p>
        </w:tc>
      </w:tr>
    </w:tbl>
    <w:p>
      <w:pPr>
        <w:pStyle w:val="Caption"/>
        <w:spacing w:before="120"/>
      </w:pPr>
      <w:r>
        <w:rPr>
          <w:i/>
          <w:iCs/>
        </w:rPr>
        <w:t xml:space="preserve">Figure 6.11 — Estimated sources of direct and indirect savings from Vermont hospital transformation. Figures are illustrative ranges derived from Oliver Wyman’s &gt;$400M total estimate. Source: Oliver Wyman Act 167 Report (2024).</w:t>
      </w:r>
    </w:p>
    <w:p>
      <w:pPr>
        <w:pStyle w:val="BodyText"/>
      </w:pPr>
      <w: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Burlington), a significant gap given the breadth of the inpatient surgical capacity Oliver Wyman recommends redirecting. The RHT Program and Act 68 transformation grants are explicitly designed to fund the development of non-hospital care capacity that makes this shift possible.</w:t>
      </w:r>
    </w:p>
    <w:p>
      <w:pPr>
        <w:pStyle w:val="Heading2"/>
        <w:pBdr>
          <w:top w:val="single" w:sz="6" w:space="10" w:color="C9D2DF"/>
        </w:pBdr>
      </w:pPr>
      <w:r>
        <w:rPr>
          <w:color w:val="161B22"/>
        </w:rPr>
        <w:t xml:space="preserve">6.8  </w:t>
      </w:r>
      <w:bookmarkStart w:id="1198" w:name="_Toc1197"/>
      <w:r>
        <w:rPr>
          <w:b/>
          <w:bCs/>
          <w:color w:val="161B22"/>
        </w:rPr>
        <w:t xml:space="preserve">APM Transition Strategy for Vermont Healthcare Organizations</w:t>
      </w:r>
      <w:bookmarkEnd w:id="1198"/>
    </w:p>
    <w:p>
      <w:pPr>
        <w:pStyle w:val="FirstParagraph"/>
      </w:pPr>
      <w: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pPr>
        <w:pStyle w:val="Heading3"/>
        <w:keepNext w:val="false"/>
      </w:pPr>
      <w:r>
        <w:rPr>
          <w:color w:val="161B22"/>
        </w:rPr>
        <w:t xml:space="preserve">6.8.1  </w:t>
      </w:r>
      <w:bookmarkStart w:id="1199" w:name="_Toc1198"/>
      <w:r>
        <w:rPr>
          <w:b/>
          <w:bCs/>
          <w:color w:val="161B22"/>
        </w:rPr>
        <w:t xml:space="preserve">The Three-Phase Transition Model</w:t>
      </w:r>
      <w:bookmarkEnd w:id="1199"/>
    </w:p>
    <w:p>
      <w:pPr>
        <w:pStyle w:val="FirstParagraph"/>
        <w:keepNext w:val="false"/>
      </w:pPr>
      <w:r>
        <w:t xml:space="preserve">Vermont’s payment reform trajectory follows a predictable three-phase model that organizations can use for planning purposes:</w:t>
      </w:r>
    </w:p>
    <w:tbl>
      <w:tblPr>
        <w:tblStyle w:val="HTRTable"/>
        <w:tblLook w:firstRow="1" w:lastRow="0" w:firstColumn="0" w:lastColumn="0" w:noHBand="0" w:noVBand="1" w:val="0020"/>
        <w:tblW w:w="9072" w:type="dxa"/>
        <w:tblLayout w:type="fixed"/>
      </w:tblPr>
      <w:tblGrid>
        <w:gridCol w:w="675"/>
        <w:gridCol w:w="930"/>
        <w:gridCol w:w="2445"/>
        <w:gridCol w:w="5040"/>
      </w:tblGrid>
      <w:tr>
        <w:trPr>
          <w:tblHeader w:val="on"/>
          <w:cantSplit/>
        </w:trPr>
        <w:tc>
          <w:tcPr>
            <w:shd w:val="clear" w:color="auto" w:fill="1B3A6B"/>
            <w:tcW w:w="675" w:type="dxa"/>
          </w:tcPr>
          <w:p>
            <w:pPr>
              <w:pStyle w:val="Compact"/>
              <w:jc w:val="left"/>
            </w:pPr>
            <w:r>
              <w:rPr>
                <w:b/>
                <w:color w:val="FFFFFF"/>
                <w:sz w:val="18"/>
              </w:rPr>
              <w:t xml:space="preserve">Phase</w:t>
            </w:r>
          </w:p>
        </w:tc>
        <w:tc>
          <w:tcPr>
            <w:shd w:val="clear" w:color="auto" w:fill="1B3A6B"/>
            <w:tcW w:w="930" w:type="dxa"/>
          </w:tcPr>
          <w:p>
            <w:pPr>
              <w:pStyle w:val="Compact"/>
              <w:jc w:val="left"/>
            </w:pPr>
            <w:r>
              <w:rPr>
                <w:b/>
                <w:color w:val="FFFFFF"/>
                <w:sz w:val="18"/>
              </w:rPr>
              <w:t xml:space="preserve">Timeline</w:t>
            </w:r>
          </w:p>
        </w:tc>
        <w:tc>
          <w:tcPr>
            <w:shd w:val="clear" w:color="auto" w:fill="1B3A6B"/>
            <w:tcW w:w="2445" w:type="dxa"/>
          </w:tcPr>
          <w:p>
            <w:pPr>
              <w:pStyle w:val="Compact"/>
              <w:jc w:val="left"/>
            </w:pPr>
            <w:r>
              <w:rPr>
                <w:b/>
                <w:color w:val="FFFFFF"/>
                <w:sz w:val="18"/>
              </w:rPr>
              <w:t xml:space="preserve">Payment environment</w:t>
            </w:r>
          </w:p>
        </w:tc>
        <w:tc>
          <w:tcPr>
            <w:shd w:val="clear" w:color="auto" w:fill="1B3A6B"/>
            <w:tcW w:w="5040" w:type="dxa"/>
          </w:tcPr>
          <w:p>
            <w:pPr>
              <w:pStyle w:val="Compact"/>
              <w:jc w:val="left"/>
            </w:pPr>
            <w:r>
              <w:rPr>
                <w:b/>
                <w:color w:val="FFFFFF"/>
                <w:sz w:val="18"/>
              </w:rPr>
              <w:t xml:space="preserve">Strategic priorities</w:t>
            </w:r>
          </w:p>
        </w:tc>
      </w:tr>
      <w:tr>
        <w:trPr>
          <w:cantSplit/>
        </w:trPr>
        <w:tc>
          <w:tcPr>
            <w:tcW w:w="675" w:type="dxa"/>
          </w:tcPr>
          <w:p>
            <w:pPr>
              <w:pStyle w:val="Compact"/>
              <w:jc w:val="left"/>
            </w:pPr>
            <w:r>
              <w:rPr>
                <w:sz w:val="18"/>
              </w:rPr>
              <w:t xml:space="preserve">Preparation</w:t>
            </w:r>
          </w:p>
        </w:tc>
        <w:tc>
          <w:tcPr>
            <w:tcW w:w="930" w:type="dxa"/>
          </w:tcPr>
          <w:p>
            <w:pPr>
              <w:pStyle w:val="Compact"/>
              <w:jc w:val="left"/>
            </w:pPr>
            <w:r>
              <w:rPr>
                <w:sz w:val="18"/>
              </w:rPr>
              <w:t xml:space="preserve">Now through FY2026</w:t>
            </w:r>
          </w:p>
        </w:tc>
        <w:tc>
          <w:tcPr>
            <w:tcW w:w="2445" w:type="dxa"/>
          </w:tcPr>
          <w:p>
            <w:pPr>
              <w:pStyle w:val="Compact"/>
              <w:jc w:val="left"/>
            </w:pPr>
            <w:r>
              <w:rPr>
                <w:sz w:val="18"/>
              </w:rPr>
              <w:t xml:space="preserve">FFS with increasing budget pressure; -1% commercial rate benchmark; Act 55 drug cap in effect</w:t>
            </w:r>
          </w:p>
        </w:tc>
        <w:tc>
          <w:tcPr>
            <w:tcW w:w="5040" w:type="dxa"/>
          </w:tcPr>
          <w:p>
            <w:pPr>
              <w:pStyle w:val="Compact"/>
              <w:jc w:val="left"/>
            </w:pPr>
            <w:r>
              <w:rPr>
                <w:sz w:val="18"/>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p>
        </w:tc>
      </w:tr>
      <w:tr>
        <w:trPr/>
        <w:tc>
          <w:tcPr>
            <w:tcW w:w="675" w:type="dxa"/>
          </w:tcPr>
          <w:p>
            <w:pPr>
              <w:pStyle w:val="Compact"/>
              <w:jc w:val="left"/>
            </w:pPr>
            <w:r>
              <w:rPr>
                <w:sz w:val="18"/>
              </w:rPr>
              <w:t xml:space="preserve">Transition</w:t>
            </w:r>
          </w:p>
        </w:tc>
        <w:tc>
          <w:tcPr>
            <w:tcW w:w="930" w:type="dxa"/>
          </w:tcPr>
          <w:p>
            <w:pPr>
              <w:pStyle w:val="Compact"/>
              <w:jc w:val="left"/>
            </w:pPr>
            <w:r>
              <w:rPr>
                <w:sz w:val="18"/>
              </w:rPr>
              <w:t xml:space="preserve">FY2027</w:t>
            </w:r>
          </w:p>
        </w:tc>
        <w:tc>
          <w:tcPr>
            <w:tcW w:w="2445" w:type="dxa"/>
          </w:tcPr>
          <w:p>
            <w:pPr>
              <w:pStyle w:val="Compact"/>
              <w:jc w:val="left"/>
            </w:pPr>
            <w:r>
              <w:rPr>
                <w:sz w:val="18"/>
              </w:rPr>
              <w:t xml:space="preserve">RBP maximum rates in effect for commercial payers; AHEAD Hospital Global Budgets begin January 2028 for Medicare FFS</w:t>
            </w:r>
          </w:p>
        </w:tc>
        <w:tc>
          <w:tcPr>
            <w:tcW w:w="5040" w:type="dxa"/>
          </w:tcPr>
          <w:p>
            <w:pPr>
              <w:pStyle w:val="Compact"/>
              <w:jc w:val="left"/>
            </w:pPr>
            <w:r>
              <w:rPr>
                <w:sz w:val="18"/>
              </w:rPr>
              <w:t xml:space="preserve">Revenue modeling: model financial impact of RBP rates on each major service line. Service line rationalization: align with Oliver Wyman COE recommendations. Primary care investment: increase PC capacity ahead of AHEAD’s primary care investment requirements.</w:t>
            </w:r>
          </w:p>
        </w:tc>
      </w:tr>
      <w:tr>
        <w:trPr>
          <w:cantSplit/>
        </w:trPr>
        <w:tc>
          <w:tcPr>
            <w:tcW w:w="675" w:type="dxa"/>
          </w:tcPr>
          <w:p>
            <w:pPr>
              <w:pStyle w:val="Compact"/>
              <w:jc w:val="left"/>
            </w:pPr>
            <w:r>
              <w:rPr>
                <w:sz w:val="18"/>
              </w:rPr>
              <w:t xml:space="preserve">Operation</w:t>
            </w:r>
          </w:p>
        </w:tc>
        <w:tc>
          <w:tcPr>
            <w:tcW w:w="930" w:type="dxa"/>
          </w:tcPr>
          <w:p>
            <w:pPr>
              <w:pStyle w:val="Compact"/>
              <w:jc w:val="left"/>
            </w:pPr>
            <w:r>
              <w:rPr>
                <w:sz w:val="18"/>
              </w:rPr>
              <w:t xml:space="preserve">FY2028 and beyond</w:t>
            </w:r>
          </w:p>
        </w:tc>
        <w:tc>
          <w:tcPr>
            <w:tcW w:w="2445" w:type="dxa"/>
          </w:tcPr>
          <w:p>
            <w:pPr>
              <w:pStyle w:val="Compact"/>
              <w:jc w:val="left"/>
            </w:pPr>
            <w:r>
              <w:rPr>
                <w:sz w:val="18"/>
              </w:rPr>
              <w:t xml:space="preserve">Global hospital budgets for non-CAH hospitals; AHEAD in full operation; Statewide Strategic Plan delivered December 2028</w:t>
            </w:r>
          </w:p>
        </w:tc>
        <w:tc>
          <w:tcPr>
            <w:tcW w:w="5040" w:type="dxa"/>
          </w:tcPr>
          <w:p>
            <w:pPr>
              <w:pStyle w:val="Compact"/>
              <w:jc w:val="left"/>
            </w:pPr>
            <w:r>
              <w:rPr>
                <w:sz w:val="18"/>
              </w:rPr>
              <w:t xml:space="preserve">Population health management: from awareness to execution. Quality accountability: GMCB metrics integrated into operational management. Community investment: SDOH programs, care coordination, housing partnerships.</w:t>
            </w:r>
          </w:p>
        </w:tc>
      </w:tr>
    </w:tbl>
    <w:p>
      <w:pPr>
        <w:pStyle w:val="Caption"/>
        <w:spacing w:before="120"/>
      </w:pPr>
      <w:r>
        <w:rPr>
          <w:i/>
          <w:iCs/>
        </w:rPr>
        <w:t xml:space="preserve">Figure 6.12 — Three-phase APM transition model for Vermont healthcare organizations.</w:t>
      </w:r>
    </w:p>
    <w:p>
      <w:pPr>
        <w:pStyle w:val="Heading3"/>
      </w:pPr>
      <w:r>
        <w:rPr>
          <w:color w:val="161B22"/>
        </w:rPr>
        <w:t xml:space="preserve">6.8.2  </w:t>
      </w:r>
      <w:bookmarkStart w:id="1200" w:name="_Toc1199"/>
      <w:r>
        <w:rPr>
          <w:b/>
          <w:bCs/>
          <w:color w:val="161B22"/>
        </w:rPr>
        <w:t xml:space="preserve">The VBC Readiness Assessment in a Global Budget Context</w:t>
      </w:r>
      <w:bookmarkEnd w:id="1200"/>
    </w:p>
    <w:p>
      <w:pPr>
        <w:pStyle w:val="FirstParagraph"/>
      </w:pPr>
      <w: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pPr>
        <w:pStyle w:val="BodyText"/>
      </w:pPr>
      <w:r>
        <w:rPr>
          <w:b/>
          <w:bCs/>
        </w:rPr>
        <w:t xml:space="preserve">Data and Technology</w:t>
      </w:r>
      <w:r>
        <w:t xml:space="preserve"> </w:t>
      </w:r>
      <w:r>
        <w:t xml:space="preserve">—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FY2027.</w:t>
      </w:r>
    </w:p>
    <w:p>
      <w:pPr>
        <w:pStyle w:val="BodyText"/>
      </w:pPr>
      <w:r>
        <w:rPr>
          <w:b/>
          <w:bCs/>
        </w:rPr>
        <w:t xml:space="preserve">Care Delivery Capability</w:t>
      </w:r>
      <w:r>
        <w:t xml:space="preserve"> </w:t>
      </w:r>
      <w:r>
        <w:t xml:space="preserve">—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pPr>
        <w:pStyle w:val="Heading2"/>
        <w:pBdr>
          <w:top w:val="single" w:sz="6" w:space="10" w:color="C9D2DF"/>
        </w:pBdr>
        <w:keepNext w:val="false"/>
      </w:pPr>
      <w:r>
        <w:rPr>
          <w:color w:val="161B22"/>
        </w:rPr>
        <w:t xml:space="preserve">6.9  </w:t>
      </w:r>
      <w:bookmarkStart w:id="1201" w:name="_Toc1200"/>
      <w:r>
        <w:rPr>
          <w:b/>
          <w:bCs/>
          <w:color w:val="161B22"/>
        </w:rPr>
        <w:t xml:space="preserve">Work This Chapter on the Platform</w:t>
      </w:r>
      <w:bookmarkEnd w:id="1201"/>
    </w:p>
    <w:p>
      <w:pPr>
        <w:pStyle w:val="FirstParagraph"/>
        <w:keepNext w:val="false"/>
      </w:pPr>
      <w:r>
        <w:t xml:space="preserve">Chapter 6’s payment-reform argument — reference-based pricing, global budgets, the fee-for-service trap — is fully modelable. Reproduce the chapter’s Vermont numbers and then run your own.</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tc>
          <w:tcPr>
            <w:tcW w:w="4062" w:type="dxa"/>
          </w:tcPr>
          <w:p>
            <w:pPr>
              <w:pStyle w:val="Compact"/>
              <w:jc w:val="left"/>
            </w:pPr>
            <w:r>
              <w:rPr>
                <w:sz w:val="18"/>
              </w:rPr>
              <w:t xml:space="preserve">Design an APM and model a 5-year global-budget transition with Vermont’s All-Payer TCOC preset</w:t>
            </w:r>
          </w:p>
        </w:tc>
        <w:tc>
          <w:tcPr>
            <w:tcW w:w="947" w:type="dxa"/>
          </w:tcPr>
          <w:p>
            <w:pPr>
              <w:pStyle w:val="Compact"/>
              <w:jc w:val="left"/>
            </w:pPr>
            <w:r>
              <w:rPr>
                <w:b/>
                <w:bCs/>
                <w:sz w:val="18"/>
              </w:rPr>
              <w:t xml:space="preserve">APM Design Lab</w:t>
            </w:r>
            <w:r>
              <w:rPr>
                <w:sz w:val="18"/>
              </w:rPr>
              <w:t xml:space="preserve"> </w:t>
            </w:r>
            <w:r>
              <w:rPr>
                <w:sz w:val="18"/>
              </w:rPr>
              <w:t xml:space="preserve">—</w:t>
            </w:r>
            <w:r>
              <w:rPr>
                <w:sz w:val="18"/>
              </w:rPr>
              <w:t xml:space="preserve"> </w:t>
            </w:r>
            <w:r>
              <w:rPr>
                <w:rStyle w:val="VerbatimChar"/>
                <w:sz w:val="18"/>
              </w:rPr>
              <w:t xml:space="preserve">/research-lab/payment-models?tab=apm-design</w:t>
            </w:r>
            <w:r>
              <w:rPr>
                <w:sz w:val="18"/>
              </w:rPr>
              <w:t xml:space="preserve"> </w:t>
            </w:r>
            <w:r>
              <w:rPr>
                <w:sz w:val="18"/>
              </w:rPr>
              <w:t xml:space="preserve">and</w:t>
            </w:r>
            <w:r>
              <w:rPr>
                <w:sz w:val="18"/>
              </w:rPr>
              <w:t xml:space="preserve"> </w:t>
            </w:r>
            <w:r>
              <w:rPr>
                <w:b/>
                <w:bCs/>
                <w:sz w:val="18"/>
              </w:rPr>
              <w:t xml:space="preserve">Global Budget Transition Modeler</w:t>
            </w:r>
            <w:r>
              <w:rPr>
                <w:sz w:val="18"/>
              </w:rPr>
              <w:t xml:space="preserve"> </w:t>
            </w:r>
            <w:r>
              <w:rPr>
                <w:sz w:val="18"/>
              </w:rPr>
              <w:t xml:space="preserve">—</w:t>
            </w:r>
            <w:r>
              <w:rPr>
                <w:sz w:val="18"/>
              </w:rPr>
              <w:t xml:space="preserve"> </w:t>
            </w:r>
            <w:r>
              <w:rPr>
                <w:rStyle w:val="VerbatimChar"/>
                <w:sz w:val="18"/>
              </w:rPr>
              <w:t xml:space="preserve">/research-lab/payment-models?tab=gb-transition</w:t>
            </w:r>
          </w:p>
        </w:tc>
        <w:tc>
          <w:tcPr>
            <w:tcW w:w="4062" w:type="dxa"/>
          </w:tcPr>
          <w:p>
            <w:pPr>
              <w:pStyle w:val="Compact"/>
              <w:jc w:val="left"/>
            </w:pPr>
            <w:r>
              <w:rPr>
                <w:sz w:val="18"/>
              </w:rPr>
              <w:t xml:space="preserve">How a binding revenue envelope changes the volume incentive the chapter describes.</w:t>
            </w:r>
          </w:p>
        </w:tc>
      </w:tr>
      <w:tr>
        <w:trPr/>
        <w:tc>
          <w:tcPr>
            <w:tcW w:w="4062" w:type="dxa"/>
          </w:tcPr>
          <w:p>
            <w:pPr>
              <w:pStyle w:val="Compact"/>
              <w:jc w:val="left"/>
            </w:pPr>
            <w:r>
              <w:rPr>
                <w:sz w:val="18"/>
              </w:rPr>
              <w:t xml:space="preserve">Stress-test a hospital’s finances under RBP, global-budget, and Medicaid-cut scenarios</w:t>
            </w:r>
          </w:p>
        </w:tc>
        <w:tc>
          <w:tcPr>
            <w:tcW w:w="947"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4062" w:type="dxa"/>
          </w:tcPr>
          <w:p>
            <w:pPr>
              <w:pStyle w:val="Compact"/>
              <w:jc w:val="left"/>
            </w:pPr>
            <w:r>
              <w:rPr>
                <w:sz w:val="18"/>
              </w:rPr>
              <w:t xml:space="preserve">Reproduce the Oliver Wyman finding: 13 of 14 hospitals in operating loss by 2028 under the conservative scenario.</w:t>
            </w:r>
          </w:p>
        </w:tc>
      </w:tr>
    </w:tbl>
    <w:p>
      <w:pPr>
        <w:pStyle w:val="Caption"/>
        <w:spacing w:before="120"/>
      </w:pPr>
      <w:r>
        <w:rPr>
          <w:i/>
          <w:iCs/>
        </w:rPr>
        <w:t xml:space="preserve">Figure 6.H — Hands-on platform tools for the Economics Pillar.</w:t>
      </w:r>
    </w:p>
    <w:p>
      <w:pPr>
        <w:pStyle w:val="Heading2"/>
        <w:pBdr>
          <w:top w:val="single" w:sz="6" w:space="10" w:color="C9D2DF"/>
        </w:pBdr>
      </w:pPr>
      <w:r>
        <w:rPr>
          <w:color w:val="161B22"/>
        </w:rPr>
        <w:t xml:space="preserve">6.10  </w:t>
      </w:r>
      <w:bookmarkStart w:id="1202" w:name="_Toc1201"/>
      <w:r>
        <w:rPr>
          <w:b/>
          <w:bCs/>
          <w:color w:val="161B22"/>
        </w:rPr>
        <w:t xml:space="preserve">Implications for You</w:t>
      </w:r>
      <w:bookmarkEnd w:id="1202"/>
    </w:p>
    <w:p>
      <w:pPr>
        <w:pStyle w:val="FirstParagraph"/>
      </w:pPr>
      <w: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CAHs and the national benchmark is not going to close by itself. It closes when the financial model changes, and that model change is 18 months away.</w:t>
      </w:r>
    </w:p>
    <w:p>
      <w:pPr>
        <w:pStyle w:val="BodyText"/>
      </w:pPr>
      <w:r>
        <w:t xml:space="preserve">If you are an AHS or GMCB official: The global budget methodology is the most consequential document Vermont’s transformation will produce.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pPr>
        <w:pStyle w:val="BodyText"/>
      </w:pPr>
      <w:r>
        <w:t xml:space="preserve">If you are a Vermont legislator: The EAST Fund — up to $150M annually in Medicare performance funds flowing to Vermont under AHEAD — is transformation capital, not operating revenue. Its correct use is investment in the community health infrastructure, workforce development, and social determinants programs that produce the population health improvement AHEAD measures. If the EAST Fund is used to cover operating deficits at financially stressed hospitals, it will produce short-term relief and long-term dependence without the population health improvement that justifies the federal investment. The legislature should set explicit expectations for EAST Fund use that distinguish transformation investment from operating subsidy.</w:t>
      </w:r>
    </w:p>
    <w:p>
      <w:pPr>
        <w:pStyle w:val="BodyText"/>
      </w:pPr>
      <w:r>
        <w:t xml:space="preserve">If you are a national health policy professional: Vermont’s RBP target of 200% of Medicare is the most specific mandatory all-payer price target enacted by any state.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pPr>
        <w:pStyle w:val="BodyText"/>
      </w:pPr>
      <w:r>
        <w:rPr>
          <w:b/>
          <w:bCs/>
        </w:rPr>
        <w:t xml:space="preserve">Network and Partnerships</w:t>
      </w:r>
      <w:r>
        <w:t xml:space="preserve"> </w:t>
      </w:r>
      <w:r>
        <w:t xml:space="preserve">—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pPr>
        <w:pStyle w:val="Heading2"/>
        <w:pBdr>
          <w:top w:val="single" w:sz="6" w:space="10" w:color="C9D2DF"/>
        </w:pBdr>
      </w:pPr>
      <w:r>
        <w:rPr>
          <w:color w:val="161B22"/>
        </w:rPr>
        <w:t xml:space="preserve">6.11  </w:t>
      </w:r>
      <w:bookmarkStart w:id="1203" w:name="_Toc1202"/>
      <w:r>
        <w:rPr>
          <w:b/>
          <w:bCs/>
          <w:color w:val="161B22"/>
        </w:rPr>
        <w:t xml:space="preserve">Key Concepts in This Chapter</w:t>
      </w:r>
      <w:bookmarkEnd w:id="1203"/>
    </w:p>
    <w:p>
      <w:pPr>
        <w:pStyle w:val="FirstParagraph"/>
        <w:spacing w:before="160" w:after="120"/>
      </w:pPr>
      <w:r>
        <w:rPr>
          <w:rFonts w:ascii="Calibri" w:hAnsi="Calibri"/>
          <w:b/>
          <w:bCs/>
          <w:color w:val="2E74B5"/>
          <w:sz w:val="20"/>
        </w:rPr>
        <w:t xml:space="preserve">Global Budget Revenue (GBR)</w:t>
      </w:r>
      <w:r>
        <w:rPr>
          <w:rFonts w:ascii="Calibri" w:hAnsi="Calibri"/>
          <w:color w:val="000000"/>
          <w:sz w:val="18"/>
        </w:rPr>
        <w:br/>
      </w:r>
      <w:r>
        <w:rPr>
          <w:rFonts w:ascii="Calibri" w:hAnsi="Calibri"/>
          <w:color w:val="000000"/>
          <w:sz w:val="18"/>
        </w:rPr>
        <w:t xml:space="preserve">Maryland’s term for a prospectively fixed annual hospital revenue cap, adjusted for quality performance and population health metrics. The model Vermont’s GMCB-designed commercial global budgets will most closely follow.</w:t>
      </w:r>
    </w:p>
    <w:p>
      <w:pPr>
        <w:pStyle w:val="BodyText"/>
        <w:spacing w:before="160" w:after="120"/>
      </w:pPr>
      <w:r>
        <w:rPr>
          <w:rFonts w:ascii="Calibri" w:hAnsi="Calibri"/>
          <w:b/>
          <w:bCs/>
          <w:color w:val="2E74B5"/>
          <w:sz w:val="20"/>
        </w:rPr>
        <w:t xml:space="preserve">All-payer alignment</w:t>
      </w:r>
      <w:r>
        <w:rPr>
          <w:rFonts w:ascii="Calibri" w:hAnsi="Calibri"/>
          <w:color w:val="000000"/>
          <w:sz w:val="18"/>
        </w:rPr>
        <w:br/>
      </w:r>
      <w:r>
        <w:rPr>
          <w:rFonts w:ascii="Calibri" w:hAnsi="Calibri"/>
          <w:color w:val="000000"/>
          <w:sz w:val="18"/>
        </w:rPr>
        <w:t xml:space="preserve">The condition in which Medicare, Medicaid, and commercial payers all operate under the same or compatible payment methodology for hospital services. Essential for global budget effectiveness; Vermont’s AHEAD + Act 68 combination is designed to achieve this by FY2028-2030.</w:t>
      </w:r>
    </w:p>
    <w:p>
      <w:pPr>
        <w:pStyle w:val="BodyText"/>
        <w:spacing w:before="160" w:after="120"/>
      </w:pPr>
      <w:r>
        <w:rPr>
          <w:rFonts w:ascii="Calibri" w:hAnsi="Calibri"/>
          <w:b/>
          <w:bCs/>
          <w:color w:val="2E74B5"/>
          <w:sz w:val="20"/>
        </w:rPr>
        <w:t xml:space="preserve">Cross-subsidy</w:t>
      </w:r>
      <w:r>
        <w:rPr>
          <w:rFonts w:ascii="Calibri" w:hAnsi="Calibri"/>
          <w:color w:val="000000"/>
          <w:sz w:val="18"/>
        </w:rPr>
        <w:br/>
      </w:r>
      <w:r>
        <w:rPr>
          <w:rFonts w:ascii="Calibri" w:hAnsi="Calibri"/>
          <w:color w:val="000000"/>
          <w:sz w:val="18"/>
        </w:rPr>
        <w:t xml:space="preserve">The mechanism by which above-cost commercial payments subsidize below-cost Medicare and Medicaid payments. Vermont’s demographic shift is making this mechanism financially unsustainable as the commercial base shrinks relative to the government-payer population.</w:t>
      </w:r>
    </w:p>
    <w:p>
      <w:pPr>
        <w:pStyle w:val="BodyText"/>
        <w:spacing w:before="160" w:after="120"/>
      </w:pPr>
      <w:r>
        <w:rPr>
          <w:rFonts w:ascii="Calibri" w:hAnsi="Calibri"/>
          <w:b/>
          <w:bCs/>
          <w:color w:val="2E74B5"/>
          <w:sz w:val="20"/>
        </w:rPr>
        <w:t xml:space="preserve">Potentially avoidable utilization (PAU)</w:t>
      </w:r>
      <w:r>
        <w:rPr>
          <w:rFonts w:ascii="Calibri" w:hAnsi="Calibri"/>
          <w:color w:val="000000"/>
          <w:sz w:val="18"/>
        </w:rPr>
        <w:br/>
      </w:r>
      <w:r>
        <w:rPr>
          <w:rFonts w:ascii="Calibri" w:hAnsi="Calibri"/>
          <w:color w:val="000000"/>
          <w:sz w:val="18"/>
        </w:rPr>
        <w:t xml:space="preserve">Hospital admissions, ED visits, and readmissions that could have been prevented through effective primary care, care coordination, or SDOH intervention. A key performance metric under global budgets; reducing PAU saves money in a capped-revenue environment.</w:t>
      </w:r>
    </w:p>
    <w:p>
      <w:pPr>
        <w:pStyle w:val="BodyText"/>
        <w:spacing w:before="160" w:after="120"/>
      </w:pPr>
      <w:r>
        <w:rPr>
          <w:rFonts w:ascii="Calibri" w:hAnsi="Calibri"/>
          <w:b/>
          <w:bCs/>
          <w:color w:val="2E74B5"/>
          <w:sz w:val="20"/>
        </w:rPr>
        <w:t xml:space="preserve">EAST Fund</w:t>
      </w:r>
      <w:r>
        <w:rPr>
          <w:rFonts w:ascii="Calibri" w:hAnsi="Calibri"/>
          <w:color w:val="000000"/>
          <w:sz w:val="18"/>
        </w:rPr>
        <w:br/>
      </w:r>
      <w:r>
        <w:rPr>
          <w:rFonts w:ascii="Calibri" w:hAnsi="Calibri"/>
          <w:color w:val="000000"/>
          <w:sz w:val="18"/>
        </w:rPr>
        <w:t xml:space="preserve">Equity, Access, and Statewide Transformation Fund — the component of Vermont’s AHEAD State Agreement providing up to $150M annually in additional Medicare funds for investment in primary care, behavioral health, home health, and long-term care.</w:t>
      </w:r>
    </w:p>
    <w:p>
      <w:pPr>
        <w:pStyle w:val="BodyText"/>
        <w:spacing w:before="160" w:after="120"/>
      </w:pPr>
      <w:r>
        <w:rPr>
          <w:rFonts w:ascii="Calibri" w:hAnsi="Calibri"/>
          <w:color w:val="000000"/>
          <w:sz w:val="18"/>
        </w:rPr>
        <w:t xml:space="preserve">AHEAD (Achieving Healthcare Efficiency through Accountable Design)</w:t>
      </w:r>
    </w:p>
    <w:p>
      <w:pPr>
        <w:pStyle w:val="BodyText"/>
        <w:spacing w:before="160" w:after="120"/>
      </w:pPr>
      <w:r>
        <w:rPr>
          <w:rFonts w:ascii="Calibri" w:hAnsi="Calibri"/>
          <w:color w:val="000000"/>
          <w:sz w:val="18"/>
        </w:rPr>
        <w:t xml:space="preserve">CMMI’s voluntary state total cost of care model, with 6 participating states. Vermont participates in Cohort 2, beginning January 2028. Provides Medicare FFS hospital global budgets, enhanced primary care payments, and accountability for total cost of care growth.</w:t>
      </w:r>
    </w:p>
    <w:p>
      <w:pPr>
        <w:pStyle w:val="BodyText"/>
        <w:spacing w:before="160" w:after="120"/>
      </w:pPr>
      <w:r>
        <w:rPr>
          <w:rFonts w:ascii="Calibri" w:hAnsi="Calibri"/>
          <w:b/>
          <w:bCs/>
          <w:color w:val="2E74B5"/>
          <w:sz w:val="20"/>
        </w:rPr>
        <w:t xml:space="preserve">Revenue predictability</w:t>
      </w:r>
      <w:r>
        <w:rPr>
          <w:rFonts w:ascii="Calibri" w:hAnsi="Calibri"/>
          <w:color w:val="000000"/>
          <w:sz w:val="18"/>
        </w:rPr>
        <w:br/>
      </w:r>
      <w:r>
        <w:rPr>
          <w:rFonts w:ascii="Calibri" w:hAnsi="Calibri"/>
          <w:color w:val="000000"/>
          <w:sz w:val="18"/>
        </w:rPr>
        <w:t xml:space="preserve">A primary benefit of global budgets for hospital financial management: knowing total annual revenue before the year begins enables capital planning, workforce investment, and strategic redesign that FFS revenue uncertainty prevents.</w:t>
      </w:r>
    </w:p>
    <w:p>
      <w:pPr>
        <w:pStyle w:val="BodyText"/>
        <w:spacing w:before="160" w:after="120"/>
      </w:pPr>
      <w:r>
        <w:rPr>
          <w:rFonts w:ascii="Calibri" w:hAnsi="Calibri"/>
          <w:b/>
          <w:bCs/>
          <w:color w:val="2E74B5"/>
          <w:sz w:val="20"/>
        </w:rPr>
        <w:t xml:space="preserve">PMPM (per member per month)</w:t>
      </w:r>
      <w:r>
        <w:rPr>
          <w:rFonts w:ascii="Calibri" w:hAnsi="Calibri"/>
          <w:color w:val="000000"/>
          <w:sz w:val="18"/>
        </w:rPr>
        <w:br/>
      </w:r>
      <w:r>
        <w:rPr>
          <w:rFonts w:ascii="Calibri" w:hAnsi="Calibri"/>
          <w:color w:val="000000"/>
          <w:sz w:val="18"/>
        </w:rPr>
        <w:t xml:space="preserve">The standard unit of measurement in population-based payment models. Total spending (or cost) divided by the number of enrolled members divided by the number of months. The fundamental metric for tracking performance under global budgets and capitation arrangements.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p>
    <w:p>
      <w:r>
        <w:br w:type="page"/>
      </w:r>
    </w:p>
    <w:p>
      <w:pPr>
        <w:pStyle w:val="Heading1"/>
      </w:pPr>
      <w:bookmarkStart w:id="1204" w:name="_Toc1203"/>
      <w:r>
        <w:rPr>
          <w:b/>
          <w:bCs/>
          <w:color w:val="161B22"/>
        </w:rPr>
        <w:t xml:space="preserve">Chapter 7: The Economics Pillar in Practice — VBC Financial Modeling and APM Readiness</w:t>
      </w:r>
      <w:bookmarkEnd w:id="120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translation of Vermont’s payment architecture into operational financial management requires actuarial precision, equity safeguards, and analytics capability being built simultaneously with the policy mandates they must support.</w:t>
      </w:r>
    </w:p>
    <w:p>
      <w:pPr>
        <w:pStyle w:val="BodyText"/>
      </w:pPr>
      <w:r>
        <w:rPr>
          <w:i/>
          <w:iCs/>
        </w:rPr>
        <w:t xml:space="preserve">How healthcare organizations model the financial impact of value-based care — benchmark mechanics, shared savings calculations, risk stratification ROI, and the financial case for transformation investment.</w:t>
      </w:r>
    </w:p>
    <w:p>
      <w:pPr>
        <w:pStyle w:val="Heading2"/>
        <w:pBdr>
          <w:top w:val="single" w:sz="6" w:space="10" w:color="C9D2DF"/>
        </w:pBdr>
      </w:pPr>
      <w:r>
        <w:rPr>
          <w:color w:val="161B22"/>
        </w:rPr>
        <w:t xml:space="preserve">7.1  </w:t>
      </w:r>
      <w:bookmarkStart w:id="1205" w:name="_Toc1204"/>
      <w:r>
        <w:rPr>
          <w:b/>
          <w:bCs/>
          <w:color w:val="161B22"/>
        </w:rPr>
        <w:t xml:space="preserve">From Payment Architecture to Financial Practice</w:t>
      </w:r>
      <w:bookmarkEnd w:id="1205"/>
    </w:p>
    <w:p>
      <w:pPr>
        <w:pStyle w:val="FirstParagraph"/>
      </w:pPr>
      <w:r>
        <w:t xml:space="preserve">Chapter 3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pPr>
        <w:pStyle w:val="BodyText"/>
      </w:pPr>
      <w: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pPr>
        <w:pStyle w:val="Heading2"/>
        <w:pBdr>
          <w:top w:val="single" w:sz="6" w:space="10" w:color="C9D2DF"/>
        </w:pBdr>
      </w:pPr>
      <w:r>
        <w:rPr>
          <w:color w:val="161B22"/>
        </w:rPr>
        <w:t xml:space="preserve">7.2  </w:t>
      </w:r>
      <w:bookmarkStart w:id="1206" w:name="_Toc1205"/>
      <w:r>
        <w:rPr>
          <w:b/>
          <w:bCs/>
          <w:color w:val="161B22"/>
        </w:rPr>
        <w:t xml:space="preserve">The APM Financial Modeling Framework</w:t>
      </w:r>
      <w:bookmarkEnd w:id="1206"/>
    </w:p>
    <w:p>
      <w:pPr>
        <w:pStyle w:val="Heading3"/>
      </w:pPr>
      <w:r>
        <w:rPr>
          <w:color w:val="161B22"/>
        </w:rPr>
        <w:t xml:space="preserve">7.2.1  </w:t>
      </w:r>
      <w:bookmarkStart w:id="1207" w:name="_Toc1206"/>
      <w:r>
        <w:rPr>
          <w:b/>
          <w:bCs/>
          <w:color w:val="161B22"/>
        </w:rPr>
        <w:t xml:space="preserve">Understanding Benchmarks — The Foundation of VBC Economics</w:t>
      </w:r>
      <w:bookmarkEnd w:id="1207"/>
    </w:p>
    <w:p>
      <w:pPr>
        <w:pStyle w:val="FirstParagraph"/>
      </w:pPr>
      <w: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pPr>
        <w:pStyle w:val="BodyText"/>
      </w:pPr>
      <w:r>
        <w:t xml:space="preserve">Benchmarks can be constructed in several ways, each with different financial implications for the entering organization:</w:t>
      </w:r>
    </w:p>
    <w:p>
      <w:pPr>
        <w:pStyle w:val="BodyText"/>
      </w:pPr>
      <w:r>
        <w:rPr>
          <w:b/>
          <w:bCs/>
        </w:rPr>
        <w:t xml:space="preserve">Benchmark Construction Methods — What Healthcare Leaders Must Understand</w:t>
      </w:r>
    </w:p>
    <w:p>
      <w:pPr>
        <w:pStyle w:val="Heading3"/>
        <w:keepNext w:val="false"/>
      </w:pPr>
      <w:r>
        <w:rPr>
          <w:color w:val="161B22"/>
        </w:rPr>
        <w:t xml:space="preserve">7.2.2  </w:t>
      </w:r>
      <w:bookmarkStart w:id="1208" w:name="_Toc1207"/>
      <w:r>
        <w:rPr>
          <w:b/>
          <w:bCs/>
          <w:color w:val="161B22"/>
        </w:rPr>
        <w:t xml:space="preserve">Historical Spending Baseline</w:t>
      </w:r>
      <w:bookmarkEnd w:id="1208"/>
    </w:p>
    <w:p>
      <w:pPr>
        <w:pStyle w:val="FirstParagraph"/>
        <w:keepNext w:val="false"/>
      </w:pPr>
      <w: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w:t>
      </w:r>
      <w:r>
        <w:t xml:space="preserve"> </w:t>
      </w:r>
      <w:r>
        <w:t xml:space="preserve">‘efficient provider disadvantage.’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VERMONT AHEAD CONTEXT</w:t>
            </w:r>
          </w:p>
          <w:p>
            <w:pPr>
              <w:spacing w:after="60" w:line="264" w:lineRule="auto"/>
            </w:pPr>
            <w:r>
              <w:rPr>
                <w:sz w:val="20"/>
                <w:szCs w:val="20"/>
              </w:rPr>
              <w:t xml:space="preserve">CMMI sets global budget baselines for hospitals based on their historical Medicare FFS spending, with adjustments. Vermont’s hospitals with historically lower spending may face benchmarks that limit their financial upside under AHEAD.</w:t>
            </w:r>
          </w:p>
        </w:tc>
      </w:tr>
    </w:tbl>
    <w:p>
      <w:pPr>
        <w:spacing w:after="120"/>
      </w:pPr>
    </w:p>
    <w:p>
      <w:pPr>
        <w:pStyle w:val="Heading3"/>
        <w:keepNext w:val="false"/>
      </w:pPr>
      <w:r>
        <w:rPr>
          <w:color w:val="161B22"/>
        </w:rPr>
        <w:t xml:space="preserve">7.2.3  </w:t>
      </w:r>
      <w:bookmarkStart w:id="1209" w:name="_Toc1208"/>
      <w:r>
        <w:rPr>
          <w:b/>
          <w:bCs/>
          <w:color w:val="161B22"/>
        </w:rPr>
        <w:t xml:space="preserve">Regional Benchmark</w:t>
      </w:r>
      <w:bookmarkEnd w:id="1209"/>
    </w:p>
    <w:p>
      <w:pPr>
        <w:pStyle w:val="FirstParagraph"/>
        <w:keepNext w:val="false"/>
      </w:pPr>
      <w: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VERMONT RBP CONTEXT</w:t>
            </w:r>
          </w:p>
          <w:p>
            <w:pPr>
              <w:spacing w:after="60" w:line="264" w:lineRule="auto"/>
            </w:pPr>
            <w:r>
              <w:rPr>
                <w:sz w:val="20"/>
                <w:szCs w:val="20"/>
              </w:rPr>
              <w:t xml:space="preserve">GMCB’s reference-based pricing uses Medicare rates as the external benchmark — not Vermont hospital historical prices. This is a regional/national benchmark approach that directly addresses the problem of benchmarks based on historical high prices.</w:t>
            </w:r>
          </w:p>
        </w:tc>
      </w:tr>
    </w:tbl>
    <w:p>
      <w:pPr>
        <w:spacing w:after="120"/>
      </w:pPr>
    </w:p>
    <w:p>
      <w:pPr>
        <w:pStyle w:val="Heading3"/>
        <w:keepNext w:val="false"/>
      </w:pPr>
      <w:r>
        <w:rPr>
          <w:color w:val="161B22"/>
        </w:rPr>
        <w:t xml:space="preserve">7.2.4  </w:t>
      </w:r>
      <w:bookmarkStart w:id="1210" w:name="_Toc1209"/>
      <w:r>
        <w:rPr>
          <w:b/>
          <w:bCs/>
          <w:color w:val="161B22"/>
        </w:rPr>
        <w:t xml:space="preserve">Prospective Benchmark</w:t>
      </w:r>
      <w:bookmarkEnd w:id="1210"/>
    </w:p>
    <w:p>
      <w:pPr>
        <w:pStyle w:val="FirstParagraph"/>
        <w:keepNext w:val="false"/>
      </w:pPr>
      <w: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VERMONT GLOBAL BUDGET CONTEXT</w:t>
            </w:r>
          </w:p>
          <w:p>
            <w:pPr>
              <w:spacing w:after="60" w:line="264" w:lineRule="auto"/>
            </w:pPr>
            <w:r>
              <w:rPr>
                <w:sz w:val="20"/>
                <w:szCs w:val="20"/>
              </w:rPr>
              <w:t xml:space="preserve">Vermont’s Act 68 global budgets for non-CAH hospitals must specify how the prospective budget is set and adjusted for patient complexity — the risk adjustment methodology is a key design question currently under development.</w:t>
            </w:r>
          </w:p>
        </w:tc>
      </w:tr>
    </w:tbl>
    <w:p>
      <w:pPr>
        <w:spacing w:after="120"/>
      </w:pPr>
    </w:p>
    <w:p>
      <w:pPr>
        <w:pStyle w:val="Heading3"/>
        <w:keepNext w:val="false"/>
      </w:pPr>
      <w:r>
        <w:rPr>
          <w:color w:val="161B22"/>
        </w:rPr>
        <w:t xml:space="preserve">7.2.5  </w:t>
      </w:r>
      <w:bookmarkStart w:id="1211" w:name="_Toc1210"/>
      <w:r>
        <w:rPr>
          <w:b/>
          <w:bCs/>
          <w:color w:val="161B22"/>
        </w:rPr>
        <w:t xml:space="preserve">The Shared Savings Calculation — A Working Model</w:t>
      </w:r>
      <w:bookmarkEnd w:id="1211"/>
    </w:p>
    <w:p>
      <w:pPr>
        <w:pStyle w:val="FirstParagraph"/>
        <w:keepNext w:val="false"/>
      </w:pPr>
      <w:r>
        <w:t xml:space="preserve">For organizations entering ACO REACH, MSSP, or similar shared savings models, the following framework captures the core financial logic. The APM Shared Savings Calculator implements this model with organization-specific data inputs.</w:t>
      </w:r>
    </w:p>
    <w:tbl>
      <w:tblPr>
        <w:tblStyle w:val="HTRTable"/>
        <w:tblLook w:firstRow="1" w:lastRow="0" w:firstColumn="0" w:lastColumn="0" w:noHBand="0" w:noVBand="1" w:val="0020"/>
        <w:tblW w:w="9072" w:type="dxa"/>
        <w:tblLayout w:type="fixed"/>
      </w:tblPr>
      <w:tblGrid>
        <w:gridCol w:w="1425"/>
        <w:gridCol w:w="2085"/>
        <w:gridCol w:w="2625"/>
        <w:gridCol w:w="2955"/>
      </w:tblGrid>
      <w:tr>
        <w:trPr>
          <w:tblHeader w:val="on"/>
          <w:cantSplit/>
        </w:trPr>
        <w:tc>
          <w:tcPr>
            <w:shd w:val="clear" w:color="auto" w:fill="1B3A6B"/>
            <w:tcW w:w="1425" w:type="dxa"/>
          </w:tcPr>
          <w:p>
            <w:pPr>
              <w:pStyle w:val="Compact"/>
              <w:jc w:val="left"/>
            </w:pPr>
            <w:r>
              <w:rPr>
                <w:b/>
                <w:color w:val="FFFFFF"/>
                <w:sz w:val="18"/>
              </w:rPr>
              <w:t xml:space="preserve">Step</w:t>
            </w:r>
          </w:p>
        </w:tc>
        <w:tc>
          <w:tcPr>
            <w:shd w:val="clear" w:color="auto" w:fill="1B3A6B"/>
            <w:tcW w:w="2085" w:type="dxa"/>
          </w:tcPr>
          <w:p>
            <w:pPr>
              <w:pStyle w:val="Compact"/>
              <w:jc w:val="left"/>
            </w:pPr>
            <w:r>
              <w:rPr>
                <w:b/>
                <w:color w:val="FFFFFF"/>
                <w:sz w:val="18"/>
              </w:rPr>
              <w:t xml:space="preserve">Formula / concept</w:t>
            </w:r>
          </w:p>
        </w:tc>
        <w:tc>
          <w:tcPr>
            <w:shd w:val="clear" w:color="auto" w:fill="1B3A6B"/>
            <w:tcW w:w="2625" w:type="dxa"/>
          </w:tcPr>
          <w:p>
            <w:pPr>
              <w:pStyle w:val="Compact"/>
              <w:jc w:val="left"/>
            </w:pPr>
            <w:r>
              <w:rPr>
                <w:b/>
                <w:color w:val="FFFFFF"/>
                <w:sz w:val="18"/>
              </w:rPr>
              <w:t xml:space="preserve">Practical meaning</w:t>
            </w:r>
          </w:p>
        </w:tc>
        <w:tc>
          <w:tcPr>
            <w:shd w:val="clear" w:color="auto" w:fill="1B3A6B"/>
            <w:tcW w:w="2955" w:type="dxa"/>
          </w:tcPr>
          <w:p>
            <w:pPr>
              <w:pStyle w:val="Compact"/>
              <w:jc w:val="left"/>
            </w:pPr>
            <w:r>
              <w:rPr>
                <w:b/>
                <w:color w:val="FFFFFF"/>
                <w:sz w:val="18"/>
              </w:rPr>
              <w:t xml:space="preserve">Vermont application</w:t>
            </w:r>
          </w:p>
        </w:tc>
      </w:tr>
      <w:tr>
        <w:trPr>
          <w:cantSplit/>
        </w:trPr>
        <w:tc>
          <w:tcPr>
            <w:tcW w:w="1425" w:type="dxa"/>
          </w:tcPr>
          <w:p>
            <w:pPr>
              <w:pStyle w:val="Compact"/>
              <w:jc w:val="left"/>
            </w:pPr>
            <w:r>
              <w:rPr>
                <w:sz w:val="18"/>
              </w:rPr>
              <w:t xml:space="preserve">1. Benchmark setting</w:t>
            </w:r>
          </w:p>
        </w:tc>
        <w:tc>
          <w:tcPr>
            <w:tcW w:w="2085" w:type="dxa"/>
          </w:tcPr>
          <w:p>
            <w:pPr>
              <w:pStyle w:val="Compact"/>
              <w:jc w:val="left"/>
            </w:pPr>
            <w:r>
              <w:rPr>
                <w:sz w:val="18"/>
              </w:rPr>
              <w:t xml:space="preserve">Benchmark PMPM × attributed member months = Total benchmark spending</w:t>
            </w:r>
          </w:p>
        </w:tc>
        <w:tc>
          <w:tcPr>
            <w:tcW w:w="2625" w:type="dxa"/>
          </w:tcPr>
          <w:p>
            <w:pPr>
              <w:pStyle w:val="Compact"/>
              <w:jc w:val="left"/>
            </w:pPr>
            <w:r>
              <w:rPr>
                <w:sz w:val="18"/>
              </w:rPr>
              <w:t xml:space="preserve">This is the</w:t>
            </w:r>
            <w:r>
              <w:rPr>
                <w:sz w:val="18"/>
              </w:rPr>
              <w:t xml:space="preserve"> </w:t>
            </w:r>
            <w:r>
              <w:rPr>
                <w:sz w:val="18"/>
              </w:rPr>
              <w:t xml:space="preserve">‘budget’</w:t>
            </w:r>
            <w:r>
              <w:rPr>
                <w:sz w:val="18"/>
              </w:rPr>
              <w:t xml:space="preserve"> </w:t>
            </w:r>
            <w:r>
              <w:rPr>
                <w:sz w:val="18"/>
              </w:rPr>
              <w:t xml:space="preserve">the organization is measured against. Every dollar of actual spending below this number is potential shared savings.</w:t>
            </w:r>
          </w:p>
        </w:tc>
        <w:tc>
          <w:tcPr>
            <w:tcW w:w="2955" w:type="dxa"/>
          </w:tcPr>
          <w:p>
            <w:pPr>
              <w:pStyle w:val="Compact"/>
              <w:jc w:val="left"/>
            </w:pPr>
            <w:r>
              <w:rPr>
                <w:sz w:val="18"/>
              </w:rPr>
              <w:t xml:space="preserve">AHEAD hospital global budget = prospective annual revenue set at beginning of year. Vermont hospital knows its</w:t>
            </w:r>
            <w:r>
              <w:rPr>
                <w:sz w:val="18"/>
              </w:rPr>
              <w:t xml:space="preserve"> </w:t>
            </w:r>
            <w:r>
              <w:rPr>
                <w:sz w:val="18"/>
              </w:rPr>
              <w:t xml:space="preserve">‘benchmark’</w:t>
            </w:r>
            <w:r>
              <w:rPr>
                <w:sz w:val="18"/>
              </w:rPr>
              <w:t xml:space="preserve"> </w:t>
            </w:r>
            <w:r>
              <w:rPr>
                <w:sz w:val="18"/>
              </w:rPr>
              <w:t xml:space="preserve">before the year begins.</w:t>
            </w:r>
          </w:p>
        </w:tc>
      </w:tr>
      <w:tr>
        <w:trPr/>
        <w:tc>
          <w:tcPr>
            <w:tcW w:w="1425" w:type="dxa"/>
          </w:tcPr>
          <w:p>
            <w:pPr>
              <w:pStyle w:val="Compact"/>
              <w:jc w:val="left"/>
            </w:pPr>
            <w:r>
              <w:rPr>
                <w:sz w:val="18"/>
              </w:rPr>
              <w:t xml:space="preserve">2. Performance measurement</w:t>
            </w:r>
          </w:p>
        </w:tc>
        <w:tc>
          <w:tcPr>
            <w:tcW w:w="2085" w:type="dxa"/>
          </w:tcPr>
          <w:p>
            <w:pPr>
              <w:pStyle w:val="Compact"/>
              <w:jc w:val="left"/>
            </w:pPr>
            <w:r>
              <w:rPr>
                <w:sz w:val="18"/>
              </w:rPr>
              <w:t xml:space="preserve">Actual total cost of care for attributed population</w:t>
            </w:r>
          </w:p>
        </w:tc>
        <w:tc>
          <w:tcPr>
            <w:tcW w:w="2625" w:type="dxa"/>
          </w:tcPr>
          <w:p>
            <w:pPr>
              <w:pStyle w:val="Compact"/>
              <w:jc w:val="left"/>
            </w:pPr>
            <w:r>
              <w:rPr>
                <w:sz w:val="18"/>
              </w:rPr>
              <w:t xml:space="preserve">Includes all Medicare Part A and Part B spending for attributed beneficiaries, regardless of where care is delivered. Out-of-network spending counts against the ACO.</w:t>
            </w:r>
          </w:p>
        </w:tc>
        <w:tc>
          <w:tcPr>
            <w:tcW w:w="2955" w:type="dxa"/>
          </w:tcPr>
          <w:p>
            <w:pPr>
              <w:pStyle w:val="Compact"/>
              <w:jc w:val="left"/>
            </w:pPr>
            <w:r>
              <w:rPr>
                <w:sz w:val="18"/>
              </w:rPr>
              <w:t xml:space="preserve">AHEAD tracks total cost of care for Medicare FFS beneficiaries attributed to Vermont hospitals across all payer settings.</w:t>
            </w:r>
          </w:p>
        </w:tc>
      </w:tr>
      <w:tr>
        <w:trPr/>
        <w:tc>
          <w:tcPr>
            <w:tcW w:w="1425" w:type="dxa"/>
          </w:tcPr>
          <w:p>
            <w:pPr>
              <w:pStyle w:val="Compact"/>
              <w:jc w:val="left"/>
            </w:pPr>
            <w:r>
              <w:rPr>
                <w:sz w:val="18"/>
              </w:rPr>
              <w:t xml:space="preserve">3. Savings calculation</w:t>
            </w:r>
          </w:p>
        </w:tc>
        <w:tc>
          <w:tcPr>
            <w:tcW w:w="2085" w:type="dxa"/>
          </w:tcPr>
          <w:p>
            <w:pPr>
              <w:pStyle w:val="Compact"/>
              <w:jc w:val="left"/>
            </w:pPr>
            <w:r>
              <w:rPr>
                <w:sz w:val="18"/>
              </w:rPr>
              <w:t xml:space="preserve">Benchmark - Actual TCOC = Gross savings (or loss)</w:t>
            </w:r>
          </w:p>
        </w:tc>
        <w:tc>
          <w:tcPr>
            <w:tcW w:w="2625" w:type="dxa"/>
          </w:tcPr>
          <w:p>
            <w:pPr>
              <w:pStyle w:val="Compact"/>
              <w:jc w:val="left"/>
            </w:pPr>
            <w:r>
              <w:rPr>
                <w:sz w:val="18"/>
              </w:rPr>
              <w:t xml:space="preserve">If actual spending is below benchmark, gross savings exist. If above, gross loss.</w:t>
            </w:r>
          </w:p>
        </w:tc>
        <w:tc>
          <w:tcPr>
            <w:tcW w:w="2955" w:type="dxa"/>
          </w:tcPr>
          <w:p>
            <w:pPr>
              <w:pStyle w:val="Compact"/>
              <w:jc w:val="left"/>
            </w:pPr>
            <w:r>
              <w:rPr>
                <w:sz w:val="18"/>
              </w:rPr>
              <w:t xml:space="preserve">Under global budget, the hospital receives its fixed prospective payment regardless — so the</w:t>
            </w:r>
            <w:r>
              <w:rPr>
                <w:sz w:val="18"/>
              </w:rPr>
              <w:t xml:space="preserve"> </w:t>
            </w:r>
            <w:r>
              <w:rPr>
                <w:sz w:val="18"/>
              </w:rPr>
              <w:t xml:space="preserve">‘savings’</w:t>
            </w:r>
            <w:r>
              <w:rPr>
                <w:sz w:val="18"/>
              </w:rPr>
              <w:t xml:space="preserve"> </w:t>
            </w:r>
            <w:r>
              <w:rPr>
                <w:sz w:val="18"/>
              </w:rPr>
              <w:t xml:space="preserve">is the margin between efficient population health management and the fixed budget.</w:t>
            </w:r>
          </w:p>
        </w:tc>
      </w:tr>
      <w:tr>
        <w:trPr/>
        <w:tc>
          <w:tcPr>
            <w:tcW w:w="1425" w:type="dxa"/>
          </w:tcPr>
          <w:p>
            <w:pPr>
              <w:pStyle w:val="Compact"/>
              <w:jc w:val="left"/>
            </w:pPr>
            <w:r>
              <w:rPr>
                <w:sz w:val="18"/>
              </w:rPr>
              <w:t xml:space="preserve">4. Minimum savings rate (MSR)</w:t>
            </w:r>
          </w:p>
        </w:tc>
        <w:tc>
          <w:tcPr>
            <w:tcW w:w="2085" w:type="dxa"/>
          </w:tcPr>
          <w:p>
            <w:pPr>
              <w:pStyle w:val="Compact"/>
              <w:jc w:val="left"/>
            </w:pPr>
            <w:r>
              <w:rPr>
                <w:sz w:val="18"/>
              </w:rPr>
              <w:t xml:space="preserve">In most shared savings models, savings must exceed a minimum threshold (typically 2-3.5%) before the organization shares in them</w:t>
            </w:r>
          </w:p>
        </w:tc>
        <w:tc>
          <w:tcPr>
            <w:tcW w:w="2625" w:type="dxa"/>
          </w:tcPr>
          <w:p>
            <w:pPr>
              <w:pStyle w:val="Compact"/>
              <w:jc w:val="left"/>
            </w:pPr>
            <w:r>
              <w:rPr>
                <w:sz w:val="18"/>
              </w:rPr>
              <w:t xml:space="preserve">Protects against natural year-to-year cost variation triggering shared savings or losses that don’t reflect genuine performance changes.</w:t>
            </w:r>
          </w:p>
        </w:tc>
        <w:tc>
          <w:tcPr>
            <w:tcW w:w="2955" w:type="dxa"/>
          </w:tcPr>
          <w:p>
            <w:pPr>
              <w:pStyle w:val="Compact"/>
              <w:jc w:val="left"/>
            </w:pPr>
            <w:r>
              <w:rPr>
                <w:sz w:val="18"/>
              </w:rPr>
              <w:t xml:space="preserve">AHEAD uses a different structure — state-level TCOC targets rather than individual ACO MSRs — but the minimum threshold concept applies at the state level.</w:t>
            </w:r>
          </w:p>
        </w:tc>
      </w:tr>
      <w:tr>
        <w:trPr>
          <w:cantSplit/>
        </w:trPr>
        <w:tc>
          <w:tcPr>
            <w:tcW w:w="1425" w:type="dxa"/>
          </w:tcPr>
          <w:p>
            <w:pPr>
              <w:pStyle w:val="Compact"/>
              <w:jc w:val="left"/>
            </w:pPr>
            <w:r>
              <w:rPr>
                <w:sz w:val="18"/>
              </w:rPr>
              <w:t xml:space="preserve">5. Shared savings calculation</w:t>
            </w:r>
          </w:p>
        </w:tc>
        <w:tc>
          <w:tcPr>
            <w:tcW w:w="2085" w:type="dxa"/>
          </w:tcPr>
          <w:p>
            <w:pPr>
              <w:pStyle w:val="Compact"/>
              <w:jc w:val="left"/>
            </w:pPr>
            <w:r>
              <w:rPr>
                <w:sz w:val="18"/>
              </w:rPr>
              <w:t xml:space="preserve">Gross savings × sharing rate = Organization’s shared savings payment (or loss obligation)</w:t>
            </w:r>
          </w:p>
        </w:tc>
        <w:tc>
          <w:tcPr>
            <w:tcW w:w="2625" w:type="dxa"/>
          </w:tcPr>
          <w:p>
            <w:pPr>
              <w:pStyle w:val="Compact"/>
              <w:jc w:val="left"/>
            </w:pPr>
            <w:r>
              <w:rPr>
                <w:sz w:val="18"/>
              </w:rPr>
              <w:t xml:space="preserve">Sharing rates vary by model and risk track — typically 50-75% for one-sided models; may reach 80% for full-risk models.</w:t>
            </w:r>
          </w:p>
        </w:tc>
        <w:tc>
          <w:tcPr>
            <w:tcW w:w="2955" w:type="dxa"/>
          </w:tcPr>
          <w:p>
            <w:pPr>
              <w:pStyle w:val="Compact"/>
              <w:jc w:val="left"/>
            </w:pPr>
            <w:r>
              <w:rPr>
                <w:sz w:val="18"/>
              </w:rPr>
              <w:t xml:space="preserve">Vermont RBP: savings to payers from price reduction; 100% of premium passthrough per GMCB monitoring requirement.</w:t>
            </w:r>
          </w:p>
        </w:tc>
      </w:tr>
    </w:tbl>
    <w:p>
      <w:pPr>
        <w:pStyle w:val="Caption"/>
        <w:spacing w:before="120"/>
      </w:pPr>
      <w:r>
        <w:rPr>
          <w:i/>
          <w:iCs/>
        </w:rPr>
        <w:t xml:space="preserve">Figure 7.1 — APM shared savings calculation framework. Source: HTR’s APM Shared Savings Calculator methodology; CMS ACO model documentation.</w:t>
      </w:r>
    </w:p>
    <w:p>
      <w:pPr>
        <w:pStyle w:val="Heading3"/>
      </w:pPr>
      <w:r>
        <w:rPr>
          <w:color w:val="161B22"/>
        </w:rPr>
        <w:t xml:space="preserve">7.2.6  </w:t>
      </w:r>
      <w:bookmarkStart w:id="1212" w:name="_Toc1211"/>
      <w:r>
        <w:rPr>
          <w:b/>
          <w:bCs/>
          <w:color w:val="161B22"/>
        </w:rPr>
        <w:t xml:space="preserve">Risk Stratification — The Economic Engine of Population Health Management</w:t>
      </w:r>
      <w:bookmarkEnd w:id="1212"/>
    </w:p>
    <w:p>
      <w:pPr>
        <w:pStyle w:val="Heading3"/>
      </w:pPr>
      <w:r>
        <w:rPr>
          <w:color w:val="161B22"/>
        </w:rPr>
        <w:t xml:space="preserve">7.2.7  </w:t>
      </w:r>
      <w:bookmarkStart w:id="1213" w:name="_Toc1212"/>
      <w:r>
        <w:rPr>
          <w:b/>
          <w:bCs/>
          <w:color w:val="161B22"/>
        </w:rPr>
        <w:t xml:space="preserve">The Care Management ROI Calculation</w:t>
      </w:r>
      <w:bookmarkEnd w:id="1213"/>
    </w:p>
    <w:p>
      <w:pPr>
        <w:pStyle w:val="FirstParagraph"/>
      </w:pPr>
      <w:r>
        <w:t xml:space="preserve">A program preventing 50 hospitalizations in 10,000 Medicare beneficiaries at $15,000 each generates $750,000 in avoided cost.</w:t>
      </w:r>
    </w:p>
    <w:p>
      <w:pPr>
        <w:pStyle w:val="BodyText"/>
      </w:pPr>
      <w:r>
        <w:t xml:space="preserve">If the program costs $200,000 to operate, the ROI is 275%.</w:t>
      </w:r>
    </w:p>
    <w:p>
      <w:pPr>
        <w:pStyle w:val="BodyText"/>
      </w:pPr>
      <w:r>
        <w:t xml:space="preserve">Under fee-for-service, the prevented hospitalization is lost revenue — which is why FFS systematically discourages prevention.</w:t>
      </w:r>
    </w:p>
    <w:p>
      <w:pPr>
        <w:pStyle w:val="BodyText"/>
        <w:keepNext w:val="false"/>
      </w:pPr>
      <w: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pPr>
        <w:pStyle w:val="BodyText"/>
        <w:keepNext w:val="false"/>
      </w:pPr>
      <w: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$15,000</w:t>
            </w:r>
          </w:p>
          <w:p>
            <w:pPr>
              <w:jc w:val="center"/>
              <w:spacing w:after="40"/>
            </w:pPr>
            <w:r>
              <w:rPr>
                <w:rFonts w:ascii="Calibri" w:hAnsi="Calibri"/>
                <w:b/>
                <w:sz w:val="16"/>
                <w:color w:val="1B3A6B"/>
              </w:rPr>
              <w:t>Avg. Inpatient Cost Prevented</w:t>
            </w:r>
          </w:p>
        </w:tc>
        <w:tc>
          <w:tcPr>
            <w:tcW w:w="2268" w:type="dxa"/>
            <w:shd w:val="clear" w:color="auto" w:fill="E8F0FB"/>
            <w:vAlign w:val="center"/>
          </w:tcPr>
          <w:p>
            <w:pPr>
              <w:jc w:val="center"/>
              <w:spacing w:after="20" w:before="40"/>
            </w:pPr>
            <w:r>
              <w:rPr>
                <w:rFonts w:ascii="Calibri" w:hAnsi="Calibri"/>
                <w:b/>
                <w:sz w:val="16"/>
                <w:color w:val="1B3A6B"/>
              </w:rPr>
              <w:t>$1,800</w:t>
            </w:r>
          </w:p>
          <w:p>
            <w:pPr>
              <w:jc w:val="center"/>
              <w:spacing w:after="40"/>
            </w:pPr>
            <w:r>
              <w:rPr>
                <w:rFonts w:ascii="Calibri" w:hAnsi="Calibri"/>
                <w:b/>
                <w:sz w:val="16"/>
                <w:color w:val="1B3A6B"/>
              </w:rPr>
              <w:t>Avg. Preventable ED Visit</w:t>
            </w:r>
          </w:p>
        </w:tc>
        <w:tc>
          <w:tcPr>
            <w:tcW w:w="2268" w:type="dxa"/>
            <w:shd w:val="clear" w:color="auto" w:fill="E8F0FB"/>
            <w:vAlign w:val="center"/>
          </w:tcPr>
          <w:p>
            <w:pPr>
              <w:jc w:val="center"/>
              <w:spacing w:after="20" w:before="40"/>
            </w:pPr>
            <w:r>
              <w:rPr>
                <w:rFonts w:ascii="Calibri" w:hAnsi="Calibri"/>
                <w:b/>
                <w:sz w:val="16"/>
                <w:color w:val="1B3A6B"/>
              </w:rPr>
              <w:t>3–5x</w:t>
            </w:r>
          </w:p>
          <w:p>
            <w:pPr>
              <w:jc w:val="center"/>
              <w:spacing w:after="40"/>
            </w:pPr>
            <w:r>
              <w:rPr>
                <w:rFonts w:ascii="Calibri" w:hAnsi="Calibri"/>
                <w:b/>
                <w:sz w:val="16"/>
                <w:color w:val="1B3A6B"/>
              </w:rPr>
              <w:t>Care Management ROI Range</w:t>
            </w:r>
          </w:p>
        </w:tc>
        <w:tc>
          <w:tcPr>
            <w:tcW w:w="2268" w:type="dxa"/>
            <w:shd w:val="clear" w:color="auto" w:fill="E8F0FB"/>
            <w:vAlign w:val="center"/>
          </w:tcPr>
          <w:p>
            <w:pPr>
              <w:jc w:val="center"/>
              <w:spacing w:after="20" w:before="40"/>
            </w:pPr>
            <w:r>
              <w:rPr>
                <w:rFonts w:ascii="Calibri" w:hAnsi="Calibri"/>
                <w:b/>
                <w:sz w:val="16"/>
                <w:color w:val="1B3A6B"/>
              </w:rPr>
              <w:t>32.3%</w:t>
            </w:r>
          </w:p>
          <w:p>
            <w:pPr>
              <w:jc w:val="center"/>
              <w:spacing w:after="40"/>
            </w:pPr>
            <w:r>
              <w:rPr>
                <w:rFonts w:ascii="Calibri" w:hAnsi="Calibri"/>
                <w:b/>
                <w:sz w:val="16"/>
                <w:color w:val="1B3A6B"/>
              </w:rPr>
              <w:t>VT Potentially Avoidable ED Visits</w:t>
            </w:r>
          </w:p>
        </w:tc>
      </w:tr>
    </w:tbl>
    <w:p>
      <w:pPr>
        <w:spacing w:after="120"/>
      </w:pPr>
    </w:p>
    <w:p>
      <w:pPr>
        <w:pStyle w:val="Caption"/>
      </w:pPr>
      <w:r>
        <w:rPr>
          <w:i/>
          <w:iCs/>
        </w:rPr>
        <w:t xml:space="preserve">Figure 7.2 — The economics of prevention under value-based payment. Inpatient and ED costs are approximate averages and vary by DRG and acuity; the ROI range reflects well-designed ACO care-management programs. Sources: CMS; GMCB; HTR analysis.</w:t>
      </w:r>
    </w:p>
    <w:p>
      <w:pPr>
        <w:pStyle w:val="Heading2"/>
        <w:pBdr>
          <w:top w:val="single" w:sz="6" w:space="10" w:color="C9D2DF"/>
        </w:pBdr>
        <w:keepNext w:val="false"/>
      </w:pPr>
      <w:r>
        <w:rPr>
          <w:color w:val="161B22"/>
        </w:rPr>
        <w:t xml:space="preserve">7.3  </w:t>
      </w:r>
      <w:bookmarkStart w:id="1214" w:name="_Toc1213"/>
      <w:r>
        <w:rPr>
          <w:b/>
          <w:bCs/>
          <w:color w:val="161B22"/>
        </w:rPr>
        <w:t xml:space="preserve">Economics Pillar Implementation Matrix</w:t>
      </w:r>
      <w:bookmarkEnd w:id="1214"/>
    </w:p>
    <w:p>
      <w:pPr>
        <w:pStyle w:val="FirstParagraph"/>
        <w:keepNext w:val="false"/>
      </w:pPr>
      <w:r>
        <w:t xml:space="preserve">The following matrix provides implementation guidance for the key Economics pillar investments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HCC gap analysis and closure program</w:t>
            </w:r>
          </w:p>
        </w:tc>
        <w:tc>
          <w:tcPr>
            <w:tcW w:w="1222" w:type="dxa"/>
          </w:tcPr>
          <w:p>
            <w:pPr>
              <w:pStyle w:val="Compact"/>
              <w:jc w:val="left"/>
            </w:pPr>
            <w:r>
              <w:rPr>
                <w:sz w:val="18"/>
              </w:rPr>
              <w:t xml:space="preserve">$25K-$100K annually</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Year 1: 3-8% RAF improvement</w:t>
            </w:r>
          </w:p>
        </w:tc>
        <w:tc>
          <w:tcPr>
            <w:tcW w:w="2820" w:type="dxa"/>
          </w:tcPr>
          <w:p>
            <w:pPr>
              <w:pStyle w:val="Compact"/>
              <w:jc w:val="left"/>
            </w:pPr>
            <w:r>
              <w:rPr>
                <w:sz w:val="18"/>
              </w:rPr>
              <w:t xml:space="preserve">Vermont CAHs: avg 12% HCC gap (2025 RHRC assessment)</w:t>
            </w:r>
          </w:p>
        </w:tc>
      </w:tr>
      <w:tr>
        <w:trPr/>
        <w:tc>
          <w:tcPr>
            <w:tcW w:w="2726" w:type="dxa"/>
          </w:tcPr>
          <w:p>
            <w:pPr>
              <w:pStyle w:val="Compact"/>
              <w:jc w:val="left"/>
            </w:pPr>
            <w:r>
              <w:rPr>
                <w:sz w:val="18"/>
              </w:rPr>
              <w:t xml:space="preserve">APM shared savings model financial preparation</w:t>
            </w:r>
          </w:p>
        </w:tc>
        <w:tc>
          <w:tcPr>
            <w:tcW w:w="1222" w:type="dxa"/>
          </w:tcPr>
          <w:p>
            <w:pPr>
              <w:pStyle w:val="Compact"/>
              <w:jc w:val="left"/>
            </w:pPr>
            <w:r>
              <w:rPr>
                <w:sz w:val="18"/>
              </w:rPr>
              <w:t xml:space="preserve">$75K-$200K per org</w:t>
            </w:r>
          </w:p>
        </w:tc>
        <w:tc>
          <w:tcPr>
            <w:tcW w:w="987" w:type="dxa"/>
          </w:tcPr>
          <w:p>
            <w:pPr>
              <w:pStyle w:val="Compact"/>
              <w:jc w:val="left"/>
            </w:pPr>
            <w:r>
              <w:rPr>
                <w:sz w:val="18"/>
              </w:rPr>
              <w:t xml:space="preserve">6-9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VHCURES attribution; AHEAD benchmark methodology setup</w:t>
            </w:r>
          </w:p>
        </w:tc>
      </w:tr>
      <w:tr>
        <w:trPr/>
        <w:tc>
          <w:tcPr>
            <w:tcW w:w="2726" w:type="dxa"/>
          </w:tcPr>
          <w:p>
            <w:pPr>
              <w:pStyle w:val="Compact"/>
              <w:jc w:val="left"/>
            </w:pPr>
            <w:r>
              <w:rPr>
                <w:sz w:val="18"/>
              </w:rPr>
              <w:t xml:space="preserve">Global budget financial modeling and stress testing</w:t>
            </w:r>
          </w:p>
        </w:tc>
        <w:tc>
          <w:tcPr>
            <w:tcW w:w="1222" w:type="dxa"/>
          </w:tcPr>
          <w:p>
            <w:pPr>
              <w:pStyle w:val="Compact"/>
              <w:jc w:val="left"/>
            </w:pPr>
            <w:r>
              <w:rPr>
                <w:sz w:val="18"/>
              </w:rPr>
              <w:t xml:space="preserve">$50K-$150K per hospital</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Pre-launch risk reduction</w:t>
            </w:r>
          </w:p>
        </w:tc>
        <w:tc>
          <w:tcPr>
            <w:tcW w:w="2820" w:type="dxa"/>
          </w:tcPr>
          <w:p>
            <w:pPr>
              <w:pStyle w:val="Compact"/>
              <w:jc w:val="left"/>
            </w:pPr>
            <w:r>
              <w:rPr>
                <w:sz w:val="18"/>
              </w:rPr>
              <w:t xml:space="preserve">HTR Hospital Financial Stress Test: all 14 Vermont hospitals modeled</w:t>
            </w:r>
          </w:p>
        </w:tc>
      </w:tr>
      <w:tr>
        <w:trPr/>
        <w:tc>
          <w:tcPr>
            <w:tcW w:w="2726" w:type="dxa"/>
          </w:tcPr>
          <w:p>
            <w:pPr>
              <w:pStyle w:val="Compact"/>
              <w:jc w:val="left"/>
            </w:pPr>
            <w:r>
              <w:rPr>
                <w:sz w:val="18"/>
              </w:rPr>
              <w:t xml:space="preserve">VBC readiness assessment (30-dimension framework)</w:t>
            </w:r>
          </w:p>
        </w:tc>
        <w:tc>
          <w:tcPr>
            <w:tcW w:w="1222" w:type="dxa"/>
          </w:tcPr>
          <w:p>
            <w:pPr>
              <w:pStyle w:val="Compact"/>
              <w:jc w:val="left"/>
            </w:pPr>
            <w:r>
              <w:rPr>
                <w:sz w:val="18"/>
              </w:rPr>
              <w:t xml:space="preserve">$30K-$75K per org</w:t>
            </w:r>
          </w:p>
        </w:tc>
        <w:tc>
          <w:tcPr>
            <w:tcW w:w="987" w:type="dxa"/>
          </w:tcPr>
          <w:p>
            <w:pPr>
              <w:pStyle w:val="Compact"/>
              <w:jc w:val="left"/>
            </w:pPr>
            <w:r>
              <w:rPr>
                <w:sz w:val="18"/>
              </w:rPr>
              <w:t xml:space="preserve">60-90 days</w:t>
            </w:r>
          </w:p>
        </w:tc>
        <w:tc>
          <w:tcPr>
            <w:tcW w:w="1316" w:type="dxa"/>
          </w:tcPr>
          <w:p>
            <w:pPr>
              <w:pStyle w:val="Compact"/>
              <w:jc w:val="left"/>
            </w:pPr>
            <w:r>
              <w:rPr>
                <w:sz w:val="18"/>
              </w:rPr>
              <w:t xml:space="preserve">Immediate: prioritization value</w:t>
            </w:r>
          </w:p>
        </w:tc>
        <w:tc>
          <w:tcPr>
            <w:tcW w:w="2820" w:type="dxa"/>
          </w:tcPr>
          <w:p>
            <w:pPr>
              <w:pStyle w:val="Compact"/>
              <w:jc w:val="left"/>
            </w:pPr>
            <w:r>
              <w:rPr>
                <w:sz w:val="18"/>
              </w:rPr>
              <w:t xml:space="preserve">HTR VBC Readiness Assessment; AHEAD preparation baseline</w:t>
            </w:r>
          </w:p>
        </w:tc>
      </w:tr>
      <w:tr>
        <w:trPr/>
        <w:tc>
          <w:tcPr>
            <w:tcW w:w="2726" w:type="dxa"/>
          </w:tcPr>
          <w:p>
            <w:pPr>
              <w:pStyle w:val="Compact"/>
              <w:jc w:val="left"/>
            </w:pPr>
            <w:r>
              <w:rPr>
                <w:sz w:val="18"/>
              </w:rPr>
              <w:t xml:space="preserve">Commercial payer VBC contract negotiation</w:t>
            </w:r>
          </w:p>
        </w:tc>
        <w:tc>
          <w:tcPr>
            <w:tcW w:w="1222" w:type="dxa"/>
          </w:tcPr>
          <w:p>
            <w:pPr>
              <w:pStyle w:val="Compact"/>
              <w:jc w:val="left"/>
            </w:pPr>
            <w:r>
              <w:rPr>
                <w:sz w:val="18"/>
              </w:rPr>
              <w:t xml:space="preserve">$75K-$200K per contract</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18-36 months</w:t>
            </w:r>
          </w:p>
        </w:tc>
        <w:tc>
          <w:tcPr>
            <w:tcW w:w="2820" w:type="dxa"/>
          </w:tcPr>
          <w:p>
            <w:pPr>
              <w:pStyle w:val="Compact"/>
              <w:jc w:val="left"/>
            </w:pPr>
            <w:r>
              <w:rPr>
                <w:sz w:val="18"/>
              </w:rPr>
              <w:t xml:space="preserve">Vermont Blue Cross VBC arrangements; MVP Health Care negotiations</w:t>
            </w:r>
          </w:p>
        </w:tc>
      </w:tr>
      <w:tr>
        <w:trPr>
          <w:cantSplit/>
        </w:trPr>
        <w:tc>
          <w:tcPr>
            <w:tcW w:w="2726" w:type="dxa"/>
          </w:tcPr>
          <w:p>
            <w:pPr>
              <w:pStyle w:val="Compact"/>
              <w:jc w:val="left"/>
            </w:pPr>
            <w:r>
              <w:rPr>
                <w:sz w:val="18"/>
              </w:rPr>
              <w:t xml:space="preserve">Reference-based pricing methodology (state level)</w:t>
            </w:r>
          </w:p>
        </w:tc>
        <w:tc>
          <w:tcPr>
            <w:tcW w:w="1222" w:type="dxa"/>
          </w:tcPr>
          <w:p>
            <w:pPr>
              <w:pStyle w:val="Compact"/>
              <w:jc w:val="left"/>
            </w:pPr>
            <w:r>
              <w:rPr>
                <w:sz w:val="18"/>
              </w:rPr>
              <w:t xml:space="preserve">$500K-$2M state cost</w:t>
            </w:r>
          </w:p>
        </w:tc>
        <w:tc>
          <w:tcPr>
            <w:tcW w:w="987" w:type="dxa"/>
          </w:tcPr>
          <w:p>
            <w:pPr>
              <w:pStyle w:val="Compact"/>
              <w:jc w:val="left"/>
            </w:pPr>
            <w:r>
              <w:rPr>
                <w:sz w:val="18"/>
              </w:rPr>
              <w:t xml:space="preserve">18-24 months</w:t>
            </w:r>
          </w:p>
        </w:tc>
        <w:tc>
          <w:tcPr>
            <w:tcW w:w="1316" w:type="dxa"/>
          </w:tcPr>
          <w:p>
            <w:pPr>
              <w:pStyle w:val="Compact"/>
              <w:jc w:val="left"/>
            </w:pPr>
            <w:r>
              <w:rPr>
                <w:sz w:val="18"/>
              </w:rPr>
              <w:t xml:space="preserve">FY2027: systemwide savings</w:t>
            </w:r>
          </w:p>
        </w:tc>
        <w:tc>
          <w:tcPr>
            <w:tcW w:w="2820" w:type="dxa"/>
          </w:tcPr>
          <w:p>
            <w:pPr>
              <w:pStyle w:val="Compact"/>
              <w:jc w:val="left"/>
            </w:pPr>
            <w:r>
              <w:rPr>
                <w:sz w:val="18"/>
              </w:rPr>
              <w:t xml:space="preserve">Vermont mandatory RBP FY2027; Oliver Wyman: $300M+ annual projection</w:t>
            </w:r>
          </w:p>
        </w:tc>
      </w:tr>
    </w:tbl>
    <w:p>
      <w:pPr>
        <w:pStyle w:val="Caption"/>
        <w:spacing w:before="120"/>
      </w:pPr>
      <w:r>
        <w:rPr>
          <w:i/>
          <w:iCs/>
        </w:rPr>
        <w:t xml:space="preserve">Figure 7.3 — Economics pillar implementation matrix. Sources: HTR Research Lab; Oliver Wyman Act 167 Report; Vermont AHEAD documentation.</w:t>
      </w:r>
    </w:p>
    <w:p>
      <w:pPr>
        <w:pStyle w:val="Heading2"/>
        <w:pBdr>
          <w:top w:val="single" w:sz="6" w:space="10" w:color="C9D2DF"/>
        </w:pBdr>
      </w:pPr>
      <w:r>
        <w:rPr>
          <w:color w:val="161B22"/>
        </w:rPr>
        <w:t xml:space="preserve">7.4  </w:t>
      </w:r>
      <w:bookmarkStart w:id="1215" w:name="_Toc1214"/>
      <w:r>
        <w:rPr>
          <w:b/>
          <w:bCs/>
          <w:color w:val="161B22"/>
        </w:rPr>
        <w:t xml:space="preserve">APM Readiness Assessment — The 30-Dimension Framework</w:t>
      </w:r>
      <w:bookmarkEnd w:id="1215"/>
    </w:p>
    <w:p>
      <w:pPr>
        <w:pStyle w:val="FirstParagraph"/>
      </w:pPr>
      <w:r>
        <w:t xml:space="preserve">The Value-Based Care Transformation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pPr>
        <w:pStyle w:val="Heading3"/>
      </w:pPr>
      <w:r>
        <w:rPr>
          <w:color w:val="161B22"/>
        </w:rPr>
        <w:t xml:space="preserve">7.4.1  </w:t>
      </w:r>
      <w:bookmarkStart w:id="1216" w:name="_Toc1215"/>
      <w:r>
        <w:rPr>
          <w:b/>
          <w:bCs/>
          <w:color w:val="161B22"/>
        </w:rPr>
        <w:t xml:space="preserve">The Six Readiness Domains</w:t>
      </w:r>
      <w:bookmarkEnd w:id="1216"/>
    </w:p>
    <w:p>
      <w:pPr>
        <w:pStyle w:val="FirstParagraph"/>
      </w:pPr>
      <w: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pPr>
        <w:pStyle w:val="BodyText"/>
      </w:pPr>
      <w:r>
        <w:t xml:space="preserve">Domain 2: Data and Technology evaluates the analytics infrastructure needed to manage a VBC population: attribution list generation, total cost of care measurement, care gap identification, risk stratification, and quality reporting automation. This domain is Vermont’s most significant organizational gap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pPr>
        <w:pStyle w:val="BodyText"/>
      </w:pPr>
      <w: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AHEAD’s population health requirements target.</w:t>
      </w:r>
    </w:p>
    <w:p>
      <w:pPr>
        <w:pStyle w:val="BodyText"/>
      </w:pPr>
      <w: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Vermont’s Oliver Wyman-designed COE regionalization framework and CIN development address this domain systematically.</w:t>
      </w:r>
    </w:p>
    <w:p>
      <w:pPr>
        <w:pStyle w:val="BodyText"/>
      </w:pPr>
      <w: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3.</w:t>
      </w:r>
    </w:p>
    <w:p>
      <w:pPr>
        <w:pStyle w:val="BodyText"/>
      </w:pPr>
      <w:r>
        <w:t xml:space="preserve">Domain 6: Workforce Operations evaluates the staffing model, credentialing efficiency, retention rates, and training capability that determine whether the care coordination programs identified in Domain 3 can actually be implemented and sustained.</w:t>
      </w:r>
    </w:p>
    <w:p>
      <w:pPr>
        <w:pStyle w:val="Heading3"/>
      </w:pPr>
      <w:r>
        <w:rPr>
          <w:color w:val="161B22"/>
        </w:rPr>
        <w:t xml:space="preserve">7.4.2  </w:t>
      </w:r>
      <w:bookmarkStart w:id="1217" w:name="_Toc1216"/>
      <w:r>
        <w:rPr>
          <w:b/>
          <w:bCs/>
          <w:color w:val="161B22"/>
        </w:rPr>
        <w:t xml:space="preserve">VBC Readiness Scoring — What the Numbers Mean</w:t>
      </w:r>
      <w:bookmarkEnd w:id="1217"/>
    </w:p>
    <w:p>
      <w:pPr>
        <w:pStyle w:val="FirstParagraph"/>
      </w:pPr>
      <w:r>
        <w:t xml:space="preserve">Each of the 30 dimensions is scored 1-4: Pre-transition (1), Developing (2), Operational (3), Optimized (4). A total score below 60/120 indicates the organization is not ready for full-risk VBC; the gap analysis identifies the highest-priority investments before contract entry.</w:t>
      </w:r>
    </w:p>
    <w:p>
      <w:pPr>
        <w:pStyle w:val="BodyText"/>
      </w:pPr>
      <w:r>
        <w:t xml:space="preserve">Vermont-specific benchmarks: Blueprint-participating PCMH practices with active CHT support typically score 8-12 in Domain 3 (care delivery) — strong by national standards. Most Vermont hospitals score 3-7 in Domain 2 (data and technology) — a critical gap given that data infrastructure is the prerequisite for population health management. The RHRC engagement’s explicit focus on developing analytic dashboards for hospitals reflects the recognition that Domain 2 is the binding constraint for most Vermont providers.</w:t>
      </w:r>
    </w:p>
    <w:p>
      <w:pPr>
        <w:pStyle w:val="Heading2"/>
        <w:pBdr>
          <w:top w:val="single" w:sz="6" w:space="10" w:color="C9D2DF"/>
        </w:pBdr>
      </w:pPr>
      <w:r>
        <w:rPr>
          <w:color w:val="161B22"/>
        </w:rPr>
        <w:t xml:space="preserve">7.5  </w:t>
      </w:r>
      <w:bookmarkStart w:id="1218" w:name="_Toc1217"/>
      <w:r>
        <w:rPr>
          <w:b/>
          <w:bCs/>
          <w:color w:val="161B22"/>
        </w:rPr>
        <w:t xml:space="preserve">Contract Analysis — Reading an APM Contract for Financial Risk</w:t>
      </w:r>
      <w:bookmarkEnd w:id="1218"/>
    </w:p>
    <w:p>
      <w:pPr>
        <w:pStyle w:val="FirstParagraph"/>
      </w:pPr>
      <w: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pPr>
        <w:pStyle w:val="Heading3"/>
        <w:keepNext w:val="false"/>
      </w:pPr>
      <w:r>
        <w:rPr>
          <w:color w:val="161B22"/>
        </w:rPr>
        <w:t xml:space="preserve">7.5.1  </w:t>
      </w:r>
      <w:bookmarkStart w:id="1219" w:name="_Toc1218"/>
      <w:r>
        <w:rPr>
          <w:b/>
          <w:bCs/>
          <w:color w:val="161B22"/>
        </w:rPr>
        <w:t xml:space="preserve">The 65-Item VBC Contract Review Checklist: Key Categories</w:t>
      </w:r>
      <w:bookmarkEnd w:id="1219"/>
    </w:p>
    <w:p>
      <w:pPr>
        <w:pStyle w:val="FirstParagraph"/>
        <w:keepNext w:val="false"/>
      </w:pPr>
      <w:r>
        <w:t xml:space="preserve">The VBC Contract Review Checklist (available in the Implementation Toolkit) covers 65 specific contract provisions in eight categories. The most financially consequential categories are:</w:t>
      </w:r>
    </w:p>
    <w:tbl>
      <w:tblPr>
        <w:tblStyle w:val="HTRTable"/>
        <w:tblLook w:firstRow="1" w:lastRow="0" w:firstColumn="0" w:lastColumn="0" w:noHBand="0" w:noVBand="1" w:val="0020"/>
        <w:tblW w:w="9072" w:type="dxa"/>
        <w:tblLayout w:type="fixed"/>
      </w:tblPr>
      <w:tblGrid>
        <w:gridCol w:w="2115"/>
        <w:gridCol w:w="6945"/>
      </w:tblGrid>
      <w:tr>
        <w:trPr>
          <w:tblHeader w:val="on"/>
          <w:cantSplit/>
        </w:trPr>
        <w:tc>
          <w:tcPr>
            <w:shd w:val="clear" w:color="auto" w:fill="1B3A6B"/>
            <w:tcW w:w="2115" w:type="dxa"/>
          </w:tcPr>
          <w:p>
            <w:pPr>
              <w:pStyle w:val="Compact"/>
              <w:jc w:val="left"/>
            </w:pPr>
            <w:r>
              <w:rPr>
                <w:b/>
                <w:color w:val="FFFFFF"/>
                <w:sz w:val="18"/>
              </w:rPr>
              <w:t xml:space="preserve">Contract provision category</w:t>
            </w:r>
          </w:p>
        </w:tc>
        <w:tc>
          <w:tcPr>
            <w:shd w:val="clear" w:color="auto" w:fill="1B3A6B"/>
            <w:tcW w:w="6945" w:type="dxa"/>
          </w:tcPr>
          <w:p>
            <w:pPr>
              <w:pStyle w:val="Compact"/>
              <w:jc w:val="left"/>
            </w:pPr>
            <w:r>
              <w:rPr>
                <w:b/>
                <w:color w:val="FFFFFF"/>
                <w:sz w:val="18"/>
              </w:rPr>
              <w:t xml:space="preserve">Key questions and financial risk</w:t>
            </w:r>
          </w:p>
        </w:tc>
      </w:tr>
      <w:tr>
        <w:trPr>
          <w:cantSplit/>
        </w:trPr>
        <w:tc>
          <w:tcPr>
            <w:tcW w:w="2115" w:type="dxa"/>
          </w:tcPr>
          <w:p>
            <w:pPr>
              <w:pStyle w:val="Compact"/>
              <w:jc w:val="left"/>
            </w:pPr>
            <w:r>
              <w:rPr>
                <w:sz w:val="18"/>
              </w:rPr>
              <w:t xml:space="preserve">Benchmark methodology</w:t>
            </w:r>
          </w:p>
        </w:tc>
        <w:tc>
          <w:tcPr>
            <w:tcW w:w="6945" w:type="dxa"/>
          </w:tcPr>
          <w:p>
            <w:pPr>
              <w:pStyle w:val="Compact"/>
              <w:jc w:val="left"/>
            </w:pPr>
            <w:r>
              <w:rPr>
                <w:sz w:val="18"/>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p>
        </w:tc>
      </w:tr>
      <w:tr>
        <w:trPr/>
        <w:tc>
          <w:tcPr>
            <w:tcW w:w="2115" w:type="dxa"/>
          </w:tcPr>
          <w:p>
            <w:pPr>
              <w:pStyle w:val="Compact"/>
              <w:jc w:val="left"/>
            </w:pPr>
            <w:r>
              <w:rPr>
                <w:sz w:val="18"/>
              </w:rPr>
              <w:t xml:space="preserve">Attribution methodology</w:t>
            </w:r>
          </w:p>
        </w:tc>
        <w:tc>
          <w:tcPr>
            <w:tcW w:w="6945" w:type="dxa"/>
          </w:tcPr>
          <w:p>
            <w:pPr>
              <w:pStyle w:val="Compact"/>
              <w:jc w:val="left"/>
            </w:pPr>
            <w:r>
              <w:rPr>
                <w:sz w:val="18"/>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p>
        </w:tc>
      </w:tr>
      <w:tr>
        <w:trPr/>
        <w:tc>
          <w:tcPr>
            <w:tcW w:w="2115" w:type="dxa"/>
          </w:tcPr>
          <w:p>
            <w:pPr>
              <w:pStyle w:val="Compact"/>
              <w:jc w:val="left"/>
            </w:pPr>
            <w:r>
              <w:rPr>
                <w:sz w:val="18"/>
              </w:rPr>
              <w:t xml:space="preserve">Quality withhold</w:t>
            </w:r>
          </w:p>
        </w:tc>
        <w:tc>
          <w:tcPr>
            <w:tcW w:w="6945" w:type="dxa"/>
          </w:tcPr>
          <w:p>
            <w:pPr>
              <w:pStyle w:val="Compact"/>
              <w:jc w:val="left"/>
            </w:pPr>
            <w:r>
              <w:rPr>
                <w:sz w:val="18"/>
              </w:rPr>
              <w:t xml:space="preserve">What percentage of shared savings is withheld pending quality performance? What measures are used? Are they measures the organization currently tracks with reliable data? A 30% quality withhold on 50% of gross savings means quality performance determines 15% of total financial outcome — understand the measures before signing.</w:t>
            </w:r>
          </w:p>
        </w:tc>
      </w:tr>
      <w:tr>
        <w:trPr/>
        <w:tc>
          <w:tcPr>
            <w:tcW w:w="2115" w:type="dxa"/>
          </w:tcPr>
          <w:p>
            <w:pPr>
              <w:pStyle w:val="Compact"/>
              <w:jc w:val="left"/>
            </w:pPr>
            <w:r>
              <w:rPr>
                <w:sz w:val="18"/>
              </w:rPr>
              <w:t xml:space="preserve">Risk corridors and stop-loss</w:t>
            </w:r>
          </w:p>
        </w:tc>
        <w:tc>
          <w:tcPr>
            <w:tcW w:w="6945" w:type="dxa"/>
          </w:tcPr>
          <w:p>
            <w:pPr>
              <w:pStyle w:val="Compact"/>
              <w:jc w:val="left"/>
            </w:pPr>
            <w:r>
              <w:rPr>
                <w:sz w:val="18"/>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p>
        </w:tc>
      </w:tr>
      <w:tr>
        <w:trPr/>
        <w:tc>
          <w:tcPr>
            <w:tcW w:w="2115" w:type="dxa"/>
          </w:tcPr>
          <w:p>
            <w:pPr>
              <w:pStyle w:val="Compact"/>
              <w:jc w:val="left"/>
            </w:pPr>
            <w:r>
              <w:rPr>
                <w:sz w:val="18"/>
              </w:rPr>
              <w:t xml:space="preserve">Carve-outs</w:t>
            </w:r>
          </w:p>
        </w:tc>
        <w:tc>
          <w:tcPr>
            <w:tcW w:w="6945" w:type="dxa"/>
          </w:tcPr>
          <w:p>
            <w:pPr>
              <w:pStyle w:val="Compact"/>
              <w:jc w:val="left"/>
            </w:pPr>
            <w:r>
              <w:rPr>
                <w:sz w:val="18"/>
              </w:rPr>
              <w:t xml:space="preserve">What services are excluded from the shared savings calculation? High-cost drugs? Mental health carve-outs? Specialty carve-outs? Each carve-out reduces the organization’s ability to manage total cost of care and reduces the savings opportunity.</w:t>
            </w:r>
          </w:p>
        </w:tc>
      </w:tr>
      <w:tr>
        <w:trPr>
          <w:cantSplit/>
        </w:trPr>
        <w:tc>
          <w:tcPr>
            <w:tcW w:w="2115" w:type="dxa"/>
          </w:tcPr>
          <w:p>
            <w:pPr>
              <w:pStyle w:val="Compact"/>
              <w:jc w:val="left"/>
            </w:pPr>
            <w:r>
              <w:rPr>
                <w:sz w:val="18"/>
              </w:rPr>
              <w:t xml:space="preserve">Reconciliation timing</w:t>
            </w:r>
          </w:p>
        </w:tc>
        <w:tc>
          <w:tcPr>
            <w:tcW w:w="6945" w:type="dxa"/>
          </w:tcPr>
          <w:p>
            <w:pPr>
              <w:pStyle w:val="Compact"/>
              <w:jc w:val="left"/>
            </w:pPr>
            <w:r>
              <w:rPr>
                <w:sz w:val="18"/>
              </w:rPr>
              <w:t xml:space="preserve">When are shared savings or losses settled — annually, semi-annually, quarterly? Reconciliation timing affects cash flow planning and the organization’s ability to invest shared savings in care improvement programs.</w:t>
            </w:r>
          </w:p>
        </w:tc>
      </w:tr>
    </w:tbl>
    <w:p>
      <w:pPr>
        <w:pStyle w:val="Caption"/>
        <w:spacing w:before="120"/>
      </w:pPr>
      <w:r>
        <w:rPr>
          <w:i/>
          <w:iCs/>
        </w:rPr>
        <w:t xml:space="preserve">Figure 7.4 — APM contract review framework: provisions and key questions. Source: HTR Advisory framework.</w:t>
      </w:r>
    </w:p>
    <w:p>
      <w:pPr>
        <w:pStyle w:val="Heading2"/>
        <w:pBdr>
          <w:top w:val="single" w:sz="6" w:space="10" w:color="C9D2DF"/>
        </w:pBdr>
      </w:pPr>
      <w:r>
        <w:rPr>
          <w:color w:val="161B22"/>
        </w:rPr>
        <w:t xml:space="preserve">7.6  </w:t>
      </w:r>
      <w:bookmarkStart w:id="1220" w:name="_Toc1219"/>
      <w:r>
        <w:rPr>
          <w:b/>
          <w:bCs/>
          <w:color w:val="161B22"/>
        </w:rPr>
        <w:t xml:space="preserve">Hospital Financial Modeling Under Global Budgets — The Vermont Framework</w:t>
      </w:r>
      <w:bookmarkEnd w:id="1220"/>
    </w:p>
    <w:p>
      <w:pPr>
        <w:pStyle w:val="FirstParagraph"/>
      </w:pPr>
      <w:r>
        <w:t xml:space="preserve">For Vermont hospitals, the most operationally relevant financial modeling challenge is not APM shared savings calculation — it is global budget management. As Act 68’s mandatory global budgets take effect for non-CAH hospitals beginning FY2028, hospital CFOs need to transition from FFS revenue optimization to global budget management. These are fundamentally different financial disciplines.</w:t>
      </w:r>
    </w:p>
    <w:p>
      <w:pPr>
        <w:pStyle w:val="Heading3"/>
        <w:keepNext w:val="false"/>
      </w:pPr>
      <w:r>
        <w:rPr>
          <w:color w:val="161B22"/>
        </w:rPr>
        <w:t xml:space="preserve">7.6.1  </w:t>
      </w:r>
      <w:bookmarkStart w:id="1221" w:name="_Toc1220"/>
      <w:r>
        <w:rPr>
          <w:b/>
          <w:bCs/>
          <w:color w:val="161B22"/>
        </w:rPr>
        <w:t xml:space="preserve">The Global Budget Financial Management Model</w:t>
      </w:r>
      <w:bookmarkEnd w:id="1221"/>
    </w:p>
    <w:p>
      <w:pPr>
        <w:pStyle w:val="FirstParagraph"/>
        <w:keepNext w:val="false"/>
      </w:pPr>
      <w: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HTRTable"/>
        <w:tblLook w:firstRow="1" w:lastRow="0" w:firstColumn="0" w:lastColumn="0" w:noHBand="0" w:noVBand="1" w:val="0020"/>
        <w:tblW w:w="9072" w:type="dxa"/>
        <w:tblLayout w:type="fixed"/>
      </w:tblPr>
      <w:tblGrid>
        <w:gridCol w:w="3930"/>
        <w:gridCol w:w="5145"/>
      </w:tblGrid>
      <w:tr>
        <w:trPr>
          <w:tblHeader w:val="on"/>
          <w:cantSplit/>
        </w:trPr>
        <w:tc>
          <w:tcPr>
            <w:shd w:val="clear" w:color="auto" w:fill="1B3A6B"/>
            <w:tcW w:w="3930" w:type="dxa"/>
          </w:tcPr>
          <w:p>
            <w:pPr>
              <w:pStyle w:val="Compact"/>
              <w:jc w:val="left"/>
            </w:pPr>
            <w:r>
              <w:rPr>
                <w:b/>
                <w:color w:val="FFFFFF"/>
                <w:sz w:val="18"/>
              </w:rPr>
              <w:t xml:space="preserve">Under FFS — optimize these metrics</w:t>
            </w:r>
          </w:p>
        </w:tc>
        <w:tc>
          <w:tcPr>
            <w:shd w:val="clear" w:color="auto" w:fill="1B3A6B"/>
            <w:tcW w:w="5145" w:type="dxa"/>
          </w:tcPr>
          <w:p>
            <w:pPr>
              <w:pStyle w:val="Compact"/>
              <w:jc w:val="left"/>
            </w:pPr>
            <w:r>
              <w:rPr>
                <w:b/>
                <w:color w:val="FFFFFF"/>
                <w:sz w:val="18"/>
              </w:rPr>
              <w:t xml:space="preserve">Under global budget — optimize these metrics</w:t>
            </w:r>
          </w:p>
        </w:tc>
      </w:tr>
      <w:tr>
        <w:trPr>
          <w:cantSplit/>
        </w:trPr>
        <w:tc>
          <w:tcPr>
            <w:tcW w:w="3930" w:type="dxa"/>
          </w:tcPr>
          <w:p>
            <w:pPr>
              <w:pStyle w:val="Compact"/>
              <w:jc w:val="left"/>
            </w:pPr>
            <w:r>
              <w:rPr>
                <w:sz w:val="18"/>
              </w:rPr>
              <w:t xml:space="preserve">Revenue per discharge — maximize reimbursement per case</w:t>
            </w:r>
          </w:p>
        </w:tc>
        <w:tc>
          <w:tcPr>
            <w:tcW w:w="5145" w:type="dxa"/>
          </w:tcPr>
          <w:p>
            <w:pPr>
              <w:pStyle w:val="Compact"/>
              <w:jc w:val="left"/>
            </w:pPr>
            <w:r>
              <w:rPr>
                <w:sz w:val="18"/>
              </w:rPr>
              <w:t xml:space="preserve">Cost per discharge — minimize unnecessary cost while maintaining quality</w:t>
            </w:r>
          </w:p>
        </w:tc>
      </w:tr>
      <w:tr>
        <w:trPr/>
        <w:tc>
          <w:tcPr>
            <w:tcW w:w="3930" w:type="dxa"/>
          </w:tcPr>
          <w:p>
            <w:pPr>
              <w:pStyle w:val="Compact"/>
              <w:jc w:val="left"/>
            </w:pPr>
            <w:r>
              <w:rPr>
                <w:sz w:val="18"/>
              </w:rPr>
              <w:t xml:space="preserve">Admission volume — more admissions = more revenue</w:t>
            </w:r>
          </w:p>
        </w:tc>
        <w:tc>
          <w:tcPr>
            <w:tcW w:w="5145" w:type="dxa"/>
          </w:tcPr>
          <w:p>
            <w:pPr>
              <w:pStyle w:val="Compact"/>
              <w:jc w:val="left"/>
            </w:pPr>
            <w:r>
              <w:rPr>
                <w:sz w:val="18"/>
              </w:rPr>
              <w:t xml:space="preserve">Avoidable admission rate — every preventable admission is a cost, not revenue</w:t>
            </w:r>
          </w:p>
        </w:tc>
      </w:tr>
      <w:tr>
        <w:trPr/>
        <w:tc>
          <w:tcPr>
            <w:tcW w:w="3930" w:type="dxa"/>
          </w:tcPr>
          <w:p>
            <w:pPr>
              <w:pStyle w:val="Compact"/>
              <w:jc w:val="left"/>
            </w:pPr>
            <w:r>
              <w:rPr>
                <w:sz w:val="18"/>
              </w:rPr>
              <w:t xml:space="preserve">Length of stay — maximize revenue per stay</w:t>
            </w:r>
          </w:p>
        </w:tc>
        <w:tc>
          <w:tcPr>
            <w:tcW w:w="5145" w:type="dxa"/>
          </w:tcPr>
          <w:p>
            <w:pPr>
              <w:pStyle w:val="Compact"/>
              <w:jc w:val="left"/>
            </w:pPr>
            <w:r>
              <w:rPr>
                <w:sz w:val="18"/>
              </w:rPr>
              <w:t xml:space="preserve">Efficient length of stay — unnecessary days are costs without revenue offset</w:t>
            </w:r>
          </w:p>
        </w:tc>
      </w:tr>
      <w:tr>
        <w:trPr/>
        <w:tc>
          <w:tcPr>
            <w:tcW w:w="3930" w:type="dxa"/>
          </w:tcPr>
          <w:p>
            <w:pPr>
              <w:pStyle w:val="Compact"/>
              <w:jc w:val="left"/>
            </w:pPr>
            <w:r>
              <w:rPr>
                <w:sz w:val="18"/>
              </w:rPr>
              <w:t xml:space="preserve">Service line volume — grow profitable service lines</w:t>
            </w:r>
          </w:p>
        </w:tc>
        <w:tc>
          <w:tcPr>
            <w:tcW w:w="5145" w:type="dxa"/>
          </w:tcPr>
          <w:p>
            <w:pPr>
              <w:pStyle w:val="Compact"/>
              <w:jc w:val="left"/>
            </w:pPr>
            <w:r>
              <w:rPr>
                <w:sz w:val="18"/>
              </w:rPr>
              <w:t xml:space="preserve">PMPM population health cost — manage population health to stay within budget</w:t>
            </w:r>
          </w:p>
        </w:tc>
      </w:tr>
      <w:tr>
        <w:trPr/>
        <w:tc>
          <w:tcPr>
            <w:tcW w:w="3930" w:type="dxa"/>
          </w:tcPr>
          <w:p>
            <w:pPr>
              <w:pStyle w:val="Compact"/>
              <w:jc w:val="left"/>
            </w:pPr>
            <w:r>
              <w:rPr>
                <w:sz w:val="18"/>
              </w:rPr>
              <w:t xml:space="preserve">Payer mix — maximize commercially insured cases</w:t>
            </w:r>
          </w:p>
        </w:tc>
        <w:tc>
          <w:tcPr>
            <w:tcW w:w="5145" w:type="dxa"/>
          </w:tcPr>
          <w:p>
            <w:pPr>
              <w:pStyle w:val="Compact"/>
              <w:jc w:val="left"/>
            </w:pPr>
            <w:r>
              <w:rPr>
                <w:sz w:val="18"/>
              </w:rPr>
              <w:t xml:space="preserve">Quality performance — quality metrics determine budget adjustments and AHEAD performance</w:t>
            </w:r>
          </w:p>
        </w:tc>
      </w:tr>
      <w:tr>
        <w:trPr/>
        <w:tc>
          <w:tcPr>
            <w:tcW w:w="3930" w:type="dxa"/>
          </w:tcPr>
          <w:p>
            <w:pPr>
              <w:pStyle w:val="Compact"/>
              <w:jc w:val="left"/>
            </w:pPr>
            <w:r>
              <w:rPr>
                <w:sz w:val="18"/>
              </w:rPr>
              <w:t xml:space="preserve">Denials management — recover denied claims</w:t>
            </w:r>
          </w:p>
        </w:tc>
        <w:tc>
          <w:tcPr>
            <w:tcW w:w="5145" w:type="dxa"/>
          </w:tcPr>
          <w:p>
            <w:pPr>
              <w:pStyle w:val="Compact"/>
              <w:jc w:val="left"/>
            </w:pPr>
            <w:r>
              <w:rPr>
                <w:sz w:val="18"/>
              </w:rPr>
              <w:t xml:space="preserve">Potentially avoidable utilization — prevent the ED visits and admissions that waste budget</w:t>
            </w:r>
          </w:p>
        </w:tc>
      </w:tr>
      <w:tr>
        <w:trPr/>
        <w:tc>
          <w:tcPr>
            <w:tcW w:w="3930" w:type="dxa"/>
          </w:tcPr>
          <w:p>
            <w:pPr>
              <w:pStyle w:val="Compact"/>
              <w:jc w:val="left"/>
            </w:pPr>
            <w:r>
              <w:rPr>
                <w:sz w:val="18"/>
              </w:rPr>
              <w:t xml:space="preserve">Case mix index — capture higher-acuity cases</w:t>
            </w:r>
          </w:p>
        </w:tc>
        <w:tc>
          <w:tcPr>
            <w:tcW w:w="5145" w:type="dxa"/>
          </w:tcPr>
          <w:p>
            <w:pPr>
              <w:pStyle w:val="Compact"/>
              <w:jc w:val="left"/>
            </w:pPr>
            <w:r>
              <w:rPr>
                <w:sz w:val="18"/>
              </w:rPr>
              <w:t xml:space="preserve">Community investment ROI — SDOH programs that reduce utilization have direct financial return</w:t>
            </w:r>
          </w:p>
        </w:tc>
      </w:tr>
      <w:tr>
        <w:trPr>
          <w:cantSplit/>
        </w:trPr>
        <w:tc>
          <w:tcPr>
            <w:tcW w:w="3930" w:type="dxa"/>
          </w:tcPr>
          <w:p>
            <w:pPr>
              <w:pStyle w:val="Compact"/>
              <w:jc w:val="left"/>
            </w:pPr>
            <w:r>
              <w:rPr>
                <w:sz w:val="18"/>
              </w:rPr>
              <w:t xml:space="preserve">Operating margin per adjusted discharge</w:t>
            </w:r>
          </w:p>
        </w:tc>
        <w:tc>
          <w:tcPr>
            <w:tcW w:w="5145" w:type="dxa"/>
          </w:tcPr>
          <w:p>
            <w:pPr>
              <w:pStyle w:val="Compact"/>
              <w:jc w:val="left"/>
            </w:pPr>
            <w:r>
              <w:rPr>
                <w:sz w:val="18"/>
              </w:rPr>
              <w:t xml:space="preserve">Operating margin within global budget — sustainability within fixed revenue</w:t>
            </w:r>
          </w:p>
        </w:tc>
      </w:tr>
    </w:tbl>
    <w:p>
      <w:pPr>
        <w:pStyle w:val="Caption"/>
        <w:spacing w:before="120"/>
      </w:pPr>
      <w:r>
        <w:rPr>
          <w:i/>
          <w:iCs/>
        </w:rPr>
        <w:t xml:space="preserve">Figure 7.5 — Financial metrics transformation: FFS versus global budget environment. Source: HTR’s Economics pillar framework.</w:t>
      </w:r>
    </w:p>
    <w:p>
      <w:pPr>
        <w:pStyle w:val="Heading3"/>
      </w:pPr>
      <w:r>
        <w:rPr>
          <w:color w:val="161B22"/>
        </w:rPr>
        <w:t xml:space="preserve">7.6.2  </w:t>
      </w:r>
      <w:bookmarkStart w:id="1222" w:name="_Toc1221"/>
      <w:r>
        <w:rPr>
          <w:b/>
          <w:bCs/>
          <w:color w:val="161B22"/>
        </w:rPr>
        <w:t xml:space="preserve">The Hospital Financial Stress Test Model</w:t>
      </w:r>
      <w:bookmarkEnd w:id="1222"/>
    </w:p>
    <w:p>
      <w:pPr>
        <w:pStyle w:val="FirstParagraph"/>
      </w:pPr>
      <w:r>
        <w:t xml:space="preserve">The Hospital Financial Stress Test Model — available in the Research Lab for Professional and Advisory subscribers — allows hospital CFOs and finance teams to model their organization’s financial position under different payment reform scenarios. The model’s key scenarios for Vermont hospitals in 2026:</w:t>
      </w:r>
    </w:p>
    <w:p>
      <w:pPr>
        <w:pStyle w:val="Compact"/>
        <w:numPr>
          <w:ilvl w:val="0"/>
          <w:numId w:val="1024"/>
        </w:numPr>
        <w:keepLines w:val="true"/>
        <w:keepNext w:val="true"/>
      </w:pPr>
      <w:r>
        <w:t xml:space="preserve">RBP scenario: What does our financial position look like if commercial prices are set at 200% of Medicare (Oliver Wyman’s recommended benchmark) or 250% (GMCB’s phased approach)? What service lines have prices furthest above the benchmark and face the most revenue reduction?</w:t>
      </w:r>
    </w:p>
    <w:p>
      <w:pPr>
        <w:pStyle w:val="Compact"/>
        <w:numPr>
          <w:ilvl w:val="0"/>
          <w:numId w:val="1024"/>
        </w:numPr>
        <w:keepLines w:val="true"/>
        <w:keepNext w:val="true"/>
      </w:pPr>
      <w:r>
        <w:t xml:space="preserve">Global budget scenario: Under a prospective revenue cap equal to our current net patient revenue minus X%, what is our operating margin? What cost reductions or service redesigns are required to maintain solvency?</w:t>
      </w:r>
    </w:p>
    <w:p>
      <w:pPr>
        <w:pStyle w:val="Compact"/>
        <w:numPr>
          <w:ilvl w:val="0"/>
          <w:numId w:val="1024"/>
        </w:numPr>
        <w:keepLines w:val="true"/>
        <w:keepNext w:val="true"/>
      </w:pPr>
      <w:r>
        <w:t xml:space="preserve">Medicaid cut scenario: With H.R. 1’s Medicaid revenue reductions phasing in from 2027-2031, what is our projected total revenue under conservative, base, and optimistic assumptions about our Medicaid payer mix?</w:t>
      </w:r>
    </w:p>
    <w:p>
      <w:pPr>
        <w:pStyle w:val="Compact"/>
        <w:numPr>
          <w:ilvl w:val="0"/>
          <w:numId w:val="1024"/>
        </w:numPr>
        <w:keepLines w:val="true"/>
      </w:pPr>
      <w: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pPr>
        <w:pStyle w:val="Heading2"/>
        <w:pBdr>
          <w:top w:val="single" w:sz="6" w:space="10" w:color="C9D2DF"/>
        </w:pBdr>
      </w:pPr>
      <w:r>
        <w:rPr>
          <w:color w:val="161B22"/>
        </w:rPr>
        <w:t xml:space="preserve">7.7  </w:t>
      </w:r>
      <w:bookmarkStart w:id="1223" w:name="_Toc1222"/>
      <w:r>
        <w:rPr>
          <w:b/>
          <w:bCs/>
          <w:color w:val="161B22"/>
        </w:rPr>
        <w:t xml:space="preserve">The ROI of Transformation — Building the Financial Case</w:t>
      </w:r>
      <w:bookmarkEnd w:id="1223"/>
    </w:p>
    <w:p>
      <w:pPr>
        <w:pStyle w:val="FirstParagraph"/>
      </w:pPr>
      <w: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pPr>
        <w:pStyle w:val="Heading3"/>
        <w:keepNext w:val="false"/>
      </w:pPr>
      <w:r>
        <w:rPr>
          <w:color w:val="161B22"/>
        </w:rPr>
        <w:t xml:space="preserve">7.7.1  </w:t>
      </w:r>
      <w:bookmarkStart w:id="1224" w:name="_Toc1223"/>
      <w:r>
        <w:rPr>
          <w:b/>
          <w:bCs/>
          <w:color w:val="161B22"/>
        </w:rPr>
        <w:t xml:space="preserve">The Transformation ROI Framework</w:t>
      </w:r>
      <w:bookmarkEnd w:id="1224"/>
    </w:p>
    <w:p>
      <w:pPr>
        <w:pStyle w:val="FirstParagraph"/>
        <w:keepNext w:val="false"/>
      </w:pPr>
      <w:r>
        <w:t xml:space="preserve">The following framework structures the financial case for transformation investments in a VBC environment. It is the analytical backbone of HTR Advisory engagements that involve transformation investment decisions.</w:t>
      </w:r>
    </w:p>
    <w:tbl>
      <w:tblPr>
        <w:tblStyle w:val="HTRTable"/>
        <w:tblLook w:firstRow="1" w:lastRow="0" w:firstColumn="0" w:lastColumn="0" w:noHBand="0" w:noVBand="1" w:val="0020"/>
        <w:tblW w:w="9072" w:type="dxa"/>
        <w:tblLayout w:type="fixed"/>
      </w:tblPr>
      <w:tblGrid>
        <w:gridCol w:w="1470"/>
        <w:gridCol w:w="2085"/>
        <w:gridCol w:w="2475"/>
        <w:gridCol w:w="3030"/>
      </w:tblGrid>
      <w:tr>
        <w:trPr>
          <w:tblHeader w:val="on"/>
          <w:cantSplit/>
        </w:trPr>
        <w:tc>
          <w:tcPr>
            <w:shd w:val="clear" w:color="auto" w:fill="1B3A6B"/>
            <w:tcW w:w="1470" w:type="dxa"/>
          </w:tcPr>
          <w:p>
            <w:pPr>
              <w:pStyle w:val="Compact"/>
              <w:jc w:val="left"/>
            </w:pPr>
            <w:r>
              <w:rPr>
                <w:b/>
                <w:color w:val="FFFFFF"/>
                <w:sz w:val="18"/>
              </w:rPr>
              <w:t xml:space="preserve">Investment type</w:t>
            </w:r>
          </w:p>
        </w:tc>
        <w:tc>
          <w:tcPr>
            <w:shd w:val="clear" w:color="auto" w:fill="1B3A6B"/>
            <w:tcW w:w="2085" w:type="dxa"/>
          </w:tcPr>
          <w:p>
            <w:pPr>
              <w:pStyle w:val="Compact"/>
              <w:jc w:val="left"/>
            </w:pPr>
            <w:r>
              <w:rPr>
                <w:b/>
                <w:color w:val="FFFFFF"/>
                <w:sz w:val="18"/>
              </w:rPr>
              <w:t xml:space="preserve">Revenue/savings mechanism</w:t>
            </w:r>
          </w:p>
        </w:tc>
        <w:tc>
          <w:tcPr>
            <w:shd w:val="clear" w:color="auto" w:fill="1B3A6B"/>
            <w:tcW w:w="2475" w:type="dxa"/>
          </w:tcPr>
          <w:p>
            <w:pPr>
              <w:pStyle w:val="Compact"/>
              <w:jc w:val="left"/>
            </w:pPr>
            <w:r>
              <w:rPr>
                <w:b/>
                <w:color w:val="FFFFFF"/>
                <w:sz w:val="18"/>
              </w:rPr>
              <w:t xml:space="preserve">Calculation approach</w:t>
            </w:r>
          </w:p>
        </w:tc>
        <w:tc>
          <w:tcPr>
            <w:shd w:val="clear" w:color="auto" w:fill="1B3A6B"/>
            <w:tcW w:w="3030" w:type="dxa"/>
          </w:tcPr>
          <w:p>
            <w:pPr>
              <w:pStyle w:val="Compact"/>
              <w:jc w:val="left"/>
            </w:pPr>
            <w:r>
              <w:rPr>
                <w:b/>
                <w:color w:val="FFFFFF"/>
                <w:sz w:val="18"/>
              </w:rPr>
              <w:t xml:space="preserve">Vermont example</w:t>
            </w:r>
          </w:p>
        </w:tc>
      </w:tr>
      <w:tr>
        <w:trPr>
          <w:cantSplit/>
        </w:trPr>
        <w:tc>
          <w:tcPr>
            <w:tcW w:w="1470" w:type="dxa"/>
          </w:tcPr>
          <w:p>
            <w:pPr>
              <w:pStyle w:val="Compact"/>
              <w:jc w:val="left"/>
            </w:pPr>
            <w:r>
              <w:rPr>
                <w:sz w:val="18"/>
              </w:rPr>
              <w:t xml:space="preserve">Care management program</w:t>
            </w:r>
          </w:p>
        </w:tc>
        <w:tc>
          <w:tcPr>
            <w:tcW w:w="2085" w:type="dxa"/>
          </w:tcPr>
          <w:p>
            <w:pPr>
              <w:pStyle w:val="Compact"/>
              <w:jc w:val="left"/>
            </w:pPr>
            <w:r>
              <w:rPr>
                <w:sz w:val="18"/>
              </w:rPr>
              <w:t xml:space="preserve">Prevents hospitalizations and ED visits that, under VBC, are costs without offsetting revenue</w:t>
            </w:r>
          </w:p>
        </w:tc>
        <w:tc>
          <w:tcPr>
            <w:tcW w:w="2475" w:type="dxa"/>
          </w:tcPr>
          <w:p>
            <w:pPr>
              <w:pStyle w:val="Compact"/>
              <w:jc w:val="left"/>
            </w:pPr>
            <w:r>
              <w:rPr>
                <w:sz w:val="18"/>
              </w:rPr>
              <w:t xml:space="preserve">(Prevented events) × (average cost per event) - (program operating cost) = Net savings. Divide by program cost for ROI.</w:t>
            </w:r>
          </w:p>
        </w:tc>
        <w:tc>
          <w:tcPr>
            <w:tcW w:w="3030" w:type="dxa"/>
          </w:tcPr>
          <w:p>
            <w:pPr>
              <w:pStyle w:val="Compact"/>
              <w:jc w:val="left"/>
            </w:pPr>
            <w:r>
              <w:rPr>
                <w:sz w:val="18"/>
              </w:rPr>
              <w:t xml:space="preserve">Vermont: 32.3% of ED visits potentially avoidable. CHT program preventing 500 avoidable ED visits/year at $1,800 each = $900K savings. If CHT costs $300K/year, ROI = 200%.</w:t>
            </w:r>
          </w:p>
        </w:tc>
      </w:tr>
      <w:tr>
        <w:trPr/>
        <w:tc>
          <w:tcPr>
            <w:tcW w:w="1470" w:type="dxa"/>
          </w:tcPr>
          <w:p>
            <w:pPr>
              <w:pStyle w:val="Compact"/>
              <w:jc w:val="left"/>
            </w:pPr>
            <w:r>
              <w:rPr>
                <w:sz w:val="18"/>
              </w:rPr>
              <w:t xml:space="preserve">Behavioral health integration (CoCM)</w:t>
            </w:r>
          </w:p>
        </w:tc>
        <w:tc>
          <w:tcPr>
            <w:tcW w:w="2085" w:type="dxa"/>
          </w:tcPr>
          <w:p>
            <w:pPr>
              <w:pStyle w:val="Compact"/>
              <w:jc w:val="left"/>
            </w:pPr>
            <w:r>
              <w:rPr>
                <w:sz w:val="18"/>
              </w:rPr>
              <w:t xml:space="preserve">Reduces downstream high-cost utilization — hospitalizations, ED visits for MH crisis — for patients receiving earlier MH intervention</w:t>
            </w:r>
          </w:p>
        </w:tc>
        <w:tc>
          <w:tcPr>
            <w:tcW w:w="2475" w:type="dxa"/>
          </w:tcPr>
          <w:p>
            <w:pPr>
              <w:pStyle w:val="Compact"/>
              <w:jc w:val="left"/>
            </w:pPr>
            <w:r>
              <w:rPr>
                <w:sz w:val="18"/>
              </w:rPr>
              <w:t xml:space="preserve">Estimate reduction in MH-related ED visits and hospitalizations for CoCM-managed patients vs. usual care. Vermont: 245 suicide/SH ED visits per 10,000 — each prevented = $1,800 saved plus downstream cost avoidance.</w:t>
            </w:r>
          </w:p>
        </w:tc>
        <w:tc>
          <w:tcPr>
            <w:tcW w:w="3030" w:type="dxa"/>
          </w:tcPr>
          <w:p>
            <w:pPr>
              <w:pStyle w:val="Compact"/>
              <w:jc w:val="left"/>
            </w:pPr>
            <w:r>
              <w:rPr>
                <w:sz w:val="18"/>
              </w:rPr>
              <w:t xml:space="preserve">Vermont Blueprint MHI pilot: 80% of administrative entities increased CHT staffing. Every MH-related hospitalization prevented at $15,000 average saves 50x the cost of a CoCM BHCM monthly salary cost.</w:t>
            </w:r>
          </w:p>
        </w:tc>
      </w:tr>
      <w:tr>
        <w:trPr/>
        <w:tc>
          <w:tcPr>
            <w:tcW w:w="1470" w:type="dxa"/>
          </w:tcPr>
          <w:p>
            <w:pPr>
              <w:pStyle w:val="Compact"/>
              <w:jc w:val="left"/>
            </w:pPr>
            <w:r>
              <w:rPr>
                <w:sz w:val="18"/>
              </w:rPr>
              <w:t xml:space="preserve">SDOH program investment</w:t>
            </w:r>
          </w:p>
        </w:tc>
        <w:tc>
          <w:tcPr>
            <w:tcW w:w="2085" w:type="dxa"/>
          </w:tcPr>
          <w:p>
            <w:pPr>
              <w:pStyle w:val="Compact"/>
              <w:jc w:val="left"/>
            </w:pPr>
            <w:r>
              <w:rPr>
                <w:sz w:val="18"/>
              </w:rPr>
              <w:t xml:space="preserve">Reduces avoidable utilization driven by unmet social needs — housing-related ED visits, medication non-adherence from food insecurity, missed appointments from transportation barriers</w:t>
            </w:r>
          </w:p>
        </w:tc>
        <w:tc>
          <w:tcPr>
            <w:tcW w:w="2475" w:type="dxa"/>
          </w:tcPr>
          <w:p>
            <w:pPr>
              <w:pStyle w:val="Compact"/>
              <w:jc w:val="left"/>
            </w:pPr>
            <w:r>
              <w:rPr>
                <w:sz w:val="18"/>
              </w:rPr>
              <w:t xml:space="preserve">Literature suggests 5-15% reduction in total cost of care for high-SDOH-burden populations receiving coordinated SDOH intervention. Apply to Vermont’s identified high-SDOH populations.</w:t>
            </w:r>
          </w:p>
        </w:tc>
        <w:tc>
          <w:tcPr>
            <w:tcW w:w="3030" w:type="dxa"/>
          </w:tcPr>
          <w:p>
            <w:pPr>
              <w:pStyle w:val="Compact"/>
              <w:jc w:val="left"/>
            </w:pPr>
            <w:r>
              <w:rPr>
                <w:sz w:val="18"/>
              </w:rPr>
              <w:t xml:space="preserve">Blueprint HRSN screening + CHT navigation: SDOH intervention for the 9% of Vermonters who are food insecure, if it reduces avoidable hospitalizations by even 10%, produces system savings exceeding program cost at scale.</w:t>
            </w:r>
          </w:p>
        </w:tc>
      </w:tr>
      <w:tr>
        <w:trPr/>
        <w:tc>
          <w:tcPr>
            <w:tcW w:w="1470" w:type="dxa"/>
          </w:tcPr>
          <w:p>
            <w:pPr>
              <w:pStyle w:val="Compact"/>
              <w:jc w:val="left"/>
            </w:pPr>
            <w:r>
              <w:rPr>
                <w:sz w:val="18"/>
              </w:rPr>
              <w:t xml:space="preserve">Primary care investment (PCMH enhanced payments)</w:t>
            </w:r>
          </w:p>
        </w:tc>
        <w:tc>
          <w:tcPr>
            <w:tcW w:w="2085" w:type="dxa"/>
          </w:tcPr>
          <w:p>
            <w:pPr>
              <w:pStyle w:val="Compact"/>
              <w:jc w:val="left"/>
            </w:pPr>
            <w:r>
              <w:rPr>
                <w:sz w:val="18"/>
              </w:rPr>
              <w:t xml:space="preserve">Reduces hospitalizations and specialty care through better chronic disease management and early intervention</w:t>
            </w:r>
          </w:p>
        </w:tc>
        <w:tc>
          <w:tcPr>
            <w:tcW w:w="2475" w:type="dxa"/>
          </w:tcPr>
          <w:p>
            <w:pPr>
              <w:pStyle w:val="Compact"/>
              <w:jc w:val="left"/>
            </w:pPr>
            <w:r>
              <w:rPr>
                <w:sz w:val="18"/>
              </w:rPr>
              <w:t xml:space="preserve">Blueprint ROI study: $5.8M reduction in medical expenditure per $1M invested. At this ratio, $3M in Blueprint PCMH investment reduces system costs by $17.4M.</w:t>
            </w:r>
          </w:p>
        </w:tc>
        <w:tc>
          <w:tcPr>
            <w:tcW w:w="3030" w:type="dxa"/>
          </w:tcPr>
          <w:p>
            <w:pPr>
              <w:pStyle w:val="Compact"/>
              <w:jc w:val="left"/>
            </w:pPr>
            <w:r>
              <w:rPr>
                <w:sz w:val="18"/>
              </w:rPr>
              <w:t xml:space="preserve">Vermont AHEAD primary care investment mandate: EAST Fund investment in primary care is essentially a system investment with documented 5.8:1 ROI in Vermont’s own experience.</w:t>
            </w:r>
          </w:p>
        </w:tc>
      </w:tr>
      <w:tr>
        <w:trPr>
          <w:cantSplit/>
        </w:trPr>
        <w:tc>
          <w:tcPr>
            <w:tcW w:w="1470" w:type="dxa"/>
          </w:tcPr>
          <w:p>
            <w:pPr>
              <w:pStyle w:val="Compact"/>
              <w:jc w:val="left"/>
            </w:pPr>
            <w:r>
              <w:rPr>
                <w:sz w:val="18"/>
              </w:rPr>
              <w:t xml:space="preserve">Telehealth for rural access</w:t>
            </w:r>
          </w:p>
        </w:tc>
        <w:tc>
          <w:tcPr>
            <w:tcW w:w="2085" w:type="dxa"/>
          </w:tcPr>
          <w:p>
            <w:pPr>
              <w:pStyle w:val="Compact"/>
              <w:jc w:val="left"/>
            </w:pPr>
            <w:r>
              <w:rPr>
                <w:sz w:val="18"/>
              </w:rPr>
              <w:t xml:space="preserve">Reduces transportation-related care avoidance and enables earlier intervention before crisis; reduces specialist transport costs for rural hospitals</w:t>
            </w:r>
          </w:p>
        </w:tc>
        <w:tc>
          <w:tcPr>
            <w:tcW w:w="2475" w:type="dxa"/>
          </w:tcPr>
          <w:p>
            <w:pPr>
              <w:pStyle w:val="Compact"/>
              <w:jc w:val="left"/>
            </w:pPr>
            <w:r>
              <w:rPr>
                <w:sz w:val="18"/>
              </w:rPr>
              <w:t xml:space="preserve">Travel cost savings + avoided emergency transport + reduced length of stay for patients manageable via telehealth specialty consultation. RPM: each prevented CHF hospitalization saves $15,000.</w:t>
            </w:r>
          </w:p>
        </w:tc>
        <w:tc>
          <w:tcPr>
            <w:tcW w:w="3030" w:type="dxa"/>
          </w:tcPr>
          <w:p>
            <w:pPr>
              <w:pStyle w:val="Compact"/>
              <w:jc w:val="left"/>
            </w:pPr>
            <w:r>
              <w:rPr>
                <w:sz w:val="18"/>
              </w:rPr>
              <w:t xml:space="preserve">Vermont RHT Program RPM grants: CHF readmission prevention via RPM in a population of 200 high-risk patients, preventing 10% of 30-day readmissions at 30% readmission rate, saves $90,000/year — ROI positive at $10,000/year RPM program cost.</w:t>
            </w:r>
          </w:p>
        </w:tc>
      </w:tr>
    </w:tbl>
    <w:p>
      <w:pPr>
        <w:pStyle w:val="Caption"/>
        <w:spacing w:before="120"/>
      </w:pPr>
      <w:r>
        <w:rPr>
          <w:i/>
          <w:iCs/>
        </w:rPr>
        <w:t xml:space="preserve">Figure 7.6 — Transformation investment ROI framework with Vermont examples. Sources: HTR’s Economics pillar framework; Blueprint for Health ROI study; CMS cost data; Vermont data from AHS Transformation Reports.</w:t>
      </w:r>
    </w:p>
    <w:p>
      <w:pPr>
        <w:pStyle w:val="Heading2"/>
        <w:pBdr>
          <w:top w:val="single" w:sz="6" w:space="10" w:color="C9D2DF"/>
        </w:pBdr>
      </w:pPr>
      <w:r>
        <w:rPr>
          <w:color w:val="161B22"/>
        </w:rPr>
        <w:t xml:space="preserve">7.8  </w:t>
      </w:r>
      <w:bookmarkStart w:id="1225" w:name="_Toc1224"/>
      <w:r>
        <w:rPr>
          <w:b/>
          <w:bCs/>
          <w:color w:val="161B22"/>
        </w:rPr>
        <w:t xml:space="preserve">Making Care Primary — Vermont’s Primary Care Economics</w:t>
      </w:r>
      <w:bookmarkEnd w:id="1225"/>
    </w:p>
    <w:p>
      <w:pPr>
        <w:pStyle w:val="FirstParagraph"/>
      </w:pPr>
      <w: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the highest-return investment a healthcare system can make: the same $1 invested in primary care produces greater total cost of care reduction than $1 invested in hospital care or specialty care.</w:t>
      </w:r>
    </w:p>
    <w:p>
      <w:pPr>
        <w:pStyle w:val="BodyText"/>
      </w:pPr>
      <w:r>
        <w:t xml:space="preserve">Vermont’s Blueprint for Health embeds this economic logic in its design. The all-payer PMPM payments to PCMH practices are structured as an investment in reduced downstream costs — and Vermont’s own evaluation data confirms the 5.8:1 ROI. Under AHEAD, primary care investment will be measured as a percentage of total spending, creating an explicit financial accountability framework for the primary care investment argument.</w:t>
      </w:r>
    </w:p>
    <w:p>
      <w:pPr>
        <w:pStyle w:val="Heading2"/>
        <w:pBdr>
          <w:top w:val="single" w:sz="6" w:space="10" w:color="C9D2DF"/>
        </w:pBdr>
        <w:keepNext w:val="false"/>
      </w:pPr>
      <w:r>
        <w:rPr>
          <w:color w:val="161B22"/>
        </w:rPr>
        <w:t xml:space="preserve">7.9  </w:t>
      </w:r>
      <w:bookmarkStart w:id="1226" w:name="_Toc1225"/>
      <w:r>
        <w:rPr>
          <w:b/>
          <w:bCs/>
          <w:color w:val="161B22"/>
        </w:rPr>
        <w:t xml:space="preserve">Work This Chapter on the Platform</w:t>
      </w:r>
      <w:bookmarkEnd w:id="1226"/>
    </w:p>
    <w:p>
      <w:pPr>
        <w:pStyle w:val="FirstParagraph"/>
        <w:keepNext w:val="false"/>
      </w:pPr>
      <w:r>
        <w:t xml:space="preserve">Chapter 7’s VBC financial mechanics — shared savings, risk, contract analysis, readiness — are exactly what these calculators do.</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Model shared savings/loss under any APM contract (benchmark PMPM, sharing rate, MSR, stop-loss)</w:t>
            </w:r>
          </w:p>
        </w:tc>
        <w:tc>
          <w:tcPr>
            <w:tcW w:w="947" w:type="dxa"/>
          </w:tcPr>
          <w:p>
            <w:pPr>
              <w:pStyle w:val="Compact"/>
              <w:jc w:val="left"/>
            </w:pPr>
            <w:r>
              <w:rPr>
                <w:b/>
                <w:bCs/>
                <w:sz w:val="18"/>
              </w:rPr>
              <w:t xml:space="preserve">Shared Savings Calculator</w:t>
            </w:r>
            <w:r>
              <w:rPr>
                <w:sz w:val="18"/>
              </w:rPr>
              <w:t xml:space="preserve"> </w:t>
            </w:r>
            <w:r>
              <w:rPr>
                <w:sz w:val="18"/>
              </w:rPr>
              <w:t xml:space="preserve">—</w:t>
            </w:r>
            <w:r>
              <w:rPr>
                <w:sz w:val="18"/>
              </w:rPr>
              <w:t xml:space="preserve"> </w:t>
            </w:r>
            <w:r>
              <w:rPr>
                <w:rStyle w:val="VerbatimChar"/>
                <w:sz w:val="18"/>
              </w:rPr>
              <w:t xml:space="preserve">/research-lab/payment-models?tab=apm-calc</w:t>
            </w:r>
          </w:p>
        </w:tc>
        <w:tc>
          <w:tcPr>
            <w:tcW w:w="4062" w:type="dxa"/>
          </w:tcPr>
          <w:p>
            <w:pPr>
              <w:pStyle w:val="Compact"/>
              <w:jc w:val="left"/>
            </w:pPr>
            <w:r>
              <w:rPr>
                <w:sz w:val="18"/>
              </w:rPr>
              <w:t xml:space="preserve">Pessimistic/base/optimistic spread — the difference between a viable contract and a</w:t>
            </w:r>
            <w:r>
              <w:rPr>
                <w:sz w:val="18"/>
              </w:rPr>
              <w:t xml:space="preserve"> </w:t>
            </w:r>
            <w:r>
              <w:rPr>
                <w:sz w:val="18"/>
              </w:rPr>
              <w:t xml:space="preserve">“managing blind”</w:t>
            </w:r>
            <w:r>
              <w:rPr>
                <w:sz w:val="18"/>
              </w:rPr>
              <w:t xml:space="preserve"> </w:t>
            </w:r>
            <w:r>
              <w:rPr>
                <w:sz w:val="18"/>
              </w:rPr>
              <w:t xml:space="preserve">one.</w:t>
            </w:r>
          </w:p>
        </w:tc>
      </w:tr>
      <w:tr>
        <w:trPr/>
        <w:tc>
          <w:tcPr>
            <w:tcW w:w="4062" w:type="dxa"/>
          </w:tcPr>
          <w:p>
            <w:pPr>
              <w:pStyle w:val="Compact"/>
              <w:jc w:val="left"/>
            </w:pPr>
            <w:r>
              <w:rPr>
                <w:sz w:val="18"/>
              </w:rPr>
              <w:t xml:space="preserve">Score an organization’s value-based-care readiness across six domains</w:t>
            </w:r>
          </w:p>
        </w:tc>
        <w:tc>
          <w:tcPr>
            <w:tcW w:w="947" w:type="dxa"/>
          </w:tcPr>
          <w:p>
            <w:pPr>
              <w:pStyle w:val="Compact"/>
              <w:jc w:val="left"/>
            </w:pPr>
            <w:r>
              <w:rPr>
                <w:b/>
                <w:bCs/>
                <w:sz w:val="18"/>
              </w:rPr>
              <w:t xml:space="preserve">VBC Readiness Assessment</w:t>
            </w:r>
            <w:r>
              <w:rPr>
                <w:sz w:val="18"/>
              </w:rPr>
              <w:t xml:space="preserve"> </w:t>
            </w:r>
            <w:r>
              <w:rPr>
                <w:sz w:val="18"/>
              </w:rPr>
              <w:t xml:space="preserve">—</w:t>
            </w:r>
            <w:r>
              <w:rPr>
                <w:sz w:val="18"/>
              </w:rPr>
              <w:t xml:space="preserve"> </w:t>
            </w:r>
            <w:r>
              <w:rPr>
                <w:rStyle w:val="VerbatimChar"/>
                <w:sz w:val="18"/>
              </w:rPr>
              <w:t xml:space="preserve">/research-lab/knowledge-workspace?tab=readiness</w:t>
            </w:r>
          </w:p>
        </w:tc>
        <w:tc>
          <w:tcPr>
            <w:tcW w:w="4062" w:type="dxa"/>
          </w:tcPr>
          <w:p>
            <w:pPr>
              <w:pStyle w:val="Compact"/>
              <w:jc w:val="left"/>
            </w:pPr>
            <w:r>
              <w:rPr>
                <w:sz w:val="18"/>
              </w:rPr>
              <w:t xml:space="preserve">Which domain is the binding constraint before assuming downside risk.</w:t>
            </w:r>
          </w:p>
        </w:tc>
      </w:tr>
      <w:tr>
        <w:trPr/>
        <w:tc>
          <w:tcPr>
            <w:tcW w:w="4062" w:type="dxa"/>
          </w:tcPr>
          <w:p>
            <w:pPr>
              <w:pStyle w:val="Compact"/>
              <w:jc w:val="left"/>
            </w:pPr>
            <w:r>
              <w:rPr>
                <w:sz w:val="18"/>
              </w:rPr>
              <w:t xml:space="preserve">Run a cost-effectiveness analysis on a proposed intervention</w:t>
            </w:r>
          </w:p>
        </w:tc>
        <w:tc>
          <w:tcPr>
            <w:tcW w:w="947" w:type="dxa"/>
          </w:tcPr>
          <w:p>
            <w:pPr>
              <w:pStyle w:val="Compact"/>
              <w:jc w:val="left"/>
            </w:pPr>
            <w:r>
              <w:rPr>
                <w:b/>
                <w:bCs/>
                <w:sz w:val="18"/>
              </w:rPr>
              <w:t xml:space="preserve">CEA Calculator</w:t>
            </w:r>
            <w:r>
              <w:rPr>
                <w:sz w:val="18"/>
              </w:rPr>
              <w:t xml:space="preserve"> </w:t>
            </w:r>
            <w:r>
              <w:rPr>
                <w:sz w:val="18"/>
              </w:rPr>
              <w:t xml:space="preserve">—</w:t>
            </w:r>
            <w:r>
              <w:rPr>
                <w:sz w:val="18"/>
              </w:rPr>
              <w:t xml:space="preserve"> </w:t>
            </w:r>
            <w:r>
              <w:rPr>
                <w:rStyle w:val="VerbatimChar"/>
                <w:sz w:val="18"/>
              </w:rPr>
              <w:t xml:space="preserve">/research-lab/payment-models?tab=cea</w:t>
            </w:r>
          </w:p>
        </w:tc>
        <w:tc>
          <w:tcPr>
            <w:tcW w:w="4062" w:type="dxa"/>
          </w:tcPr>
          <w:p>
            <w:pPr>
              <w:pStyle w:val="Compact"/>
              <w:jc w:val="left"/>
            </w:pPr>
            <w:r>
              <w:rPr>
                <w:sz w:val="18"/>
              </w:rPr>
              <w:t xml:space="preserve">Whether the ROI case survives contact with the numbers.</w:t>
            </w:r>
          </w:p>
        </w:tc>
      </w:tr>
      <w:tr>
        <w:trPr/>
        <w:tc>
          <w:tcPr>
            <w:tcW w:w="4062" w:type="dxa"/>
          </w:tcPr>
          <w:p>
            <w:pPr>
              <w:pStyle w:val="Compact"/>
              <w:jc w:val="left"/>
            </w:pPr>
            <w:r>
              <w:rPr>
                <w:sz w:val="18"/>
              </w:rPr>
              <w:t xml:space="preserve">Stress-test a hospital’s finances against reference-based pricing and global budget scenarios</w:t>
            </w:r>
          </w:p>
        </w:tc>
        <w:tc>
          <w:tcPr>
            <w:tcW w:w="947"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4062" w:type="dxa"/>
          </w:tcPr>
          <w:p>
            <w:pPr>
              <w:pStyle w:val="Compact"/>
              <w:jc w:val="left"/>
            </w:pPr>
            <w:r>
              <w:rPr>
                <w:sz w:val="18"/>
              </w:rPr>
              <w:t xml:space="preserve">The years the hospital is thinnest. For most Vermont hospitals that is FY2027-28, not the FY2030 destination.</w:t>
            </w:r>
          </w:p>
        </w:tc>
      </w:tr>
      <w:tr>
        <w:trPr>
          <w:cantSplit/>
        </w:trPr>
        <w:tc>
          <w:tcPr>
            <w:tcW w:w="4062" w:type="dxa"/>
          </w:tcPr>
          <w:p>
            <w:pPr>
              <w:pStyle w:val="Compact"/>
              <w:jc w:val="left"/>
            </w:pPr>
            <w:r>
              <w:rPr>
                <w:sz w:val="18"/>
              </w:rPr>
              <w:t xml:space="preserve">Track capital committed against each pillar and find where funding runs ahead of dependency order</w:t>
            </w:r>
          </w:p>
        </w:tc>
        <w:tc>
          <w:tcPr>
            <w:tcW w:w="947" w:type="dxa"/>
          </w:tcPr>
          <w:p>
            <w:pPr>
              <w:pStyle w:val="Compact"/>
              <w:jc w:val="left"/>
            </w:pPr>
            <w:r>
              <w:rPr>
                <w:b/>
                <w:bCs/>
                <w:sz w:val="18"/>
              </w:rPr>
              <w:t xml:space="preserve">Investment Tracker</w:t>
            </w:r>
            <w:r>
              <w:rPr>
                <w:sz w:val="18"/>
              </w:rPr>
              <w:t xml:space="preserve"> </w:t>
            </w:r>
            <w:r>
              <w:rPr>
                <w:sz w:val="18"/>
              </w:rPr>
              <w:t xml:space="preserve">—</w:t>
            </w:r>
            <w:r>
              <w:rPr>
                <w:sz w:val="18"/>
              </w:rPr>
              <w:t xml:space="preserve"> </w:t>
            </w:r>
            <w:r>
              <w:rPr>
                <w:rStyle w:val="VerbatimChar"/>
                <w:sz w:val="18"/>
              </w:rPr>
              <w:t xml:space="preserve">/investment-tracker</w:t>
            </w:r>
          </w:p>
        </w:tc>
        <w:tc>
          <w:tcPr>
            <w:tcW w:w="4062" w:type="dxa"/>
          </w:tcPr>
          <w:p>
            <w:pPr>
              <w:pStyle w:val="Compact"/>
              <w:jc w:val="left"/>
            </w:pPr>
            <w:r>
              <w:rPr>
                <w:sz w:val="18"/>
              </w:rPr>
              <w:t xml:space="preserve">Money moving faster than the sequence is the early signal of premature investment.</w:t>
            </w:r>
          </w:p>
        </w:tc>
      </w:tr>
    </w:tbl>
    <w:p>
      <w:pPr>
        <w:pStyle w:val="Caption"/>
        <w:spacing w:before="120"/>
      </w:pPr>
      <w:r>
        <w:rPr>
          <w:i/>
          <w:iCs/>
        </w:rPr>
        <w:t xml:space="preserve">Figure 7.H — Hands-on platform tools for the Economics Pillar in practice.</w:t>
      </w:r>
    </w:p>
    <w:p>
      <w:pPr>
        <w:pStyle w:val="Heading2"/>
        <w:pBdr>
          <w:top w:val="single" w:sz="6" w:space="10" w:color="C9D2DF"/>
        </w:pBdr>
      </w:pPr>
      <w:r>
        <w:rPr>
          <w:color w:val="161B22"/>
        </w:rPr>
        <w:t xml:space="preserve">7.10  </w:t>
      </w:r>
      <w:bookmarkStart w:id="1227" w:name="_Toc1226"/>
      <w:r>
        <w:rPr>
          <w:b/>
          <w:bCs/>
          <w:color w:val="161B22"/>
        </w:rPr>
        <w:t xml:space="preserve">Implications for You</w:t>
      </w:r>
      <w:bookmarkEnd w:id="1227"/>
    </w:p>
    <w:p>
      <w:pPr>
        <w:pStyle w:val="FirstParagraph"/>
      </w:pPr>
      <w: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AHEAD metrics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pPr>
        <w:pStyle w:val="BodyText"/>
      </w:pPr>
      <w:r>
        <w:t xml:space="preserve">If you are an AHS or GMCB official: Vermont’s VBC financial modeling work — specifically, the AHEAD actuarial analysis and the global budget benchmark development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AHEAD benchmark methodology is set by people without this expertise, the benchmarks will be set wrong, and no amount of enforcement capability applied to wrong benchmarks produces the right transformation outcomes.</w:t>
      </w:r>
    </w:p>
    <w:p>
      <w:pPr>
        <w:pStyle w:val="BodyText"/>
      </w:pPr>
      <w: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passthrough requirement intends, rather than being absorbed in commercial insurer margins.</w:t>
      </w:r>
    </w:p>
    <w:p>
      <w:pPr>
        <w:pStyle w:val="BodyText"/>
      </w:pPr>
      <w:r>
        <w:t xml:space="preserve">If you are a national health policy professional: Vermont’s VBC financial modeling challenge — building the actuarial and analytical infrastructure for a mandatory all-payer model in a small state — is the challenge every state that attempts mandatory payment reform will face. Vermont’s approach: VHCURES for population data, external analytics vendor for modeling capability, EAST Fund for transformation capital, and statutory deadlines for implementation — is worth studying as a model for states that want to move beyond voluntary VBC without the large state infrastructure that makes voluntary models easier to administer.</w:t>
      </w:r>
    </w:p>
    <w:p>
      <w:pPr>
        <w:pStyle w:val="BodyText"/>
      </w:pPr>
      <w: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pPr>
        <w:pStyle w:val="Heading2"/>
        <w:pBdr>
          <w:top w:val="single" w:sz="6" w:space="10" w:color="C9D2DF"/>
        </w:pBdr>
      </w:pPr>
      <w:r>
        <w:rPr>
          <w:color w:val="161B22"/>
        </w:rPr>
        <w:t xml:space="preserve">7.11  </w:t>
      </w:r>
      <w:bookmarkStart w:id="1228" w:name="_Toc1227"/>
      <w:r>
        <w:rPr>
          <w:b/>
          <w:bCs/>
          <w:color w:val="161B22"/>
        </w:rPr>
        <w:t xml:space="preserve">Key Concepts in This Chapter</w:t>
      </w:r>
      <w:bookmarkEnd w:id="1228"/>
    </w:p>
    <w:p>
      <w:pPr>
        <w:pStyle w:val="FirstParagraph"/>
        <w:spacing w:before="160" w:after="120"/>
      </w:pPr>
      <w:r>
        <w:rPr>
          <w:rFonts w:ascii="Calibri" w:hAnsi="Calibri"/>
          <w:b/>
          <w:bCs/>
          <w:color w:val="2E74B5"/>
          <w:sz w:val="20"/>
        </w:rPr>
        <w:t xml:space="preserve">Benchmark</w:t>
      </w:r>
      <w:r>
        <w:rPr>
          <w:rFonts w:ascii="Calibri" w:hAnsi="Calibri"/>
          <w:color w:val="000000"/>
          <w:sz w:val="18"/>
        </w:rPr>
        <w:br/>
      </w:r>
      <w:r>
        <w:rPr>
          <w:rFonts w:ascii="Calibri" w:hAnsi="Calibri"/>
          <w:color w:val="000000"/>
          <w:sz w:val="18"/>
        </w:rPr>
        <w:t xml:space="preserve">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p>
    <w:p>
      <w:pPr>
        <w:pStyle w:val="BodyText"/>
        <w:spacing w:before="160" w:after="120"/>
      </w:pPr>
      <w:r>
        <w:rPr>
          <w:rFonts w:ascii="Calibri" w:hAnsi="Calibri"/>
          <w:b/>
          <w:bCs/>
          <w:color w:val="2E74B5"/>
          <w:sz w:val="20"/>
        </w:rPr>
        <w:t xml:space="preserve">Attribution</w:t>
      </w:r>
      <w:r>
        <w:rPr>
          <w:rFonts w:ascii="Calibri" w:hAnsi="Calibri"/>
          <w:color w:val="000000"/>
          <w:sz w:val="18"/>
        </w:rPr>
        <w:br/>
      </w:r>
      <w:r>
        <w:rPr>
          <w:rFonts w:ascii="Calibri" w:hAnsi="Calibri"/>
          <w:color w:val="000000"/>
          <w:sz w:val="18"/>
        </w:rPr>
        <w:t xml:space="preserve">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p>
    <w:p>
      <w:pPr>
        <w:pStyle w:val="BodyText"/>
        <w:spacing w:before="160" w:after="120"/>
      </w:pPr>
      <w:r>
        <w:rPr>
          <w:rFonts w:ascii="Calibri" w:hAnsi="Calibri"/>
          <w:b/>
          <w:bCs/>
          <w:color w:val="2E74B5"/>
          <w:sz w:val="20"/>
        </w:rPr>
        <w:t xml:space="preserve">Shared savings rate</w:t>
      </w:r>
      <w:r>
        <w:rPr>
          <w:rFonts w:ascii="Calibri" w:hAnsi="Calibri"/>
          <w:color w:val="000000"/>
          <w:sz w:val="18"/>
        </w:rPr>
        <w:br/>
      </w:r>
      <w:r>
        <w:rPr>
          <w:rFonts w:ascii="Calibri" w:hAnsi="Calibri"/>
          <w:color w:val="000000"/>
          <w:sz w:val="18"/>
        </w:rPr>
        <w:t xml:space="preserve">The percentage of savings below benchmark that the organization receives. Typically 50-75% for one-sided risk models; may reach 80% for full-risk models.</w:t>
      </w:r>
    </w:p>
    <w:p>
      <w:pPr>
        <w:pStyle w:val="BodyText"/>
        <w:spacing w:before="160" w:after="120"/>
      </w:pPr>
      <w:r>
        <w:rPr>
          <w:rFonts w:ascii="Calibri" w:hAnsi="Calibri"/>
          <w:b/>
          <w:bCs/>
          <w:color w:val="2E74B5"/>
          <w:sz w:val="20"/>
        </w:rPr>
        <w:t xml:space="preserve">Minimum savings rate (MSR)</w:t>
      </w:r>
      <w:r>
        <w:rPr>
          <w:rFonts w:ascii="Calibri" w:hAnsi="Calibri"/>
          <w:color w:val="000000"/>
          <w:sz w:val="18"/>
        </w:rPr>
        <w:br/>
      </w:r>
      <w:r>
        <w:rPr>
          <w:rFonts w:ascii="Calibri" w:hAnsi="Calibri"/>
          <w:color w:val="000000"/>
          <w:sz w:val="18"/>
        </w:rPr>
        <w:t xml:space="preserve">The threshold below which savings are not shared — typically 2-3.5% of benchmark — protecting against natural year-to-year variation triggering unearned payments.</w:t>
      </w:r>
    </w:p>
    <w:p>
      <w:pPr>
        <w:pStyle w:val="BodyText"/>
        <w:spacing w:before="160" w:after="120"/>
      </w:pPr>
      <w:r>
        <w:rPr>
          <w:rFonts w:ascii="Calibri" w:hAnsi="Calibri"/>
          <w:b/>
          <w:bCs/>
          <w:color w:val="2E74B5"/>
          <w:sz w:val="20"/>
        </w:rPr>
        <w:t xml:space="preserve">Risk corridor</w:t>
      </w:r>
      <w:r>
        <w:rPr>
          <w:rFonts w:ascii="Calibri" w:hAnsi="Calibri"/>
          <w:color w:val="000000"/>
          <w:sz w:val="18"/>
        </w:rPr>
        <w:br/>
      </w:r>
      <w:r>
        <w:rPr>
          <w:rFonts w:ascii="Calibri" w:hAnsi="Calibri"/>
          <w:color w:val="000000"/>
          <w:sz w:val="18"/>
        </w:rPr>
        <w:t xml:space="preserve">A provision in full-risk APM contracts that caps the organization’s maximum financial loss at a defined threshold, providing stop-loss protection for organizations bearing downside risk.</w:t>
      </w:r>
    </w:p>
    <w:p>
      <w:pPr>
        <w:pStyle w:val="BodyText"/>
        <w:spacing w:before="160" w:after="120"/>
      </w:pPr>
      <w:r>
        <w:rPr>
          <w:rFonts w:ascii="Calibri" w:hAnsi="Calibri"/>
          <w:b/>
          <w:bCs/>
          <w:color w:val="2E74B5"/>
          <w:sz w:val="20"/>
        </w:rPr>
        <w:t xml:space="preserve">RAF (Risk Adjustment Factor)</w:t>
      </w:r>
      <w:r>
        <w:rPr>
          <w:rFonts w:ascii="Calibri" w:hAnsi="Calibri"/>
          <w:color w:val="000000"/>
          <w:sz w:val="18"/>
        </w:rPr>
        <w:br/>
      </w:r>
      <w:r>
        <w:rPr>
          <w:rFonts w:ascii="Calibri" w:hAnsi="Calibri"/>
          <w:color w:val="000000"/>
          <w:sz w:val="18"/>
        </w:rPr>
        <w:t xml:space="preserve">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p>
    <w:p>
      <w:pPr>
        <w:pStyle w:val="BodyText"/>
        <w:spacing w:before="160" w:after="120"/>
      </w:pPr>
      <w:r>
        <w:rPr>
          <w:rFonts w:ascii="Calibri" w:hAnsi="Calibri"/>
          <w:b/>
          <w:bCs/>
          <w:color w:val="2E74B5"/>
          <w:sz w:val="20"/>
        </w:rPr>
        <w:t xml:space="preserve">VBC Transformation Readiness Assessment</w:t>
      </w:r>
      <w:r>
        <w:rPr>
          <w:rFonts w:ascii="Calibri" w:hAnsi="Calibri"/>
          <w:color w:val="000000"/>
          <w:sz w:val="18"/>
        </w:rPr>
        <w:br/>
      </w:r>
      <w:r>
        <w:rPr>
          <w:rFonts w:ascii="Calibri" w:hAnsi="Calibri"/>
          <w:color w:val="000000"/>
          <w:sz w:val="18"/>
        </w:rPr>
        <w:t xml:space="preserve">The 30-dimension, 6-domain assessment evaluating an organization’s readiness to enter and succeed in value-based care contracts. Total score below 60/120 indicates pre-transition status; gap analysis identifies highest-priority investments before contract entry.</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p>
    <w:p>
      <w:r>
        <w:br w:type="page"/>
      </w:r>
    </w:p>
    <w:p>
      <w:pPr>
        <w:pStyle w:val="Heading1"/>
      </w:pPr>
      <w:bookmarkStart w:id="1229" w:name="_Toc1228"/>
      <w:r>
        <w:rPr>
          <w:b/>
          <w:bCs/>
          <w:color w:val="161B22"/>
        </w:rPr>
        <w:t xml:space="preserve">Chapter 8: The Clinical Pillar — Redesigning Care Delivery for a Transformed System</w:t>
      </w:r>
      <w:bookmarkEnd w:id="1229"/>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Blueprint for Health, PCMH transformation, and CCBHC expansion represent two decades of primary care investment whose return is now contingent on the payment reform that Acts 167 and 68 mandate.</w:t>
      </w:r>
    </w:p>
    <w:p>
      <w:pPr>
        <w:pStyle w:val="BodyText"/>
      </w:pPr>
      <w:r>
        <w:t xml:space="preserve">The Clinical pillar is where the abstractions of the other five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fifteen-year record offers something most states do not have: a long enough timeline to distinguish what clinical redesign looks like when it is given time to mature versus when it is rushed ahead of the payment and technology foundations it depends on.</w:t>
      </w:r>
    </w:p>
    <w:p>
      <w:pPr>
        <w:pStyle w:val="BodyText"/>
      </w:pPr>
      <w:r>
        <w:rPr>
          <w:i/>
          <w:iCs/>
        </w:rPr>
        <w:t xml:space="preserve">The Vermont Blueprint for Health is the most successful sustained primary care transformation program in American health policy. Vermont’s behavioral health data: 245.5 ED visits per 10,000 for suicide ideation and self-harm.</w:t>
      </w:r>
    </w:p>
    <w:p>
      <w:pPr>
        <w:pStyle w:val="Heading2"/>
        <w:pBdr>
          <w:top w:val="single" w:sz="6" w:space="10" w:color="C9D2DF"/>
        </w:pBdr>
      </w:pPr>
      <w:r>
        <w:rPr>
          <w:color w:val="161B22"/>
        </w:rPr>
        <w:t xml:space="preserve">8.1  </w:t>
      </w:r>
      <w:bookmarkStart w:id="1230" w:name="_Toc1229"/>
      <w:r>
        <w:rPr>
          <w:b/>
          <w:bCs/>
          <w:color w:val="161B22"/>
        </w:rPr>
        <w:t xml:space="preserve">The Clinical Pillar: What It Is and Why It Is Not the Same as Clinical Quality</w:t>
      </w:r>
      <w:bookmarkEnd w:id="1230"/>
    </w:p>
    <w:p>
      <w:pPr>
        <w:pStyle w:val="FirstParagraph"/>
      </w:pPr>
      <w: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pPr>
        <w:pStyle w:val="BodyText"/>
      </w:pPr>
      <w: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pPr>
        <w:pStyle w:val="BodyText"/>
        <w:keepNext w:val="false"/>
      </w:pPr>
      <w:r>
        <w:t xml:space="preserve">Vermont has more developed answers to these clinical design questions than most states, because Vermont has been running the Blueprint for Health — the most sophisticated all-payer primary care transformation program in the country — for nearly two decades. The Blueprint is not a pilot or a demonstration. It is operating infrastructure, funded by all payers, embedded in primary care practices across all 14 Hospital Service Areas, and producing measurable results. Understanding the Blueprint is the foundation for understanding Vermont’s clinical pillar strategy.</w:t>
      </w:r>
    </w:p>
    <w:p>
      <w:pPr>
        <w:pStyle w:val="Heading2"/>
        <w:pBdr>
          <w:top w:val="single" w:sz="6" w:space="10" w:color="C9D2DF"/>
        </w:pBdr>
        <w:keepNext w:val="false"/>
      </w:pPr>
      <w:r>
        <w:rPr>
          <w:color w:val="161B22"/>
        </w:rPr>
        <w:t xml:space="preserve">8.2  </w:t>
      </w:r>
      <w:bookmarkStart w:id="1231" w:name="_Toc1230"/>
      <w:r>
        <w:rPr>
          <w:b/>
          <w:bCs/>
          <w:color w:val="161B22"/>
        </w:rPr>
        <w:t xml:space="preserve">The Vermont Blueprint for Health — Two Decades of Primary Care Transformation</w:t>
      </w:r>
      <w:bookmarkEnd w:id="1231"/>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5.8:1</w:t>
            </w:r>
          </w:p>
          <w:p>
            <w:pPr>
              <w:jc w:val="center"/>
              <w:spacing w:after="40"/>
            </w:pPr>
            <w:r>
              <w:rPr>
                <w:rFonts w:ascii="Calibri" w:hAnsi="Calibri"/>
                <w:b/>
                <w:sz w:val="16"/>
                <w:color w:val="1B3A6B"/>
              </w:rPr>
              <w:t>Blueprint ROI on Investment</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Operational Since 2006</w:t>
            </w:r>
          </w:p>
        </w:tc>
        <w:tc>
          <w:tcPr>
            <w:tcW w:w="2268" w:type="dxa"/>
            <w:shd w:val="clear" w:color="auto" w:fill="E8F0FB"/>
            <w:vAlign w:val="center"/>
          </w:tcPr>
          <w:p>
            <w:pPr>
              <w:jc w:val="center"/>
              <w:spacing w:after="20" w:before="40"/>
            </w:pPr>
            <w:r>
              <w:rPr>
                <w:rFonts w:ascii="Calibri" w:hAnsi="Calibri"/>
                <w:b/>
                <w:sz w:val="16"/>
                <w:color w:val="1B3A6B"/>
              </w:rPr>
              <w:t>All-Payer</w:t>
            </w:r>
          </w:p>
          <w:p>
            <w:pPr>
              <w:jc w:val="center"/>
              <w:spacing w:after="40"/>
            </w:pPr>
            <w:r>
              <w:rPr>
                <w:rFonts w:ascii="Calibri" w:hAnsi="Calibri"/>
                <w:b/>
                <w:sz w:val="16"/>
                <w:color w:val="1B3A6B"/>
              </w:rPr>
              <w:t>Medicare + Medicaid + Commercial</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r>
    </w:tbl>
    <w:p>
      <w:pPr>
        <w:spacing w:after="120"/>
      </w:pPr>
    </w:p>
    <w:p>
      <w:pPr>
        <w:pStyle w:val="BodyText"/>
      </w:pPr>
      <w: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pPr>
        <w:pStyle w:val="Heading3"/>
        <w:keepNext w:val="false"/>
      </w:pPr>
      <w:r>
        <w:rPr>
          <w:color w:val="161B22"/>
        </w:rPr>
        <w:t xml:space="preserve">8.2.1  </w:t>
      </w:r>
      <w:bookmarkStart w:id="1232" w:name="_Toc1231"/>
      <w:r>
        <w:rPr>
          <w:b/>
          <w:bCs/>
          <w:color w:val="161B22"/>
        </w:rPr>
        <w:t xml:space="preserve">The Blueprint Architecture</w:t>
      </w:r>
      <w:bookmarkEnd w:id="1232"/>
    </w:p>
    <w:p>
      <w:pPr>
        <w:pStyle w:val="FirstParagraph"/>
        <w:keepNext w:val="false"/>
      </w:pPr>
      <w:r>
        <w:t xml:space="preserve">The Blueprint operates through three integrated components that together constitute a population health management system at the primary care level:</w:t>
      </w:r>
    </w:p>
    <w:tbl>
      <w:tblPr>
        <w:tblStyle w:val="HTRTable"/>
        <w:tblLook w:firstRow="1" w:lastRow="0" w:firstColumn="0" w:lastColumn="0" w:noHBand="0" w:noVBand="1" w:val="0020"/>
        <w:tblW w:w="9072" w:type="dxa"/>
        <w:tblLayout w:type="fixed"/>
      </w:tblPr>
      <w:tblGrid>
        <w:gridCol w:w="1512"/>
        <w:gridCol w:w="2520"/>
        <w:gridCol w:w="2520"/>
        <w:gridCol w:w="2520"/>
      </w:tblGrid>
      <w:tr>
        <w:trPr>
          <w:tblHeader w:val="on"/>
          <w:cantSplit/>
        </w:trPr>
        <w:tc>
          <w:tcPr>
            <w:shd w:val="clear" w:color="auto" w:fill="1B3A6B"/>
            <w:tcW w:w="1512" w:type="dxa"/>
          </w:tcPr>
          <w:p>
            <w:pPr>
              <w:pStyle w:val="Compact"/>
              <w:jc w:val="left"/>
            </w:pPr>
            <w:r>
              <w:rPr>
                <w:b/>
                <w:color w:val="FFFFFF"/>
                <w:sz w:val="18"/>
              </w:rPr>
              <w:t xml:space="preserve">Component</w:t>
            </w:r>
          </w:p>
        </w:tc>
        <w:tc>
          <w:tcPr>
            <w:shd w:val="clear" w:color="auto" w:fill="1B3A6B"/>
            <w:tcW w:w="2520" w:type="dxa"/>
          </w:tcPr>
          <w:p>
            <w:pPr>
              <w:pStyle w:val="Compact"/>
              <w:jc w:val="left"/>
            </w:pPr>
            <w:r>
              <w:rPr>
                <w:b/>
                <w:color w:val="FFFFFF"/>
                <w:sz w:val="18"/>
              </w:rPr>
              <w:t xml:space="preserve">What it is</w:t>
            </w:r>
          </w:p>
        </w:tc>
        <w:tc>
          <w:tcPr>
            <w:shd w:val="clear" w:color="auto" w:fill="1B3A6B"/>
            <w:tcW w:w="2520" w:type="dxa"/>
          </w:tcPr>
          <w:p>
            <w:pPr>
              <w:pStyle w:val="Compact"/>
              <w:jc w:val="left"/>
            </w:pPr>
            <w:r>
              <w:rPr>
                <w:b/>
                <w:color w:val="FFFFFF"/>
                <w:sz w:val="18"/>
              </w:rPr>
              <w:t xml:space="preserve">How it is funded</w:t>
            </w:r>
          </w:p>
        </w:tc>
        <w:tc>
          <w:tcPr>
            <w:shd w:val="clear" w:color="auto" w:fill="1B3A6B"/>
            <w:tcW w:w="2520" w:type="dxa"/>
          </w:tcPr>
          <w:p>
            <w:pPr>
              <w:pStyle w:val="Compact"/>
              <w:jc w:val="left"/>
            </w:pPr>
            <w:r>
              <w:rPr>
                <w:b/>
                <w:color w:val="FFFFFF"/>
                <w:sz w:val="18"/>
              </w:rPr>
              <w:t xml:space="preserve">What it does</w:t>
            </w:r>
          </w:p>
        </w:tc>
      </w:tr>
      <w:tr>
        <w:trPr>
          <w:cantSplit/>
        </w:trPr>
        <w:tc>
          <w:tcPr>
            <w:tcW w:w="1512" w:type="dxa"/>
          </w:tcPr>
          <w:p>
            <w:pPr>
              <w:pStyle w:val="Compact"/>
              <w:jc w:val="left"/>
            </w:pPr>
            <w:r>
              <w:rPr>
                <w:sz w:val="18"/>
              </w:rPr>
              <w:t xml:space="preserve">Patient-Centered Medical Home (PCMH)</w:t>
            </w:r>
          </w:p>
        </w:tc>
        <w:tc>
          <w:tcPr>
            <w:tcW w:w="2520" w:type="dxa"/>
          </w:tcPr>
          <w:p>
            <w:pPr>
              <w:pStyle w:val="Compact"/>
              <w:jc w:val="left"/>
            </w:pPr>
            <w:r>
              <w:rPr>
                <w:sz w:val="18"/>
              </w:rPr>
              <w:t xml:space="preserve">Primary care practices recognized by NCQA as meeting advanced standards for care coordination, quality improvement, population management, and patient engagement</w:t>
            </w:r>
          </w:p>
        </w:tc>
        <w:tc>
          <w:tcPr>
            <w:tcW w:w="2520" w:type="dxa"/>
          </w:tcPr>
          <w:p>
            <w:pPr>
              <w:pStyle w:val="Compact"/>
              <w:jc w:val="left"/>
            </w:pPr>
            <w:r>
              <w:rPr>
                <w:sz w:val="18"/>
              </w:rPr>
              <w:t xml:space="preserve">Per-member-per-month (PMPM) payments from all payers — Medicare, Medicaid, and commercial insurers — with a base payment plus a performance payment tied to quality outcomes</w:t>
            </w:r>
          </w:p>
        </w:tc>
        <w:tc>
          <w:tcPr>
            <w:tcW w:w="2520" w:type="dxa"/>
          </w:tcPr>
          <w:p>
            <w:pPr>
              <w:pStyle w:val="Compact"/>
              <w:jc w:val="left"/>
            </w:pPr>
            <w:r>
              <w:rPr>
                <w:sz w:val="18"/>
              </w:rPr>
              <w:t xml:space="preserve">Transforms primary care practices from reactive, visit-based care to proactive, population-based care; coordinates care across providers; manages chronic conditions; screens for behavioral health and SDOH needs</w:t>
            </w:r>
          </w:p>
        </w:tc>
      </w:tr>
      <w:tr>
        <w:trPr/>
        <w:tc>
          <w:tcPr>
            <w:tcW w:w="1512" w:type="dxa"/>
          </w:tcPr>
          <w:p>
            <w:pPr>
              <w:pStyle w:val="Compact"/>
              <w:jc w:val="left"/>
            </w:pPr>
            <w:r>
              <w:rPr>
                <w:sz w:val="18"/>
              </w:rPr>
              <w:t xml:space="preserve">Community Health Team (CHT)</w:t>
            </w:r>
          </w:p>
        </w:tc>
        <w:tc>
          <w:tcPr>
            <w:tcW w:w="2520" w:type="dxa"/>
          </w:tcPr>
          <w:p>
            <w:pPr>
              <w:pStyle w:val="Compact"/>
              <w:jc w:val="left"/>
            </w:pPr>
            <w:r>
              <w:rPr>
                <w:sz w:val="18"/>
              </w:rPr>
              <w:t xml:space="preserve">Multi-disciplinary teams of social workers, nurses, community health workers, and behavioral health professionals embedded in or closely connected to primary care practices</w:t>
            </w:r>
          </w:p>
        </w:tc>
        <w:tc>
          <w:tcPr>
            <w:tcW w:w="2520" w:type="dxa"/>
          </w:tcPr>
          <w:p>
            <w:pPr>
              <w:pStyle w:val="Compact"/>
              <w:jc w:val="left"/>
            </w:pPr>
            <w:r>
              <w:rPr>
                <w:sz w:val="18"/>
              </w:rPr>
              <w:t xml:space="preserve">Blueprint program funding through DVHA; supplemented by OneCare (now transitioning), Medicaid, and grant funding</w:t>
            </w:r>
          </w:p>
        </w:tc>
        <w:tc>
          <w:tcPr>
            <w:tcW w:w="2520" w:type="dxa"/>
          </w:tcPr>
          <w:p>
            <w:pPr>
              <w:pStyle w:val="Compact"/>
              <w:jc w:val="left"/>
            </w:pPr>
            <w:r>
              <w:rPr>
                <w:sz w:val="18"/>
              </w:rPr>
              <w:t xml:space="preserve">Provides care coordination, SDOH navigation, behavioral health support, and connection to community services for patients with complex needs; bridges the medical-nonmedical divide</w:t>
            </w:r>
          </w:p>
        </w:tc>
      </w:tr>
      <w:tr>
        <w:trPr>
          <w:cantSplit/>
        </w:trPr>
        <w:tc>
          <w:tcPr>
            <w:tcW w:w="1512" w:type="dxa"/>
          </w:tcPr>
          <w:p>
            <w:pPr>
              <w:pStyle w:val="Compact"/>
              <w:jc w:val="left"/>
            </w:pPr>
            <w:r>
              <w:rPr>
                <w:sz w:val="18"/>
              </w:rPr>
              <w:t xml:space="preserve">Health Information Technology</w:t>
            </w:r>
          </w:p>
        </w:tc>
        <w:tc>
          <w:tcPr>
            <w:tcW w:w="2520" w:type="dxa"/>
          </w:tcPr>
          <w:p>
            <w:pPr>
              <w:pStyle w:val="Compact"/>
              <w:jc w:val="left"/>
            </w:pPr>
            <w:r>
              <w:rPr>
                <w:sz w:val="18"/>
              </w:rPr>
              <w:t xml:space="preserve">VITL-based health information exchange linking practices to the statewide clinical data registry and VHCURES all-payer claims database</w:t>
            </w:r>
          </w:p>
        </w:tc>
        <w:tc>
          <w:tcPr>
            <w:tcW w:w="2520" w:type="dxa"/>
          </w:tcPr>
          <w:p>
            <w:pPr>
              <w:pStyle w:val="Compact"/>
              <w:jc w:val="left"/>
            </w:pPr>
            <w:r>
              <w:rPr>
                <w:sz w:val="18"/>
              </w:rPr>
              <w:t xml:space="preserve">VITL funding; Blueprint program funding for data analytics support</w:t>
            </w:r>
          </w:p>
        </w:tc>
        <w:tc>
          <w:tcPr>
            <w:tcW w:w="2520" w:type="dxa"/>
          </w:tcPr>
          <w:p>
            <w:pPr>
              <w:pStyle w:val="Compact"/>
              <w:jc w:val="left"/>
            </w:pPr>
            <w:r>
              <w:rPr>
                <w:sz w:val="18"/>
              </w:rPr>
              <w:t xml:space="preserve">Enables population-level HEDIS measurement; provides practices with care gap reports and patient registries; supports quality improvement with data-driven insights</w:t>
            </w:r>
          </w:p>
        </w:tc>
      </w:tr>
    </w:tbl>
    <w:p>
      <w:pPr>
        <w:pStyle w:val="Caption"/>
        <w:spacing w:before="120"/>
      </w:pPr>
      <w:r>
        <w:rPr>
          <w:i/>
          <w:iCs/>
        </w:rPr>
        <w:t xml:space="preserve">Figure 8.1 — Vermont Blueprint for Health: three integrated components. Sources: Blueprint for Health website; Vermont Blueprint Overview (GMCB, 2022); Blueprint Annual Report 2024.</w:t>
      </w:r>
    </w:p>
    <w:p>
      <w:pPr>
        <w:pStyle w:val="Heading3"/>
      </w:pPr>
      <w:r>
        <w:rPr>
          <w:color w:val="161B22"/>
        </w:rPr>
        <w:t xml:space="preserve">8.2.2  </w:t>
      </w:r>
      <w:bookmarkStart w:id="1233" w:name="_Toc1232"/>
      <w:r>
        <w:rPr>
          <w:b/>
          <w:bCs/>
          <w:color w:val="161B22"/>
        </w:rPr>
        <w:t xml:space="preserve">The Evidence: What the Blueprint Has Produced</w:t>
      </w:r>
      <w:bookmarkEnd w:id="1233"/>
    </w:p>
    <w:p>
      <w:pPr>
        <w:pStyle w:val="FirstParagraph"/>
      </w:pPr>
      <w:r>
        <w:t xml:space="preserve">Vermont’s Blueprint is one of the most extensively studied primary care transformation programs in the country. The evidence base spans more than a decade of operation and multiple independent evaluations.</w:t>
      </w:r>
    </w:p>
    <w:p>
      <w:pPr>
        <w:pStyle w:val="BodyText"/>
        <w:keepNext w:val="false"/>
      </w:pPr>
      <w: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pPr>
        <w:pStyle w:val="BodyText"/>
        <w:keepNext w:val="false"/>
      </w:pPr>
      <w: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Blueprint ROI: medical expenditure reduction per $1M invested $5.8M Lower hospitalization and outpatient facility use (Population Health Management study)</w:t>
            </w:r>
          </w:p>
        </w:tc>
        <w:tc>
          <w:tcPr>
            <w:shd w:val="clear" w:color="auto" w:fill="1B3A6B"/>
            <w:tcW w:w="4536" w:type="dxa"/>
          </w:tcPr>
          <w:p>
            <w:pPr>
              <w:pStyle w:val="Compact"/>
              <w:jc w:val="left"/>
            </w:pPr>
            <w:r>
              <w:rPr>
                <w:b/>
                <w:color w:val="FFFFFF"/>
                <w:sz w:val="18"/>
              </w:rPr>
              <w:t xml:space="preserve">Vermont residents with a personal health care provider 91% vs. 87% national benchmark — 4 points above (AHS Nov 2025 report)</w:t>
            </w:r>
          </w:p>
        </w:tc>
      </w:tr>
      <w:tr>
        <w:trPr/>
        <w:tc>
          <w:tcPr>
            <w:tcW w:w="4536" w:type="dxa"/>
          </w:tcPr>
          <w:p>
            <w:pPr>
              <w:pStyle w:val="Compact"/>
              <w:jc w:val="left"/>
            </w:pPr>
            <w:r>
              <w:rPr>
                <w:sz w:val="18"/>
              </w:rPr>
              <w:t xml:space="preserve">Blueprint PCMH patients with hypertension controlled 77% Blueprint quality data 2023 — maintained above national average</w:t>
            </w:r>
          </w:p>
        </w:tc>
        <w:tc>
          <w:tcPr>
            <w:tcW w:w="4536" w:type="dxa"/>
          </w:tcPr>
          <w:p>
            <w:pPr>
              <w:pStyle w:val="Compact"/>
              <w:jc w:val="left"/>
            </w:pPr>
            <w:r>
              <w:rPr>
                <w:sz w:val="18"/>
              </w:rPr>
              <w:t xml:space="preserve">Blueprint PCMH patients with diabetes HbA1c NOT in control 22% Ongoing opportunity — population health management target</w:t>
            </w:r>
          </w:p>
        </w:tc>
      </w:tr>
    </w:tbl>
    <w:p>
      <w:pPr>
        <w:pStyle w:val="Caption"/>
        <w:spacing w:before="120"/>
      </w:pPr>
      <w:r>
        <w:rPr>
          <w:i/>
          <w:iCs/>
        </w:rPr>
        <w:t xml:space="preserve">Figure 8.2 — Blueprint for Health clinical outcomes and ROI. Sources: Population Health Management journal; AHS November 2025 Transformation Report; Blueprint for Health 2024 data.</w:t>
      </w:r>
    </w:p>
    <w:p>
      <w:pPr>
        <w:pStyle w:val="Heading3"/>
      </w:pPr>
      <w:r>
        <w:rPr>
          <w:color w:val="161B22"/>
        </w:rPr>
        <w:t xml:space="preserve">8.2.3  </w:t>
      </w:r>
      <w:bookmarkStart w:id="1234" w:name="_Toc1233"/>
      <w:r>
        <w:rPr>
          <w:b/>
          <w:bCs/>
          <w:color w:val="161B22"/>
        </w:rPr>
        <w:t xml:space="preserve">The Blueprint and AHEAD: A Critical Transition</w:t>
      </w:r>
      <w:bookmarkEnd w:id="1234"/>
    </w:p>
    <w:p>
      <w:pPr>
        <w:pStyle w:val="FirstParagraph"/>
      </w:pPr>
      <w:r>
        <w:t xml:space="preserve">Vermont’s Blueprint program has operated since 2010 under a CMS Multi-Payer Advanced Primary Care Practice Demonstration that allowed Medicare to participate in PCMH and CHT payments. That agreement is scheduled to end with the conclusion of the All-Payer ACO Model. The AHEAD State Agreement resolves this transition risk: Primary Care AHEAD provides a voluntary program for primary care practices to receive enhanced prospective, risk-adjusted Medicare payments for coordinated care, with four payment pathway options including fully prospective models.</w:t>
      </w:r>
    </w:p>
    <w:p>
      <w:pPr>
        <w:pStyle w:val="BodyText"/>
        <w:keepNext w:val="false"/>
      </w:pPr>
      <w:r>
        <w:t xml:space="preserve">The transition from the current Medicare Blueprint payment to Primary Care AHEAD is operationally significant. Practices that currently receive Blueprint PMPM payments for Medicare patients will need to evaluate whether to participate in PC AHEAD, understand the new payment pathway options, and potentially redesign their care model to meet AHEAD’s enhanced primary care requirements. AHS and DVHA have committed to supporting practices through this transition, recognizing that disrupting the Blueprint’s Medicare payment stream would undermine one of Vermont’s most effective clinical programs at precisely the moment transformation demands more of it.</w:t>
      </w:r>
    </w:p>
    <w:p>
      <w:pPr>
        <w:pStyle w:val="BodyText"/>
        <w:keepNext w:val="false"/>
      </w:pPr>
      <w:r>
        <w:t xml:space="preserve">Vermont’s Blueprint enrollment target under AHEAD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Blueprint Quality Measure Crosswalk</w:t>
            </w:r>
          </w:p>
          <w:p>
            <w:pPr>
              <w:spacing w:after="60" w:line="264" w:lineRule="auto"/>
            </w:pPr>
            <w:r>
              <w:rPr>
                <w:sz w:val="20"/>
                <w:szCs w:val="20"/>
              </w:rPr>
              <w:t xml:space="preserve">Vermont’s primary care quality landscape is unusually complex because practices must simultaneously meet the quality requirements of multiple programs: Blueprint PCMH standards, AHEAD quality metrics,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p>
          <w:p>
            <w:pPr>
              <w:spacing w:after="60" w:line="264" w:lineRule="auto"/>
            </w:pPr>
            <w:r>
              <w:rPr>
                <w:sz w:val="20"/>
                <w:szCs w:val="2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AHEAD, and commercial payers if those programs are aligned around the same clinical measure.</w:t>
            </w:r>
          </w:p>
          <w:p>
            <w:pPr>
              <w:spacing w:after="60" w:line="264" w:lineRule="auto"/>
            </w:pPr>
            <w:r>
              <w:rPr>
                <w:sz w:val="20"/>
                <w:szCs w:val="20"/>
              </w:rPr>
              <w:t xml:space="preserve">The crosswalk also reveals the gaps — places where programs require incompatible measures, creating impossible choices for practices with limited data infrastructure. These gaps are a specific target for the AHEAD implementation process and the Statewide Strategic Plan’s quality alignment provisions.</w:t>
            </w:r>
          </w:p>
        </w:tc>
      </w:tr>
    </w:tbl>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(AHEAD, the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p>
        </w:tc>
      </w:tr>
    </w:tbl>
    <w:p>
      <w:pPr>
        <w:spacing w:after="120"/>
      </w:pPr>
    </w:p>
    <w:p>
      <w:pPr>
        <w:pStyle w:val="Heading2"/>
        <w:pBdr>
          <w:top w:val="single" w:sz="6" w:space="10" w:color="C9D2DF"/>
        </w:pBdr>
      </w:pPr>
      <w:r>
        <w:rPr>
          <w:color w:val="161B22"/>
        </w:rPr>
        <w:t xml:space="preserve">8.3  </w:t>
      </w:r>
      <w:bookmarkStart w:id="1235" w:name="_Toc1234"/>
      <w:r>
        <w:rPr>
          <w:b/>
          <w:bCs/>
          <w:color w:val="161B22"/>
        </w:rPr>
        <w:t xml:space="preserve">The Behavioral Health Crisis — Vermont’s Most Urgent Clinical Challenge</w:t>
      </w:r>
      <w:bookmarkEnd w:id="1235"/>
    </w:p>
    <w:p>
      <w:pPr>
        <w:pStyle w:val="FirstParagraph"/>
      </w:pPr>
      <w:r>
        <w:rPr>
          <w:b/>
          <w:bCs/>
        </w:rPr>
        <w:t xml:space="preserve">Vermont Behavioral Health Crisis — The Data</w:t>
      </w:r>
    </w:p>
    <w:p>
      <w:pPr>
        <w:pStyle w:val="BodyText"/>
      </w:pPr>
      <w:r>
        <w:t xml:space="preserve">245.5 ED visits per 10,000 for suicide ideation and self-harm. Higher in Rutland and Windham counties, and among Vermonters aged 15-44.</w:t>
      </w:r>
    </w:p>
    <w:p>
      <w:pPr>
        <w:pStyle w:val="BodyText"/>
      </w:pPr>
      <w:r>
        <w:t xml:space="preserve">76% 30-day follow-up rate after mental health ED visits. 68% after SUD ED visits.</w:t>
      </w:r>
    </w:p>
    <w:p>
      <w:pPr>
        <w:pStyle w:val="BodyText"/>
      </w:pPr>
      <w:r>
        <w:t xml:space="preserve">Vermont’s CCBHC expansion target: 5 new certified entities by July 2026, covering every Hospital Service Area.</w:t>
      </w:r>
    </w:p>
    <w:p>
      <w:pPr>
        <w:pStyle w:val="BodyText"/>
      </w:pPr>
      <w:r>
        <w:t xml:space="preserve">The Collaborative Care Model: 90+ RCTs and the only integrated care model with dedicated Medicare billing codes (CPT 99492, 99493, 99494).</w:t>
      </w:r>
    </w:p>
    <w:p>
      <w:pPr>
        <w:pStyle w:val="BodyText"/>
      </w:pPr>
      <w: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pPr>
        <w:pStyle w:val="BodyText"/>
      </w:pPr>
      <w: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pPr>
        <w:pStyle w:val="Heading3"/>
      </w:pPr>
      <w:r>
        <w:rPr>
          <w:color w:val="161B22"/>
        </w:rPr>
        <w:t xml:space="preserve">8.3.1  </w:t>
      </w:r>
      <w:bookmarkStart w:id="1236" w:name="_Toc1235"/>
      <w:r>
        <w:rPr>
          <w:b/>
          <w:bCs/>
          <w:color w:val="161B22"/>
        </w:rPr>
        <w:t xml:space="preserve">The Three-Layer Behavioral Health Architecture Vermont Is Building</w:t>
      </w:r>
      <w:bookmarkEnd w:id="1236"/>
    </w:p>
    <w:p>
      <w:pPr>
        <w:pStyle w:val="FirstParagraph"/>
      </w:pPr>
      <w: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pPr>
        <w:pStyle w:val="BodyText"/>
      </w:pPr>
      <w:r>
        <w:rPr>
          <w:b/>
          <w:bCs/>
        </w:rPr>
        <w:t xml:space="preserve">Layer 1 — Mental Health Integration in Primary Care (CoCM and MHI)</w:t>
      </w:r>
    </w:p>
    <w:p>
      <w:pPr>
        <w:pStyle w:val="BodyText"/>
      </w:pPr>
      <w: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nearly 80% of administrative entities reporting increased CHT staffing. The 2025 evaluation found improved access and engagement but sustainability concerns when temporary funding ends — a direct argument for making MHI permanent through AHEAD Primary Care funding.</w:t>
      </w:r>
    </w:p>
    <w:p>
      <w:pPr>
        <w:pStyle w:val="BodyText"/>
      </w:pPr>
      <w:r>
        <w:rPr>
          <w:b/>
          <w:bCs/>
        </w:rPr>
        <w:t xml:space="preserve">Layer 2 — Certified Community-Based Integrated Health Centers (CCBHCs)</w:t>
      </w:r>
    </w:p>
    <w:p>
      <w:pPr>
        <w:pStyle w:val="BodyText"/>
      </w:pPr>
      <w:r>
        <w:t xml:space="preserve">Vermont became an official CCBHC Demonstration State in 2024, receiving enhanced Medicaid funding to expand community behavioral health services. As of 2025, Vermont has two active CCBHC demonstration sites. Vermont’s RHT Program application plans to certify five additional CCBHC entities by July 2026 — Health Care and Rehabilitation Services (Springfield), Howard Center (Burlington), Northwest Counseling and Support Services (St. Albans), Northeast Kingdom Human Services (Newport), and Washington County Mental Health Services (Barre). CCBHCs provide comprehensive behavioral health services including crisis intervention, substance use treatment, and care coordination — welcoming all patients regardless of age, diagnosis, or insurance status.</w:t>
      </w:r>
    </w:p>
    <w:p>
      <w:pPr>
        <w:pStyle w:val="BodyText"/>
      </w:pPr>
      <w:r>
        <w:rPr>
          <w:b/>
          <w:bCs/>
        </w:rPr>
        <w:t xml:space="preserve">Layer 3 — Crisis System and Acute Behavioral Health Infrastructure</w:t>
      </w:r>
    </w:p>
    <w:p>
      <w:pPr>
        <w:pStyle w:val="BodyText"/>
      </w:pPr>
      <w:r>
        <w:t xml:space="preserve">Vermont has developed mobile crisis response (operational since January 2024), centralized dispatch from the 988 Suicide and Crisis Lifeline, and new psychiatric residential treatment facilities for youth and forensic populations. Vermont’s six</w:t>
      </w:r>
      <w:r>
        <w:t xml:space="preserve"> </w:t>
      </w:r>
      <w:r>
        <w:t xml:space="preserve">‘Designated Hospitals’</w:t>
      </w:r>
      <w:r>
        <w:t xml:space="preserve"> </w:t>
      </w:r>
      <w:r>
        <w:t xml:space="preserve">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pPr>
        <w:pStyle w:val="Heading3"/>
        <w:keepNext w:val="false"/>
      </w:pPr>
      <w:r>
        <w:rPr>
          <w:color w:val="161B22"/>
        </w:rPr>
        <w:t xml:space="preserve">8.3.2  </w:t>
      </w:r>
      <w:bookmarkStart w:id="1237" w:name="_Toc1236"/>
      <w:r>
        <w:rPr>
          <w:b/>
          <w:bCs/>
          <w:color w:val="161B22"/>
        </w:rPr>
        <w:t xml:space="preserve">The Collaborative Care Model: Clinical Standard of Practice for Primary Care Integration</w:t>
      </w:r>
      <w:bookmarkEnd w:id="1237"/>
    </w:p>
    <w:p>
      <w:pPr>
        <w:pStyle w:val="FirstParagraph"/>
        <w:keepNext w:val="false"/>
      </w:pPr>
      <w:r>
        <w:t xml:space="preserve">The Collaborative Care Model merits extended treatment because it is the clinical standard of practice for behavioral health integration in primary care — not just a promising approach, but the only integrated care model with a clear evidence base across 90+ randomized controlled trials, and the only model with dedicated Medicare billing codes (CPT codes 99492, 99493, 99494). Understanding CoCM’s structure is important for any primary care or health system leader contemplating behavioral health integration.</w:t>
      </w:r>
    </w:p>
    <w:tbl>
      <w:tblPr>
        <w:tblStyle w:val="HTRTable"/>
        <w:tblLook w:firstRow="1" w:lastRow="0" w:firstColumn="0" w:lastColumn="0" w:noHBand="0" w:noVBand="1" w:val="0020"/>
        <w:tblW w:w="9072" w:type="dxa"/>
        <w:tblLayout w:type="fixed"/>
      </w:tblPr>
      <w:tblGrid>
        <w:gridCol w:w="1620"/>
        <w:gridCol w:w="1125"/>
        <w:gridCol w:w="2970"/>
        <w:gridCol w:w="3345"/>
      </w:tblGrid>
      <w:tr>
        <w:trPr>
          <w:tblHeader w:val="on"/>
          <w:cantSplit/>
        </w:trPr>
        <w:tc>
          <w:tcPr>
            <w:shd w:val="clear" w:color="auto" w:fill="1B3A6B"/>
            <w:tcW w:w="1620" w:type="dxa"/>
          </w:tcPr>
          <w:p>
            <w:pPr>
              <w:pStyle w:val="Compact"/>
              <w:jc w:val="left"/>
            </w:pPr>
            <w:r>
              <w:rPr>
                <w:b/>
                <w:color w:val="FFFFFF"/>
                <w:sz w:val="18"/>
              </w:rPr>
              <w:t xml:space="preserve">CoCM component</w:t>
            </w:r>
          </w:p>
        </w:tc>
        <w:tc>
          <w:tcPr>
            <w:shd w:val="clear" w:color="auto" w:fill="1B3A6B"/>
            <w:tcW w:w="1125" w:type="dxa"/>
          </w:tcPr>
          <w:p>
            <w:pPr>
              <w:pStyle w:val="Compact"/>
              <w:jc w:val="left"/>
            </w:pPr>
            <w:r>
              <w:rPr>
                <w:b/>
                <w:color w:val="FFFFFF"/>
                <w:sz w:val="18"/>
              </w:rPr>
              <w:t xml:space="preserve">Role</w:t>
            </w:r>
          </w:p>
        </w:tc>
        <w:tc>
          <w:tcPr>
            <w:shd w:val="clear" w:color="auto" w:fill="1B3A6B"/>
            <w:tcW w:w="2970" w:type="dxa"/>
          </w:tcPr>
          <w:p>
            <w:pPr>
              <w:pStyle w:val="Compact"/>
              <w:jc w:val="left"/>
            </w:pPr>
            <w:r>
              <w:rPr>
                <w:b/>
                <w:color w:val="FFFFFF"/>
                <w:sz w:val="18"/>
              </w:rPr>
              <w:t xml:space="preserve">What they do</w:t>
            </w:r>
          </w:p>
        </w:tc>
        <w:tc>
          <w:tcPr>
            <w:shd w:val="clear" w:color="auto" w:fill="1B3A6B"/>
            <w:tcW w:w="3345" w:type="dxa"/>
          </w:tcPr>
          <w:p>
            <w:pPr>
              <w:pStyle w:val="Compact"/>
              <w:jc w:val="left"/>
            </w:pPr>
            <w:r>
              <w:rPr>
                <w:b/>
                <w:color w:val="FFFFFF"/>
                <w:sz w:val="18"/>
              </w:rPr>
              <w:t xml:space="preserve">Vermont application</w:t>
            </w:r>
          </w:p>
        </w:tc>
      </w:tr>
      <w:tr>
        <w:trPr>
          <w:cantSplit/>
        </w:trPr>
        <w:tc>
          <w:tcPr>
            <w:tcW w:w="1620" w:type="dxa"/>
          </w:tcPr>
          <w:p>
            <w:pPr>
              <w:pStyle w:val="Compact"/>
              <w:jc w:val="left"/>
            </w:pPr>
            <w:r>
              <w:rPr>
                <w:sz w:val="18"/>
              </w:rPr>
              <w:t xml:space="preserve">Primary Care Provider (PCP)</w:t>
            </w:r>
          </w:p>
        </w:tc>
        <w:tc>
          <w:tcPr>
            <w:tcW w:w="1125" w:type="dxa"/>
          </w:tcPr>
          <w:p>
            <w:pPr>
              <w:pStyle w:val="Compact"/>
              <w:jc w:val="left"/>
            </w:pPr>
            <w:r>
              <w:rPr>
                <w:sz w:val="18"/>
              </w:rPr>
              <w:t xml:space="preserve">Treating and billing provider</w:t>
            </w:r>
          </w:p>
        </w:tc>
        <w:tc>
          <w:tcPr>
            <w:tcW w:w="2970" w:type="dxa"/>
          </w:tcPr>
          <w:p>
            <w:pPr>
              <w:pStyle w:val="Compact"/>
              <w:jc w:val="left"/>
            </w:pPr>
            <w:r>
              <w:rPr>
                <w:sz w:val="18"/>
              </w:rPr>
              <w:t xml:space="preserve">Identifies patients with behavioral health needs through validated screening (PHQ-9, GAD-7); refers to BHCM; provides warm handoffs; bills CoCM codes monthly</w:t>
            </w:r>
          </w:p>
        </w:tc>
        <w:tc>
          <w:tcPr>
            <w:tcW w:w="3345" w:type="dxa"/>
          </w:tcPr>
          <w:p>
            <w:pPr>
              <w:pStyle w:val="Compact"/>
              <w:jc w:val="left"/>
            </w:pPr>
            <w:r>
              <w:rPr>
                <w:sz w:val="18"/>
              </w:rPr>
              <w:t xml:space="preserve">Blueprint PCMH practices are the natural CoCM deployment sites — they already have the population management infrastructure and quality reporting that CoCM requires</w:t>
            </w:r>
          </w:p>
        </w:tc>
      </w:tr>
      <w:tr>
        <w:trPr/>
        <w:tc>
          <w:tcPr>
            <w:tcW w:w="1620" w:type="dxa"/>
          </w:tcPr>
          <w:p>
            <w:pPr>
              <w:pStyle w:val="Compact"/>
              <w:jc w:val="left"/>
            </w:pPr>
            <w:r>
              <w:rPr>
                <w:sz w:val="18"/>
              </w:rPr>
              <w:t xml:space="preserve">Behavioral Health Care Manager (BHCM)</w:t>
            </w:r>
          </w:p>
        </w:tc>
        <w:tc>
          <w:tcPr>
            <w:tcW w:w="1125" w:type="dxa"/>
          </w:tcPr>
          <w:p>
            <w:pPr>
              <w:pStyle w:val="Compact"/>
              <w:jc w:val="left"/>
            </w:pPr>
            <w:r>
              <w:rPr>
                <w:sz w:val="18"/>
              </w:rPr>
              <w:t xml:space="preserve">Day-to-day care coordinator</w:t>
            </w:r>
          </w:p>
        </w:tc>
        <w:tc>
          <w:tcPr>
            <w:tcW w:w="2970" w:type="dxa"/>
          </w:tcPr>
          <w:p>
            <w:pPr>
              <w:pStyle w:val="Compact"/>
              <w:jc w:val="left"/>
            </w:pPr>
            <w:r>
              <w:rPr>
                <w:sz w:val="18"/>
              </w:rPr>
              <w:t xml:space="preserve">Maintains patient registry; provides brief interventions; monitors treatment response with validated rating scales; escalates to psychiatric consultant as needed; coordinates with community resources</w:t>
            </w:r>
          </w:p>
        </w:tc>
        <w:tc>
          <w:tcPr>
            <w:tcW w:w="3345" w:type="dxa"/>
          </w:tcPr>
          <w:p>
            <w:pPr>
              <w:pStyle w:val="Compact"/>
              <w:jc w:val="left"/>
            </w:pPr>
            <w:r>
              <w:rPr>
                <w:sz w:val="18"/>
              </w:rPr>
              <w:t xml:space="preserve">MHI pilot found 80% of administrative entities increased CHT staffing — CHT staff are the natural BHCM pool; sustainability challenge when pilot funding ends</w:t>
            </w:r>
          </w:p>
        </w:tc>
      </w:tr>
      <w:tr>
        <w:trPr>
          <w:cantSplit/>
        </w:trPr>
        <w:tc>
          <w:tcPr>
            <w:tcW w:w="1620" w:type="dxa"/>
          </w:tcPr>
          <w:p>
            <w:pPr>
              <w:pStyle w:val="Compact"/>
              <w:jc w:val="left"/>
            </w:pPr>
            <w:r>
              <w:rPr>
                <w:sz w:val="18"/>
              </w:rPr>
              <w:t xml:space="preserve">Psychiatric Consultant</w:t>
            </w:r>
          </w:p>
        </w:tc>
        <w:tc>
          <w:tcPr>
            <w:tcW w:w="1125" w:type="dxa"/>
          </w:tcPr>
          <w:p>
            <w:pPr>
              <w:pStyle w:val="Compact"/>
              <w:jc w:val="left"/>
            </w:pPr>
            <w:r>
              <w:rPr>
                <w:sz w:val="18"/>
              </w:rPr>
              <w:t xml:space="preserve">Clinical supervision</w:t>
            </w:r>
          </w:p>
        </w:tc>
        <w:tc>
          <w:tcPr>
            <w:tcW w:w="2970" w:type="dxa"/>
          </w:tcPr>
          <w:p>
            <w:pPr>
              <w:pStyle w:val="Compact"/>
              <w:jc w:val="left"/>
            </w:pPr>
            <w:r>
              <w:rPr>
                <w:sz w:val="18"/>
              </w:rPr>
              <w:t xml:space="preserve">Regular case review with BHCM; consultation on treatment recommendations; direct care for highest-acuity cases requiring psychiatric input; not the primary provider for most CoCM patients</w:t>
            </w:r>
          </w:p>
        </w:tc>
        <w:tc>
          <w:tcPr>
            <w:tcW w:w="3345" w:type="dxa"/>
          </w:tcPr>
          <w:p>
            <w:pPr>
              <w:pStyle w:val="Compact"/>
              <w:jc w:val="left"/>
            </w:pPr>
            <w:r>
              <w:rPr>
                <w:sz w:val="18"/>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spacing w:before="120"/>
      </w:pPr>
      <w:r>
        <w:rPr>
          <w:i/>
          <w:iCs/>
        </w:rPr>
        <w:t xml:space="preserve">Figure 8.3 — Collaborative Care Model components and Vermont application. Sources: SAMHSA CoCM program; CMS Behavioral Health Integration Services (January 2026); Vermont MHI Pilot Evaluation (2025).</w:t>
      </w:r>
    </w:p>
    <w:p>
      <w:pPr>
        <w:pStyle w:val="BodyText"/>
      </w:pPr>
      <w:r>
        <w:t xml:space="preserve">The financial sustainability of CoCM in Vermont’s environment depends on Medicare and Medicaid coverage of the billing codes, which Act 68 and AHEAD together support. Vermont Medicaid’s coverage of CoCM codes is a prerequisite for practices serving high-Medicaid rural populations to implement the model — and DVHA’s coordination with the Blueprint and AHEAD implementation is the mechanism for ensuring that coverage is in place. The AHEAD EAST Fund’s explicit investment priority in mental health and substance use disorder services is the vehicle for funding the BHCM positions that primary care practices need to implement CoCM at scale.</w:t>
      </w:r>
    </w:p>
    <w:p>
      <w:pPr>
        <w:pStyle w:val="PullQuote"/>
      </w:pPr>
      <w:r>
        <w:rPr>
          <w:rFonts w:ascii="Garamond" w:hAnsi="Garamond"/>
          <w:i/>
          <w:color w:val="1A1A1A"/>
          <w:sz w:val="22"/>
        </w:rPr>
        <w:t xml:space="preserve">“The MHI initiative allowed primary care teams to serve more patients and provide more consistent follow-up. Flexible and team-based care models helped patients engage in services, particularly those facing complex medical and social challenges.”</w:t>
      </w:r>
    </w:p>
    <w:p>
      <w:pPr>
        <w:pStyle w:val="QuoteAttr"/>
      </w:pPr>
      <w:r>
        <w:rPr>
          <w:rFonts w:ascii="Garamond" w:hAnsi="Garamond"/>
          <w:b w:val="0"/>
          <w:i w:val="0"/>
          <w:color w:val="333333"/>
          <w:sz w:val="19"/>
        </w:rPr>
        <w:t xml:space="preserve">— Vermont Blueprint Mental Health Integration Pilot Qualitative Outcomes Evaluation, 2025</w:t>
      </w:r>
    </w:p>
    <w:p>
      <w:pPr>
        <w:pStyle w:val="Heading3"/>
      </w:pPr>
      <w:r>
        <w:rPr>
          <w:color w:val="161B22"/>
        </w:rPr>
        <w:t xml:space="preserve">8.3.3  </w:t>
      </w:r>
      <w:bookmarkStart w:id="1238" w:name="_Toc1237"/>
      <w:r>
        <w:rPr>
          <w:b/>
          <w:bCs/>
          <w:color w:val="161B22"/>
        </w:rPr>
        <w:t xml:space="preserve">The SUD Continuum: Vermont’s Hub and Spoke Model</w:t>
      </w:r>
      <w:bookmarkEnd w:id="1238"/>
    </w:p>
    <w:p>
      <w:pPr>
        <w:pStyle w:val="FirstParagraph"/>
      </w:pPr>
      <w: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w:t>
      </w:r>
      <w:r>
        <w:t xml:space="preserve"> </w:t>
      </w:r>
      <w:r>
        <w:t xml:space="preserve">‘hublets’</w:t>
      </w:r>
      <w:r>
        <w:t xml:space="preserve"> </w:t>
      </w:r>
      <w:r>
        <w:t xml:space="preserve">in treatment deserts, support for co-occurring mental health and SUD treatment at hubs, contingency management for stimulant use disorder, and completion of gaps analyses to identify communities without adequate access.</w:t>
      </w:r>
    </w:p>
    <w:p>
      <w:pPr>
        <w:pStyle w:val="BodyText"/>
      </w:pPr>
      <w:r>
        <w:t xml:space="preserve">The 30-day follow-up rate after ED visits for alcohol use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pPr>
        <w:pStyle w:val="Heading2"/>
        <w:pBdr>
          <w:top w:val="single" w:sz="6" w:space="10" w:color="C9D2DF"/>
        </w:pBdr>
      </w:pPr>
      <w:r>
        <w:rPr>
          <w:color w:val="161B22"/>
        </w:rPr>
        <w:t xml:space="preserve">8.4  </w:t>
      </w:r>
      <w:bookmarkStart w:id="1239" w:name="_Toc1238"/>
      <w:r>
        <w:rPr>
          <w:b/>
          <w:bCs/>
          <w:color w:val="161B22"/>
        </w:rPr>
        <w:t xml:space="preserve">Primary Care Redesign — Vermont’s Strategy for the Front Door</w:t>
      </w:r>
      <w:bookmarkEnd w:id="1239"/>
    </w:p>
    <w:p>
      <w:pPr>
        <w:pStyle w:val="FirstParagraph"/>
      </w:pPr>
      <w:r>
        <w:t xml:space="preserve">Oliver Wyman’s prescription for Vermont’s primary care system was both clear and counterintuitive: Vermont does not have a primary care physician shortage in the traditional sense. HRSA recognizes no Health Profession Shortage Areas in Vermont.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pPr>
        <w:pStyle w:val="BodyText"/>
      </w:pPr>
      <w: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AHEAD’s enhanced primary care payments are the financial fuel.</w:t>
      </w:r>
    </w:p>
    <w:p>
      <w:pPr>
        <w:pStyle w:val="Heading3"/>
      </w:pPr>
      <w:r>
        <w:rPr>
          <w:color w:val="161B22"/>
        </w:rPr>
        <w:t xml:space="preserve">8.4.1  </w:t>
      </w:r>
      <w:bookmarkStart w:id="1240" w:name="_Toc1239"/>
      <w:r>
        <w:rPr>
          <w:b/>
          <w:bCs/>
          <w:color w:val="161B22"/>
        </w:rPr>
        <w:t xml:space="preserve">The Vermont Comprehensive Primary Health Care Initiative</w:t>
      </w:r>
      <w:bookmarkEnd w:id="1240"/>
    </w:p>
    <w:p>
      <w:pPr>
        <w:pStyle w:val="FirstParagraph"/>
        <w:keepNext w:val="false"/>
      </w:pPr>
      <w: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pPr>
        <w:pStyle w:val="BodyText"/>
        <w:keepNext w:val="false"/>
      </w:pPr>
      <w:r>
        <w:t xml:space="preserve">Vermont’s comprehensive primary health care vision, as embedded in Act 68 and the AHEAD State Agreement, has five operational components:</w:t>
      </w:r>
    </w:p>
    <w:tbl>
      <w:tblPr>
        <w:tblStyle w:val="HTRTable"/>
        <w:tblLook w:firstRow="1" w:lastRow="0" w:firstColumn="0" w:lastColumn="0" w:noHBand="0" w:noVBand="1" w:val="0020"/>
        <w:tblW w:w="9072" w:type="dxa"/>
        <w:tblLayout w:type="fixed"/>
      </w:tblPr>
      <w:tblGrid>
        <w:gridCol w:w="1710"/>
        <w:gridCol w:w="4260"/>
        <w:gridCol w:w="3105"/>
      </w:tblGrid>
      <w:tr>
        <w:trPr>
          <w:tblHeader w:val="on"/>
          <w:cantSplit/>
        </w:trPr>
        <w:tc>
          <w:tcPr>
            <w:shd w:val="clear" w:color="auto" w:fill="1B3A6B"/>
            <w:tcW w:w="1710" w:type="dxa"/>
          </w:tcPr>
          <w:p>
            <w:pPr>
              <w:pStyle w:val="Compact"/>
              <w:jc w:val="left"/>
            </w:pPr>
            <w:r>
              <w:rPr>
                <w:b/>
                <w:color w:val="FFFFFF"/>
                <w:sz w:val="18"/>
              </w:rPr>
              <w:t xml:space="preserve">Component</w:t>
            </w:r>
          </w:p>
        </w:tc>
        <w:tc>
          <w:tcPr>
            <w:shd w:val="clear" w:color="auto" w:fill="1B3A6B"/>
            <w:tcW w:w="4260" w:type="dxa"/>
          </w:tcPr>
          <w:p>
            <w:pPr>
              <w:pStyle w:val="Compact"/>
              <w:jc w:val="left"/>
            </w:pPr>
            <w:r>
              <w:rPr>
                <w:b/>
                <w:color w:val="FFFFFF"/>
                <w:sz w:val="18"/>
              </w:rPr>
              <w:t xml:space="preserve">What it means in practice</w:t>
            </w:r>
          </w:p>
        </w:tc>
        <w:tc>
          <w:tcPr>
            <w:shd w:val="clear" w:color="auto" w:fill="1B3A6B"/>
            <w:tcW w:w="3105" w:type="dxa"/>
          </w:tcPr>
          <w:p>
            <w:pPr>
              <w:pStyle w:val="Compact"/>
              <w:jc w:val="left"/>
            </w:pPr>
            <w:r>
              <w:rPr>
                <w:b/>
                <w:color w:val="FFFFFF"/>
                <w:sz w:val="18"/>
              </w:rPr>
              <w:t xml:space="preserve">Vermont investment vehicle</w:t>
            </w:r>
          </w:p>
        </w:tc>
      </w:tr>
      <w:tr>
        <w:trPr>
          <w:cantSplit/>
        </w:trPr>
        <w:tc>
          <w:tcPr>
            <w:tcW w:w="1710" w:type="dxa"/>
          </w:tcPr>
          <w:p>
            <w:pPr>
              <w:pStyle w:val="Compact"/>
              <w:jc w:val="left"/>
            </w:pPr>
            <w:r>
              <w:rPr>
                <w:sz w:val="18"/>
              </w:rPr>
              <w:t xml:space="preserve">Team-based care</w:t>
            </w:r>
          </w:p>
        </w:tc>
        <w:tc>
          <w:tcPr>
            <w:tcW w:w="4260" w:type="dxa"/>
          </w:tcPr>
          <w:p>
            <w:pPr>
              <w:pStyle w:val="Compact"/>
              <w:jc w:val="left"/>
            </w:pPr>
            <w:r>
              <w:rPr>
                <w:sz w:val="18"/>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p>
        </w:tc>
        <w:tc>
          <w:tcPr>
            <w:tcW w:w="3105" w:type="dxa"/>
          </w:tcPr>
          <w:p>
            <w:pPr>
              <w:pStyle w:val="Compact"/>
              <w:jc w:val="left"/>
            </w:pPr>
            <w:r>
              <w:rPr>
                <w:sz w:val="18"/>
              </w:rPr>
              <w:t xml:space="preserve">Blueprint PCMH payments; AHEAD enhanced primary care payments; RHT Program workforce investment in APRN training and scope expansion</w:t>
            </w:r>
          </w:p>
        </w:tc>
      </w:tr>
      <w:tr>
        <w:trPr/>
        <w:tc>
          <w:tcPr>
            <w:tcW w:w="1710" w:type="dxa"/>
          </w:tcPr>
          <w:p>
            <w:pPr>
              <w:pStyle w:val="Compact"/>
              <w:jc w:val="left"/>
            </w:pPr>
            <w:r>
              <w:rPr>
                <w:sz w:val="18"/>
              </w:rPr>
              <w:t xml:space="preserve">Population health management</w:t>
            </w:r>
          </w:p>
        </w:tc>
        <w:tc>
          <w:tcPr>
            <w:tcW w:w="4260" w:type="dxa"/>
          </w:tcPr>
          <w:p>
            <w:pPr>
              <w:pStyle w:val="Compact"/>
              <w:jc w:val="left"/>
            </w:pPr>
            <w:r>
              <w:rPr>
                <w:sz w:val="18"/>
              </w:rPr>
              <w:t xml:space="preserve">Every PCMH practice maintains a panel registry, tracks care gaps proactively, and reaches out to patients who need preventive care, chronic disease management, or behavioral health support before they present in crisis.</w:t>
            </w:r>
          </w:p>
        </w:tc>
        <w:tc>
          <w:tcPr>
            <w:tcW w:w="3105" w:type="dxa"/>
          </w:tcPr>
          <w:p>
            <w:pPr>
              <w:pStyle w:val="Compact"/>
              <w:jc w:val="left"/>
            </w:pPr>
            <w:r>
              <w:rPr>
                <w:sz w:val="18"/>
              </w:rPr>
              <w:t xml:space="preserve">Blueprint data infrastructure; VHCURES linkage; GMCB analytics vendor procurement</w:t>
            </w:r>
          </w:p>
        </w:tc>
      </w:tr>
      <w:tr>
        <w:trPr/>
        <w:tc>
          <w:tcPr>
            <w:tcW w:w="1710" w:type="dxa"/>
          </w:tcPr>
          <w:p>
            <w:pPr>
              <w:pStyle w:val="Compact"/>
              <w:jc w:val="left"/>
            </w:pPr>
            <w:r>
              <w:rPr>
                <w:sz w:val="18"/>
              </w:rPr>
              <w:t xml:space="preserve">SDOH screening and navigation</w:t>
            </w:r>
          </w:p>
        </w:tc>
        <w:tc>
          <w:tcPr>
            <w:tcW w:w="4260" w:type="dxa"/>
          </w:tcPr>
          <w:p>
            <w:pPr>
              <w:pStyle w:val="Compact"/>
              <w:jc w:val="left"/>
            </w:pPr>
            <w:r>
              <w:rPr>
                <w:sz w:val="18"/>
              </w:rPr>
              <w:t xml:space="preserve">Universal screening for health-related social needs (housing, food security, transportation, financial insecurity) at every primary care visit, with warm handoffs to CHT staff for navigation and community resource connection.</w:t>
            </w:r>
          </w:p>
        </w:tc>
        <w:tc>
          <w:tcPr>
            <w:tcW w:w="3105" w:type="dxa"/>
          </w:tcPr>
          <w:p>
            <w:pPr>
              <w:pStyle w:val="Compact"/>
              <w:jc w:val="left"/>
            </w:pPr>
            <w:r>
              <w:rPr>
                <w:sz w:val="18"/>
              </w:rPr>
              <w:t xml:space="preserve">Blueprint HRSN screening expansion; AHEAD EAST Fund SDOH investments; RHT Program community health worker deployment</w:t>
            </w:r>
          </w:p>
        </w:tc>
      </w:tr>
      <w:tr>
        <w:trPr/>
        <w:tc>
          <w:tcPr>
            <w:tcW w:w="1710" w:type="dxa"/>
          </w:tcPr>
          <w:p>
            <w:pPr>
              <w:pStyle w:val="Compact"/>
              <w:jc w:val="left"/>
            </w:pPr>
            <w:r>
              <w:rPr>
                <w:sz w:val="18"/>
              </w:rPr>
              <w:t xml:space="preserve">Behavioral health integration</w:t>
            </w:r>
          </w:p>
        </w:tc>
        <w:tc>
          <w:tcPr>
            <w:tcW w:w="4260" w:type="dxa"/>
          </w:tcPr>
          <w:p>
            <w:pPr>
              <w:pStyle w:val="Compact"/>
              <w:jc w:val="left"/>
            </w:pPr>
            <w:r>
              <w:rPr>
                <w:sz w:val="18"/>
              </w:rPr>
              <w:t xml:space="preserve">CoCM or equivalent behavioral health integration at every PCMH practice, providing screening, brief intervention, and care management for mental health and SUD conditions without requiring a separate specialty referral.</w:t>
            </w:r>
          </w:p>
        </w:tc>
        <w:tc>
          <w:tcPr>
            <w:tcW w:w="3105" w:type="dxa"/>
          </w:tcPr>
          <w:p>
            <w:pPr>
              <w:pStyle w:val="Compact"/>
              <w:jc w:val="left"/>
            </w:pPr>
            <w:r>
              <w:rPr>
                <w:sz w:val="18"/>
              </w:rPr>
              <w:t xml:space="preserve">MHI pilot expansion through AHEAD and EAST Fund; CCBHC partnerships with primary care</w:t>
            </w:r>
          </w:p>
        </w:tc>
      </w:tr>
      <w:tr>
        <w:trPr>
          <w:cantSplit/>
        </w:trPr>
        <w:tc>
          <w:tcPr>
            <w:tcW w:w="1710" w:type="dxa"/>
          </w:tcPr>
          <w:p>
            <w:pPr>
              <w:pStyle w:val="Compact"/>
              <w:jc w:val="left"/>
            </w:pPr>
            <w:r>
              <w:rPr>
                <w:sz w:val="18"/>
              </w:rPr>
              <w:t xml:space="preserve">Care coordination for complex patients</w:t>
            </w:r>
          </w:p>
        </w:tc>
        <w:tc>
          <w:tcPr>
            <w:tcW w:w="4260" w:type="dxa"/>
          </w:tcPr>
          <w:p>
            <w:pPr>
              <w:pStyle w:val="Compact"/>
              <w:jc w:val="left"/>
            </w:pPr>
            <w:r>
              <w:rPr>
                <w:sz w:val="18"/>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p>
        </w:tc>
        <w:tc>
          <w:tcPr>
            <w:tcW w:w="3105" w:type="dxa"/>
          </w:tcPr>
          <w:p>
            <w:pPr>
              <w:pStyle w:val="Compact"/>
              <w:jc w:val="left"/>
            </w:pPr>
            <w:r>
              <w:rPr>
                <w:sz w:val="18"/>
              </w:rPr>
              <w:t xml:space="preserve">CHT staff; dual eligible care planning; AHEAD population health requirements; Blueprint Chronic Care Initiative</w:t>
            </w:r>
          </w:p>
        </w:tc>
      </w:tr>
    </w:tbl>
    <w:p>
      <w:pPr>
        <w:pStyle w:val="Caption"/>
        <w:spacing w:before="120"/>
      </w:pPr>
      <w:r>
        <w:rPr>
          <w:i/>
          <w:iCs/>
        </w:rPr>
        <w:t xml:space="preserve">Figure 8.4 — Vermont comprehensive primary health care: five operational components and investment vehicles. Sources: Act 68 of 2025; AHEAD State Agreement (January 2025); AHS Transformation Plans 2025.</w:t>
      </w:r>
    </w:p>
    <w:p>
      <w:pPr>
        <w:pStyle w:val="Heading3"/>
      </w:pPr>
      <w:r>
        <w:rPr>
          <w:color w:val="161B22"/>
        </w:rPr>
        <w:t xml:space="preserve">8.4.2  </w:t>
      </w:r>
      <w:bookmarkStart w:id="1241" w:name="_Toc1240"/>
      <w:r>
        <w:rPr>
          <w:b/>
          <w:bCs/>
          <w:color w:val="161B22"/>
        </w:rPr>
        <w:t xml:space="preserve">Primary Care’s Role in Reducing Hospital Utilization</w:t>
      </w:r>
      <w:bookmarkEnd w:id="1241"/>
    </w:p>
    <w:p>
      <w:pPr>
        <w:pStyle w:val="FirstParagraph"/>
      </w:pPr>
      <w:r>
        <w:t xml:space="preserve">The connection between primary care investment and hospital utilization reduction is one of the best-established relationships in health services research, and Vermont’s own Blueprint data confirm it. The 2013 evaluation finding — lower hospitalization rates and reduced outpatient facility use for Blueprint participants — is the mechanism through which primary care investment produces hospital savings under a global budget.</w:t>
      </w:r>
    </w:p>
    <w:p>
      <w:pPr>
        <w:pStyle w:val="BodyText"/>
      </w:pPr>
      <w:r>
        <w:t xml:space="preserve">Vermont’s November 2025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pPr>
        <w:pStyle w:val="BodyText"/>
      </w:pPr>
      <w: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Vermont’s AHEAD EAST Fund, with its explicit investment priority in primary care, is designed to accelerate this investment.</w:t>
      </w:r>
    </w:p>
    <w:p>
      <w:pPr>
        <w:pStyle w:val="Heading2"/>
        <w:pBdr>
          <w:top w:val="single" w:sz="6" w:space="10" w:color="C9D2DF"/>
        </w:pBdr>
      </w:pPr>
      <w:r>
        <w:rPr>
          <w:color w:val="161B22"/>
        </w:rPr>
        <w:t xml:space="preserve">8.5  </w:t>
      </w:r>
      <w:bookmarkStart w:id="1242" w:name="_Toc1241"/>
      <w:r>
        <w:rPr>
          <w:b/>
          <w:bCs/>
          <w:color w:val="161B22"/>
        </w:rPr>
        <w:t xml:space="preserve">Vermont’s Clinical Quality Architecture — Measuring What Matters</w:t>
      </w:r>
      <w:bookmarkEnd w:id="1242"/>
    </w:p>
    <w:p>
      <w:pPr>
        <w:pStyle w:val="FirstParagraph"/>
        <w:keepNext w:val="false"/>
      </w:pPr>
      <w: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AHEAD accountability metrics, and Act 167/Act 68 outcome measures all exist simultaneously, creating a measurement burden that Oliver Wyman specifically cited as a driver of administrative complexity and provider frustration.</w:t>
      </w:r>
    </w:p>
    <w:p>
      <w:pPr>
        <w:pStyle w:val="BodyText"/>
        <w:keepNext w:val="false"/>
      </w:pPr>
      <w:r>
        <w:t xml:space="preserve">The Statewide Strategic Plan that AHS must deliver by December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tbl>
      <w:tblPr>
        <w:tblStyle w:val="HTRTable"/>
        <w:tblLook w:firstRow="1" w:lastRow="0" w:firstColumn="0" w:lastColumn="0" w:noHBand="0" w:noVBand="1" w:val="0020"/>
        <w:tblW w:w="9072" w:type="dxa"/>
        <w:tblLayout w:type="fixed"/>
      </w:tblPr>
      <w:tblGrid>
        <w:gridCol w:w="1512"/>
        <w:gridCol w:w="2520"/>
        <w:gridCol w:w="2520"/>
        <w:gridCol w:w="2520"/>
      </w:tblGrid>
      <w:tr>
        <w:trPr>
          <w:tblHeader w:val="on"/>
          <w:cantSplit/>
        </w:trPr>
        <w:tc>
          <w:tcPr>
            <w:shd w:val="clear" w:color="auto" w:fill="1B3A6B"/>
            <w:tcW w:w="1512" w:type="dxa"/>
          </w:tcPr>
          <w:p>
            <w:pPr>
              <w:pStyle w:val="Compact"/>
              <w:jc w:val="left"/>
            </w:pPr>
            <w:r>
              <w:rPr>
                <w:b/>
                <w:color w:val="FFFFFF"/>
                <w:sz w:val="18"/>
              </w:rPr>
              <w:t xml:space="preserve">Domain</w:t>
            </w:r>
          </w:p>
        </w:tc>
        <w:tc>
          <w:tcPr>
            <w:shd w:val="clear" w:color="auto" w:fill="1B3A6B"/>
            <w:tcW w:w="2520" w:type="dxa"/>
          </w:tcPr>
          <w:p>
            <w:pPr>
              <w:pStyle w:val="Compact"/>
              <w:jc w:val="left"/>
            </w:pPr>
            <w:r>
              <w:rPr>
                <w:b/>
                <w:color w:val="FFFFFF"/>
                <w:sz w:val="18"/>
              </w:rPr>
              <w:t xml:space="preserve">Priority measures</w:t>
            </w:r>
          </w:p>
        </w:tc>
        <w:tc>
          <w:tcPr>
            <w:shd w:val="clear" w:color="auto" w:fill="1B3A6B"/>
            <w:tcW w:w="2520" w:type="dxa"/>
          </w:tcPr>
          <w:p>
            <w:pPr>
              <w:pStyle w:val="Compact"/>
              <w:jc w:val="left"/>
            </w:pPr>
            <w:r>
              <w:rPr>
                <w:b/>
                <w:color w:val="FFFFFF"/>
                <w:sz w:val="18"/>
              </w:rPr>
              <w:t xml:space="preserve">Why this measure</w:t>
            </w:r>
          </w:p>
        </w:tc>
        <w:tc>
          <w:tcPr>
            <w:shd w:val="clear" w:color="auto" w:fill="1B3A6B"/>
            <w:tcW w:w="2520" w:type="dxa"/>
          </w:tcPr>
          <w:p>
            <w:pPr>
              <w:pStyle w:val="Compact"/>
              <w:jc w:val="left"/>
            </w:pPr>
            <w:r>
              <w:rPr>
                <w:b/>
                <w:color w:val="FFFFFF"/>
                <w:sz w:val="18"/>
              </w:rPr>
              <w:t xml:space="preserve">Current VT status</w:t>
            </w:r>
          </w:p>
        </w:tc>
      </w:tr>
      <w:tr>
        <w:trPr>
          <w:cantSplit/>
        </w:trPr>
        <w:tc>
          <w:tcPr>
            <w:tcW w:w="1512" w:type="dxa"/>
          </w:tcPr>
          <w:p>
            <w:pPr>
              <w:pStyle w:val="Compact"/>
              <w:jc w:val="left"/>
            </w:pPr>
            <w:r>
              <w:rPr>
                <w:sz w:val="18"/>
              </w:rPr>
              <w:t xml:space="preserve">Preventive and chronic care</w:t>
            </w:r>
          </w:p>
        </w:tc>
        <w:tc>
          <w:tcPr>
            <w:tcW w:w="2520" w:type="dxa"/>
          </w:tcPr>
          <w:p>
            <w:pPr>
              <w:pStyle w:val="Compact"/>
              <w:jc w:val="left"/>
            </w:pPr>
            <w:r>
              <w:rPr>
                <w:sz w:val="18"/>
              </w:rPr>
              <w:t xml:space="preserve">Hypertension control rate; diabetes HbA1c management; cervical cancer screening; colorectal cancer screening; childhood immunization</w:t>
            </w:r>
          </w:p>
        </w:tc>
        <w:tc>
          <w:tcPr>
            <w:tcW w:w="2520" w:type="dxa"/>
          </w:tcPr>
          <w:p>
            <w:pPr>
              <w:pStyle w:val="Compact"/>
              <w:jc w:val="left"/>
            </w:pPr>
            <w:r>
              <w:rPr>
                <w:sz w:val="18"/>
              </w:rPr>
              <w:t xml:space="preserve">Chronic disease management is the highest-volume primary care activity; these measures predict long-term utilization and cost</w:t>
            </w:r>
          </w:p>
        </w:tc>
        <w:tc>
          <w:tcPr>
            <w:tcW w:w="2520" w:type="dxa"/>
          </w:tcPr>
          <w:p>
            <w:pPr>
              <w:pStyle w:val="Compact"/>
              <w:jc w:val="left"/>
            </w:pPr>
            <w:r>
              <w:rPr>
                <w:sz w:val="18"/>
              </w:rPr>
              <w:t xml:space="preserve">Hypertension 77% controlled; diabetes 22% not controlled. Both reflect Blueprint PCMH performance; non-Blueprint practices likely worse</w:t>
            </w:r>
          </w:p>
        </w:tc>
      </w:tr>
      <w:tr>
        <w:trPr/>
        <w:tc>
          <w:tcPr>
            <w:tcW w:w="1512" w:type="dxa"/>
          </w:tcPr>
          <w:p>
            <w:pPr>
              <w:pStyle w:val="Compact"/>
              <w:jc w:val="left"/>
            </w:pPr>
            <w:r>
              <w:rPr>
                <w:sz w:val="18"/>
              </w:rPr>
              <w:t xml:space="preserve">Behavioral health access and quality</w:t>
            </w:r>
          </w:p>
        </w:tc>
        <w:tc>
          <w:tcPr>
            <w:tcW w:w="2520" w:type="dxa"/>
          </w:tcPr>
          <w:p>
            <w:pPr>
              <w:pStyle w:val="Compact"/>
              <w:jc w:val="left"/>
            </w:pPr>
            <w:r>
              <w:rPr>
                <w:sz w:val="18"/>
              </w:rPr>
              <w:t xml:space="preserve">30-day follow-up after MH ED visit; 30-day follow-up after SUD ED visit; depression screening rate; SUD treatment initiation and engagement</w:t>
            </w:r>
          </w:p>
        </w:tc>
        <w:tc>
          <w:tcPr>
            <w:tcW w:w="2520" w:type="dxa"/>
          </w:tcPr>
          <w:p>
            <w:pPr>
              <w:pStyle w:val="Compact"/>
              <w:jc w:val="left"/>
            </w:pPr>
            <w:r>
              <w:rPr>
                <w:sz w:val="18"/>
              </w:rPr>
              <w:t xml:space="preserve">ED visits for MH/SUD are the clearest evidence of access failure; follow-up rates measure whether crisis intervention connects to ongoing care</w:t>
            </w:r>
          </w:p>
        </w:tc>
        <w:tc>
          <w:tcPr>
            <w:tcW w:w="2520" w:type="dxa"/>
          </w:tcPr>
          <w:p>
            <w:pPr>
              <w:pStyle w:val="Compact"/>
              <w:jc w:val="left"/>
            </w:pPr>
            <w:r>
              <w:rPr>
                <w:sz w:val="18"/>
              </w:rPr>
              <w:t xml:space="preserve">76% 30-day follow-up after MH ED visit; 68% after SUD ED visit — both indicate coordination gaps</w:t>
            </w:r>
          </w:p>
        </w:tc>
      </w:tr>
      <w:tr>
        <w:trPr/>
        <w:tc>
          <w:tcPr>
            <w:tcW w:w="1512" w:type="dxa"/>
          </w:tcPr>
          <w:p>
            <w:pPr>
              <w:pStyle w:val="Compact"/>
              <w:jc w:val="left"/>
            </w:pPr>
            <w:r>
              <w:rPr>
                <w:sz w:val="18"/>
              </w:rPr>
              <w:t xml:space="preserve">Primary care access</w:t>
            </w:r>
          </w:p>
        </w:tc>
        <w:tc>
          <w:tcPr>
            <w:tcW w:w="2520" w:type="dxa"/>
          </w:tcPr>
          <w:p>
            <w:pPr>
              <w:pStyle w:val="Compact"/>
              <w:jc w:val="left"/>
            </w:pPr>
            <w:r>
              <w:rPr>
                <w:sz w:val="18"/>
              </w:rPr>
              <w:t xml:space="preserve">% practices accepting new Medicaid patients; wait time for new patient appointment; % population with attributed primary care provider</w:t>
            </w:r>
          </w:p>
        </w:tc>
        <w:tc>
          <w:tcPr>
            <w:tcW w:w="2520" w:type="dxa"/>
          </w:tcPr>
          <w:p>
            <w:pPr>
              <w:pStyle w:val="Compact"/>
              <w:jc w:val="left"/>
            </w:pPr>
            <w:r>
              <w:rPr>
                <w:sz w:val="18"/>
              </w:rPr>
              <w:t xml:space="preserve">Access to primary care is the front door to the system; Medicaid acceptance is the equity indicator</w:t>
            </w:r>
          </w:p>
        </w:tc>
        <w:tc>
          <w:tcPr>
            <w:tcW w:w="2520" w:type="dxa"/>
          </w:tcPr>
          <w:p>
            <w:pPr>
              <w:pStyle w:val="Compact"/>
              <w:jc w:val="left"/>
            </w:pPr>
            <w:r>
              <w:rPr>
                <w:sz w:val="18"/>
              </w:rPr>
              <w:t xml:space="preserve">59% of primary care practices accepting new Medicaid patients — significant equity gap; 91% of Vermonters have a personal health provider</w:t>
            </w:r>
          </w:p>
        </w:tc>
      </w:tr>
      <w:tr>
        <w:trPr/>
        <w:tc>
          <w:tcPr>
            <w:tcW w:w="1512" w:type="dxa"/>
          </w:tcPr>
          <w:p>
            <w:pPr>
              <w:pStyle w:val="Compact"/>
              <w:jc w:val="left"/>
            </w:pPr>
            <w:r>
              <w:rPr>
                <w:sz w:val="18"/>
              </w:rPr>
              <w:t xml:space="preserve">Hospital quality and efficiency</w:t>
            </w:r>
          </w:p>
        </w:tc>
        <w:tc>
          <w:tcPr>
            <w:tcW w:w="2520" w:type="dxa"/>
          </w:tcPr>
          <w:p>
            <w:pPr>
              <w:pStyle w:val="Compact"/>
              <w:jc w:val="left"/>
            </w:pPr>
            <w:r>
              <w:rPr>
                <w:sz w:val="18"/>
              </w:rPr>
              <w:t xml:space="preserve">30-day all-cause readmission rate; potentially avoidable ED visit rate; operating profit per adjusted discharge; admin cost per adjusted discharge</w:t>
            </w:r>
          </w:p>
        </w:tc>
        <w:tc>
          <w:tcPr>
            <w:tcW w:w="2520" w:type="dxa"/>
          </w:tcPr>
          <w:p>
            <w:pPr>
              <w:pStyle w:val="Compact"/>
              <w:jc w:val="left"/>
            </w:pPr>
            <w:r>
              <w:rPr>
                <w:sz w:val="18"/>
              </w:rPr>
              <w:t xml:space="preserve">Hospital metrics measure both clinical quality and financial sustainability</w:t>
            </w:r>
          </w:p>
        </w:tc>
        <w:tc>
          <w:tcPr>
            <w:tcW w:w="2520" w:type="dxa"/>
          </w:tcPr>
          <w:p>
            <w:pPr>
              <w:pStyle w:val="Compact"/>
              <w:jc w:val="left"/>
            </w:pPr>
            <w:r>
              <w:rPr>
                <w:sz w:val="18"/>
              </w:rPr>
              <w:t xml:space="preserve">Readmission: 14.8% (within range). Avoidable ED: 32.3% (major opportunity). Admin cost: 91% above benchmark</w:t>
            </w:r>
          </w:p>
        </w:tc>
      </w:tr>
      <w:tr>
        <w:trPr>
          <w:cantSplit/>
        </w:trPr>
        <w:tc>
          <w:tcPr>
            <w:tcW w:w="1512" w:type="dxa"/>
          </w:tcPr>
          <w:p>
            <w:pPr>
              <w:pStyle w:val="Compact"/>
              <w:jc w:val="left"/>
            </w:pPr>
            <w:r>
              <w:rPr>
                <w:sz w:val="18"/>
              </w:rPr>
              <w:t xml:space="preserve">Equity and SDOH</w:t>
            </w:r>
          </w:p>
        </w:tc>
        <w:tc>
          <w:tcPr>
            <w:tcW w:w="2520" w:type="dxa"/>
          </w:tcPr>
          <w:p>
            <w:pPr>
              <w:pStyle w:val="Compact"/>
              <w:jc w:val="left"/>
            </w:pPr>
            <w:r>
              <w:rPr>
                <w:sz w:val="18"/>
              </w:rPr>
              <w:t xml:space="preserve">Health outcome variation by county, income, race/ethnicity; insurance coverage rate by geography; SDOH screening completion rate; community resource referral completion</w:t>
            </w:r>
          </w:p>
        </w:tc>
        <w:tc>
          <w:tcPr>
            <w:tcW w:w="2520" w:type="dxa"/>
          </w:tcPr>
          <w:p>
            <w:pPr>
              <w:pStyle w:val="Compact"/>
              <w:jc w:val="left"/>
            </w:pPr>
            <w:r>
              <w:rPr>
                <w:sz w:val="18"/>
              </w:rPr>
              <w:t xml:space="preserve">Equity measures are required by Act 68 and Act 167; geographic variation within Vermont is large and not adequately measured</w:t>
            </w:r>
          </w:p>
        </w:tc>
        <w:tc>
          <w:tcPr>
            <w:tcW w:w="2520" w:type="dxa"/>
          </w:tcPr>
          <w:p>
            <w:pPr>
              <w:pStyle w:val="Compact"/>
              <w:jc w:val="left"/>
            </w:pPr>
            <w:r>
              <w:rPr>
                <w:sz w:val="18"/>
              </w:rPr>
              <w:t xml:space="preserve">Northeast Kingdom uninsured 6-8% vs. 3% statewide; rural mental health access gaps; SDOH screening completeness not consistently tracked</w:t>
            </w:r>
          </w:p>
        </w:tc>
      </w:tr>
    </w:tbl>
    <w:p>
      <w:pPr>
        <w:pStyle w:val="Caption"/>
        <w:spacing w:before="120"/>
      </w:pPr>
      <w:r>
        <w:rPr>
          <w:i/>
          <w:iCs/>
        </w:rPr>
        <w:t xml:space="preserve">Figure 8.5 — Vermont clinical quality measurement framework: priority measures, rationale, and current status. Sources: AHS Transformation Report (November 2025); Blueprint for Health data; Oliver Wyman Act 167 Report.</w:t>
      </w:r>
    </w:p>
    <w:p>
      <w:pPr>
        <w:pStyle w:val="Heading3"/>
      </w:pPr>
      <w:r>
        <w:rPr>
          <w:color w:val="161B22"/>
        </w:rPr>
        <w:t xml:space="preserve">8.5.1  </w:t>
      </w:r>
      <w:bookmarkStart w:id="1243" w:name="_Toc1242"/>
      <w:r>
        <w:rPr>
          <w:b/>
          <w:bCs/>
          <w:color w:val="161B22"/>
        </w:rPr>
        <w:t xml:space="preserve">The HEDIS Improvement Methodology — Vermont Context</w:t>
      </w:r>
      <w:bookmarkEnd w:id="1243"/>
    </w:p>
    <w:p>
      <w:pPr>
        <w:pStyle w:val="FirstParagraph"/>
      </w:pPr>
      <w:r>
        <w:t xml:space="preserve">The HEDIS improvement methodology — five-step framework from performance baseline through root cause analysis to sustainable systems design — applies directly to Vermont primary care practices and hospitals participating in Blueprint and AHEAD. The Vermont-specific context adds three considerations:</w:t>
      </w:r>
    </w:p>
    <w:p>
      <w:pPr>
        <w:pStyle w:val="BodyText"/>
      </w:pPr>
      <w: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pPr>
        <w:pStyle w:val="BodyText"/>
      </w:pPr>
      <w: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pPr>
        <w:pStyle w:val="BodyText"/>
      </w:pPr>
      <w:r>
        <w:t xml:space="preserve">Performance payment alignment creates a direct financial incentive for quality improvement. Blueprint’s PMPM payments include a performance payment component tied to quality outcomes and utilization measures. AHEAD’s enhanced primary care payments include quality-based adjustments. This means Vermont primary care practices have a direct financial incentive for HEDIS improvement — not just a regulatory compliance requirement.</w:t>
      </w:r>
    </w:p>
    <w:p>
      <w:pPr>
        <w:pStyle w:val="Heading2"/>
        <w:pBdr>
          <w:top w:val="single" w:sz="6" w:space="10" w:color="C9D2DF"/>
        </w:pBdr>
      </w:pPr>
      <w:r>
        <w:rPr>
          <w:color w:val="161B22"/>
        </w:rPr>
        <w:t xml:space="preserve">8.6  </w:t>
      </w:r>
      <w:bookmarkStart w:id="1244" w:name="_Toc1243"/>
      <w:r>
        <w:rPr>
          <w:b/>
          <w:bCs/>
          <w:color w:val="161B22"/>
        </w:rPr>
        <w:t xml:space="preserve">Care for Vermont’s Aging Population — The Clinical Imperative</w:t>
      </w:r>
      <w:bookmarkEnd w:id="1244"/>
    </w:p>
    <w:p>
      <w:pPr>
        <w:pStyle w:val="FirstParagraph"/>
      </w:pPr>
      <w:r>
        <w:t xml:space="preserve">Vermont’s demographic trajectory — 65+ population growing 57% by 2040, exceeding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pPr>
        <w:pStyle w:val="Heading3"/>
      </w:pPr>
      <w:r>
        <w:rPr>
          <w:color w:val="161B22"/>
        </w:rPr>
        <w:t xml:space="preserve">8.6.1  </w:t>
      </w:r>
      <w:bookmarkStart w:id="1245" w:name="_Toc1244"/>
      <w:r>
        <w:rPr>
          <w:b/>
          <w:bCs/>
          <w:color w:val="161B22"/>
        </w:rPr>
        <w:t xml:space="preserve">The PACE Model and Vermont’s Long-Term Care Gap</w:t>
      </w:r>
      <w:bookmarkEnd w:id="1245"/>
    </w:p>
    <w:p>
      <w:pPr>
        <w:pStyle w:val="FirstParagraph"/>
      </w:pPr>
      <w: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pPr>
        <w:pStyle w:val="BodyText"/>
      </w:pPr>
      <w: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pPr>
        <w:pStyle w:val="BodyText"/>
      </w:pPr>
      <w: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pPr>
        <w:pStyle w:val="Heading3"/>
      </w:pPr>
      <w:r>
        <w:rPr>
          <w:color w:val="161B22"/>
        </w:rPr>
        <w:t xml:space="preserve">8.6.2  </w:t>
      </w:r>
      <w:bookmarkStart w:id="1246" w:name="_Toc1245"/>
      <w:r>
        <w:rPr>
          <w:b/>
          <w:bCs/>
          <w:color w:val="161B22"/>
        </w:rPr>
        <w:t xml:space="preserve">Dementia Care: The Coming Clinical Challenge</w:t>
      </w:r>
      <w:bookmarkEnd w:id="1246"/>
    </w:p>
    <w:p>
      <w:pPr>
        <w:pStyle w:val="FirstParagraph"/>
      </w:pPr>
      <w:r>
        <w:t xml:space="preserve">Dementia affects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pPr>
        <w:pStyle w:val="BodyText"/>
      </w:pPr>
      <w: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pPr>
        <w:pStyle w:val="Heading2"/>
        <w:pBdr>
          <w:top w:val="single" w:sz="6" w:space="10" w:color="C9D2DF"/>
        </w:pBdr>
        <w:keepNext w:val="false"/>
      </w:pPr>
      <w:r>
        <w:rPr>
          <w:color w:val="161B22"/>
        </w:rPr>
        <w:t xml:space="preserve">8.7  </w:t>
      </w:r>
      <w:bookmarkStart w:id="1247" w:name="_Toc1246"/>
      <w:r>
        <w:rPr>
          <w:b/>
          <w:bCs/>
          <w:color w:val="161B22"/>
        </w:rPr>
        <w:t xml:space="preserve">Clinical Pillar Implications for AHS’s Statewide Strategic Plan</w:t>
      </w:r>
      <w:bookmarkEnd w:id="1247"/>
    </w:p>
    <w:p>
      <w:pPr>
        <w:pStyle w:val="FirstParagraph"/>
        <w:keepNext w:val="false"/>
      </w:pPr>
      <w:r>
        <w:t xml:space="preserve">The Statewide Health Care Delivery Strategic Plan that AHS must deliver by December 2028 must address the clinical pillar explicitly. Based on Vermont’s current clinical landscape and the transformation agenda established by Acts 167 and 68, the plan should contain five clinical design commitments:</w:t>
      </w:r>
    </w:p>
    <w:tbl>
      <w:tblPr>
        <w:tblStyle w:val="HTRTable"/>
        <w:tblLook w:firstRow="1" w:lastRow="0" w:firstColumn="0" w:lastColumn="0" w:noHBand="0" w:noVBand="1" w:val="0020"/>
        <w:tblW w:w="9072" w:type="dxa"/>
        <w:tblLayout w:type="fixed"/>
      </w:tblPr>
      <w:tblGrid>
        <w:gridCol w:w="1560"/>
        <w:gridCol w:w="3570"/>
        <w:gridCol w:w="1365"/>
        <w:gridCol w:w="2565"/>
      </w:tblGrid>
      <w:tr>
        <w:trPr>
          <w:tblHeader w:val="on"/>
          <w:cantSplit/>
        </w:trPr>
        <w:tc>
          <w:tcPr>
            <w:shd w:val="clear" w:color="auto" w:fill="1B3A6B"/>
            <w:tcW w:w="1560" w:type="dxa"/>
          </w:tcPr>
          <w:p>
            <w:pPr>
              <w:pStyle w:val="Compact"/>
              <w:jc w:val="left"/>
            </w:pPr>
            <w:r>
              <w:rPr>
                <w:b/>
                <w:color w:val="FFFFFF"/>
                <w:sz w:val="18"/>
              </w:rPr>
              <w:t xml:space="preserve">Commitment</w:t>
            </w:r>
          </w:p>
        </w:tc>
        <w:tc>
          <w:tcPr>
            <w:shd w:val="clear" w:color="auto" w:fill="1B3A6B"/>
            <w:tcW w:w="3570" w:type="dxa"/>
          </w:tcPr>
          <w:p>
            <w:pPr>
              <w:pStyle w:val="Compact"/>
              <w:jc w:val="left"/>
            </w:pPr>
            <w:r>
              <w:rPr>
                <w:b/>
                <w:color w:val="FFFFFF"/>
                <w:sz w:val="18"/>
              </w:rPr>
              <w:t xml:space="preserve">What it requires</w:t>
            </w:r>
          </w:p>
        </w:tc>
        <w:tc>
          <w:tcPr>
            <w:shd w:val="clear" w:color="auto" w:fill="1B3A6B"/>
            <w:tcW w:w="1365" w:type="dxa"/>
          </w:tcPr>
          <w:p>
            <w:pPr>
              <w:pStyle w:val="Compact"/>
              <w:jc w:val="left"/>
            </w:pPr>
            <w:r>
              <w:rPr>
                <w:b/>
                <w:color w:val="FFFFFF"/>
                <w:sz w:val="18"/>
              </w:rPr>
              <w:t xml:space="preserve">Timeline</w:t>
            </w:r>
          </w:p>
        </w:tc>
        <w:tc>
          <w:tcPr>
            <w:shd w:val="clear" w:color="auto" w:fill="1B3A6B"/>
            <w:tcW w:w="2565" w:type="dxa"/>
          </w:tcPr>
          <w:p>
            <w:pPr>
              <w:pStyle w:val="Compact"/>
              <w:jc w:val="left"/>
            </w:pPr>
            <w:r>
              <w:rPr>
                <w:b/>
                <w:color w:val="FFFFFF"/>
                <w:sz w:val="18"/>
              </w:rPr>
              <w:t xml:space="preserve">Primary vehicle</w:t>
            </w:r>
          </w:p>
        </w:tc>
      </w:tr>
      <w:tr>
        <w:trPr>
          <w:cantSplit/>
        </w:trPr>
        <w:tc>
          <w:tcPr>
            <w:tcW w:w="1560" w:type="dxa"/>
          </w:tcPr>
          <w:p>
            <w:pPr>
              <w:pStyle w:val="Compact"/>
              <w:jc w:val="left"/>
            </w:pPr>
            <w:r>
              <w:rPr>
                <w:sz w:val="18"/>
              </w:rPr>
              <w:t xml:space="preserve">Universal Blueprint PCMH coverage</w:t>
            </w:r>
          </w:p>
        </w:tc>
        <w:tc>
          <w:tcPr>
            <w:tcW w:w="3570" w:type="dxa"/>
          </w:tcPr>
          <w:p>
            <w:pPr>
              <w:pStyle w:val="Compact"/>
              <w:jc w:val="left"/>
            </w:pPr>
            <w:r>
              <w:rPr>
                <w:sz w:val="18"/>
              </w:rPr>
              <w:t xml:space="preserve">Every primary care practice in Vermont participates in Blueprint PCMH recognition and receives all-payer PMPM payments; no Vermont resident is more than 30 minutes from a PCMH practice</w:t>
            </w:r>
          </w:p>
        </w:tc>
        <w:tc>
          <w:tcPr>
            <w:tcW w:w="1365" w:type="dxa"/>
          </w:tcPr>
          <w:p>
            <w:pPr>
              <w:pStyle w:val="Compact"/>
              <w:jc w:val="left"/>
            </w:pPr>
            <w:r>
              <w:rPr>
                <w:sz w:val="18"/>
              </w:rPr>
              <w:t xml:space="preserve">2025-2028</w:t>
            </w:r>
          </w:p>
        </w:tc>
        <w:tc>
          <w:tcPr>
            <w:tcW w:w="2565" w:type="dxa"/>
          </w:tcPr>
          <w:p>
            <w:pPr>
              <w:pStyle w:val="Compact"/>
              <w:jc w:val="left"/>
            </w:pPr>
            <w:r>
              <w:rPr>
                <w:sz w:val="18"/>
              </w:rPr>
              <w:t xml:space="preserve">Blueprint expansion; AHEAD PC primary care recruitment; RHT workforce investment</w:t>
            </w:r>
          </w:p>
        </w:tc>
      </w:tr>
      <w:tr>
        <w:trPr/>
        <w:tc>
          <w:tcPr>
            <w:tcW w:w="1560" w:type="dxa"/>
          </w:tcPr>
          <w:p>
            <w:pPr>
              <w:pStyle w:val="Compact"/>
              <w:jc w:val="left"/>
            </w:pPr>
            <w:r>
              <w:rPr>
                <w:sz w:val="18"/>
              </w:rPr>
              <w:t xml:space="preserve">Behavioral health integration at every PCMH</w:t>
            </w:r>
          </w:p>
        </w:tc>
        <w:tc>
          <w:tcPr>
            <w:tcW w:w="3570" w:type="dxa"/>
          </w:tcPr>
          <w:p>
            <w:pPr>
              <w:pStyle w:val="Compact"/>
              <w:jc w:val="left"/>
            </w:pPr>
            <w:r>
              <w:rPr>
                <w:sz w:val="18"/>
              </w:rPr>
              <w:t xml:space="preserve">Every PCMH practice implements CoCM or equivalent behavioral health integration, with BHCM staff and psychiatric consultation available to all attributed patients</w:t>
            </w:r>
          </w:p>
        </w:tc>
        <w:tc>
          <w:tcPr>
            <w:tcW w:w="1365" w:type="dxa"/>
          </w:tcPr>
          <w:p>
            <w:pPr>
              <w:pStyle w:val="Compact"/>
              <w:jc w:val="left"/>
            </w:pPr>
            <w:r>
              <w:rPr>
                <w:sz w:val="18"/>
              </w:rPr>
              <w:t xml:space="preserve">2025-2028</w:t>
            </w:r>
          </w:p>
        </w:tc>
        <w:tc>
          <w:tcPr>
            <w:tcW w:w="2565" w:type="dxa"/>
          </w:tcPr>
          <w:p>
            <w:pPr>
              <w:pStyle w:val="Compact"/>
              <w:jc w:val="left"/>
            </w:pPr>
            <w:r>
              <w:rPr>
                <w:sz w:val="18"/>
              </w:rPr>
              <w:t xml:space="preserve">MHI permanent funding through AHEAD EAST Fund; CCBHC partnerships; BHCM workforce training through RHT Program</w:t>
            </w:r>
          </w:p>
        </w:tc>
      </w:tr>
      <w:tr>
        <w:trPr/>
        <w:tc>
          <w:tcPr>
            <w:tcW w:w="1560" w:type="dxa"/>
          </w:tcPr>
          <w:p>
            <w:pPr>
              <w:pStyle w:val="Compact"/>
              <w:jc w:val="left"/>
            </w:pPr>
            <w:r>
              <w:rPr>
                <w:sz w:val="18"/>
              </w:rPr>
              <w:t xml:space="preserve">CCBHC network covering all HSAs</w:t>
            </w:r>
          </w:p>
        </w:tc>
        <w:tc>
          <w:tcPr>
            <w:tcW w:w="3570" w:type="dxa"/>
          </w:tcPr>
          <w:p>
            <w:pPr>
              <w:pStyle w:val="Compact"/>
              <w:jc w:val="left"/>
            </w:pPr>
            <w:r>
              <w:rPr>
                <w:sz w:val="18"/>
              </w:rPr>
              <w:t xml:space="preserve">Certified Community-Based integrated Health Centers established in every Hospital Service Area, providing comprehensive community behavioral health services including crisis response, SUD treatment, and care coordination</w:t>
            </w:r>
          </w:p>
        </w:tc>
        <w:tc>
          <w:tcPr>
            <w:tcW w:w="1365" w:type="dxa"/>
          </w:tcPr>
          <w:p>
            <w:pPr>
              <w:pStyle w:val="Compact"/>
              <w:jc w:val="left"/>
            </w:pPr>
            <w:r>
              <w:rPr>
                <w:sz w:val="18"/>
              </w:rPr>
              <w:t xml:space="preserve">2026 (5 new CCBHCs) through 2028</w:t>
            </w:r>
          </w:p>
        </w:tc>
        <w:tc>
          <w:tcPr>
            <w:tcW w:w="2565" w:type="dxa"/>
          </w:tcPr>
          <w:p>
            <w:pPr>
              <w:pStyle w:val="Compact"/>
              <w:jc w:val="left"/>
            </w:pPr>
            <w:r>
              <w:rPr>
                <w:sz w:val="18"/>
              </w:rPr>
              <w:t xml:space="preserve">CCBHC Demonstration State enhanced Medicaid; RHT Program funding; Act 68 grants</w:t>
            </w:r>
          </w:p>
        </w:tc>
      </w:tr>
      <w:tr>
        <w:trPr/>
        <w:tc>
          <w:tcPr>
            <w:tcW w:w="1560" w:type="dxa"/>
          </w:tcPr>
          <w:p>
            <w:pPr>
              <w:pStyle w:val="Compact"/>
              <w:jc w:val="left"/>
            </w:pPr>
            <w:r>
              <w:rPr>
                <w:sz w:val="18"/>
              </w:rPr>
              <w:t xml:space="preserve">PACE program development</w:t>
            </w:r>
          </w:p>
        </w:tc>
        <w:tc>
          <w:tcPr>
            <w:tcW w:w="3570" w:type="dxa"/>
          </w:tcPr>
          <w:p>
            <w:pPr>
              <w:pStyle w:val="Compact"/>
              <w:jc w:val="left"/>
            </w:pPr>
            <w:r>
              <w:rPr>
                <w:sz w:val="18"/>
              </w:rPr>
              <w:t xml:space="preserve">At least one PACE program operational in Vermont, serving the highest-acuity elderly population that would otherwise require nursing home placement; feasibility assessment for additional programs</w:t>
            </w:r>
          </w:p>
        </w:tc>
        <w:tc>
          <w:tcPr>
            <w:tcW w:w="1365" w:type="dxa"/>
          </w:tcPr>
          <w:p>
            <w:pPr>
              <w:pStyle w:val="Compact"/>
              <w:jc w:val="left"/>
            </w:pPr>
            <w:r>
              <w:rPr>
                <w:sz w:val="18"/>
              </w:rPr>
              <w:t xml:space="preserve">2026-2028 (feasibility and launch)</w:t>
            </w:r>
          </w:p>
        </w:tc>
        <w:tc>
          <w:tcPr>
            <w:tcW w:w="2565" w:type="dxa"/>
          </w:tcPr>
          <w:p>
            <w:pPr>
              <w:pStyle w:val="Compact"/>
              <w:jc w:val="left"/>
            </w:pPr>
            <w:r>
              <w:rPr>
                <w:sz w:val="18"/>
              </w:rPr>
              <w:t xml:space="preserve">AHEAD EAST Fund; RHT long-term care infrastructure investment; Medicaid PACE program rules</w:t>
            </w:r>
          </w:p>
        </w:tc>
      </w:tr>
      <w:tr>
        <w:trPr>
          <w:cantSplit/>
        </w:trPr>
        <w:tc>
          <w:tcPr>
            <w:tcW w:w="1560" w:type="dxa"/>
          </w:tcPr>
          <w:p>
            <w:pPr>
              <w:pStyle w:val="Compact"/>
              <w:jc w:val="left"/>
            </w:pPr>
            <w:r>
              <w:rPr>
                <w:sz w:val="18"/>
              </w:rPr>
              <w:t xml:space="preserve">Dementia care infrastructure</w:t>
            </w:r>
          </w:p>
        </w:tc>
        <w:tc>
          <w:tcPr>
            <w:tcW w:w="3570" w:type="dxa"/>
          </w:tcPr>
          <w:p>
            <w:pPr>
              <w:pStyle w:val="Compact"/>
              <w:jc w:val="left"/>
            </w:pPr>
            <w:r>
              <w:rPr>
                <w:sz w:val="18"/>
              </w:rPr>
              <w:t xml:space="preserve">Memory care COE designation at 3-5 facilities; primary care dementia assessment protocols embedded in all PCMH practices; family caregiver support programs in all HSAs</w:t>
            </w:r>
          </w:p>
        </w:tc>
        <w:tc>
          <w:tcPr>
            <w:tcW w:w="1365" w:type="dxa"/>
          </w:tcPr>
          <w:p>
            <w:pPr>
              <w:pStyle w:val="Compact"/>
              <w:jc w:val="left"/>
            </w:pPr>
            <w:r>
              <w:rPr>
                <w:sz w:val="18"/>
              </w:rPr>
              <w:t xml:space="preserve">2026-2030</w:t>
            </w:r>
          </w:p>
        </w:tc>
        <w:tc>
          <w:tcPr>
            <w:tcW w:w="2565" w:type="dxa"/>
          </w:tcPr>
          <w:p>
            <w:pPr>
              <w:pStyle w:val="Compact"/>
              <w:jc w:val="left"/>
            </w:pPr>
            <w:r>
              <w:rPr>
                <w:sz w:val="18"/>
              </w:rPr>
              <w:t xml:space="preserve">RHT Program; COE designation process; Blueprint quality measures expansion</w:t>
            </w:r>
          </w:p>
        </w:tc>
      </w:tr>
    </w:tbl>
    <w:p>
      <w:pPr>
        <w:pStyle w:val="Caption"/>
        <w:spacing w:before="120"/>
      </w:pPr>
      <w:r>
        <w:rPr>
          <w:i/>
          <w:iCs/>
        </w:rPr>
        <w:t xml:space="preserve">Figure 8.6 — Clinical pillar commitments for Vermont’s Statewide Health Care Delivery Strategic Plan. Sources: Act 68 of 2025; Oliver Wyman Act 167 Report; AHS Transformation Plans; Vermont RHT Program Application.</w:t>
      </w:r>
    </w:p>
    <w:p>
      <w:pPr>
        <w:pStyle w:val="Heading2"/>
        <w:pBdr>
          <w:top w:val="single" w:sz="6" w:space="10" w:color="C9D2DF"/>
        </w:pBdr>
        <w:keepNext w:val="false"/>
      </w:pPr>
      <w:r>
        <w:rPr>
          <w:color w:val="161B22"/>
        </w:rPr>
        <w:t xml:space="preserve">8.8  </w:t>
      </w:r>
      <w:bookmarkStart w:id="1248" w:name="_Toc1247"/>
      <w:r>
        <w:rPr>
          <w:b/>
          <w:bCs/>
          <w:color w:val="161B22"/>
        </w:rPr>
        <w:t xml:space="preserve">Work This Chapter on the Platform</w:t>
      </w:r>
      <w:bookmarkEnd w:id="1248"/>
    </w:p>
    <w:p>
      <w:pPr>
        <w:pStyle w:val="FirstParagraph"/>
        <w:keepNext w:val="false"/>
      </w:pPr>
      <w:r>
        <w:t xml:space="preserve">Chapter 8’s clinical-redesign argument — the Blueprint, Collaborative Care, panel risk — rests on stratification and quality measurement you can run directly.</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Stratify a clinical panel by risk tier and match staffing intensity</w:t>
            </w:r>
          </w:p>
        </w:tc>
        <w:tc>
          <w:tcPr>
            <w:tcW w:w="947" w:type="dxa"/>
          </w:tcPr>
          <w:p>
            <w:pPr>
              <w:pStyle w:val="Compact"/>
              <w:jc w:val="left"/>
            </w:pPr>
            <w:r>
              <w:rPr>
                <w:b/>
                <w:bCs/>
                <w:sz w:val="18"/>
              </w:rPr>
              <w:t xml:space="preserve">Risk Stratification Methodology</w:t>
            </w:r>
            <w:r>
              <w:rPr>
                <w:sz w:val="18"/>
              </w:rPr>
              <w:t xml:space="preserve"> </w:t>
            </w:r>
            <w:r>
              <w:rPr>
                <w:sz w:val="18"/>
              </w:rPr>
              <w:t xml:space="preserve">—</w:t>
            </w:r>
            <w:r>
              <w:rPr>
                <w:sz w:val="18"/>
              </w:rPr>
              <w:t xml:space="preserve"> </w:t>
            </w:r>
            <w:r>
              <w:rPr>
                <w:rStyle w:val="VerbatimChar"/>
                <w:sz w:val="18"/>
              </w:rPr>
              <w:t xml:space="preserve">/research-lab/vbc-clinical-quality?tab=risk</w:t>
            </w:r>
          </w:p>
        </w:tc>
        <w:tc>
          <w:tcPr>
            <w:tcW w:w="4062" w:type="dxa"/>
          </w:tcPr>
          <w:p>
            <w:pPr>
              <w:pStyle w:val="Compact"/>
              <w:jc w:val="left"/>
            </w:pPr>
            <w:r>
              <w:rPr>
                <w:sz w:val="18"/>
              </w:rPr>
              <w:t xml:space="preserve">How panel design changes when staffing follows risk rather than volume.</w:t>
            </w:r>
          </w:p>
        </w:tc>
      </w:tr>
      <w:tr>
        <w:trPr/>
        <w:tc>
          <w:tcPr>
            <w:tcW w:w="4062" w:type="dxa"/>
          </w:tcPr>
          <w:p>
            <w:pPr>
              <w:pStyle w:val="Compact"/>
              <w:jc w:val="left"/>
            </w:pPr>
            <w:r>
              <w:rPr>
                <w:sz w:val="18"/>
              </w:rPr>
              <w:t xml:space="preserve">Model HEDIS measure performance against NCQA benchmarks</w:t>
            </w:r>
          </w:p>
        </w:tc>
        <w:tc>
          <w:tcPr>
            <w:tcW w:w="947" w:type="dxa"/>
          </w:tcPr>
          <w:p>
            <w:pPr>
              <w:pStyle w:val="Compact"/>
              <w:jc w:val="left"/>
            </w:pPr>
            <w:r>
              <w:rPr>
                <w:b/>
                <w:bCs/>
                <w:sz w:val="18"/>
              </w:rPr>
              <w:t xml:space="preserve">VBC Quality Measures</w:t>
            </w:r>
            <w:r>
              <w:rPr>
                <w:sz w:val="18"/>
              </w:rPr>
              <w:t xml:space="preserve"> </w:t>
            </w:r>
            <w:r>
              <w:rPr>
                <w:sz w:val="18"/>
              </w:rPr>
              <w:t xml:space="preserve">—</w:t>
            </w:r>
            <w:r>
              <w:rPr>
                <w:sz w:val="18"/>
              </w:rPr>
              <w:t xml:space="preserve"> </w:t>
            </w:r>
            <w:r>
              <w:rPr>
                <w:rStyle w:val="VerbatimChar"/>
                <w:sz w:val="18"/>
              </w:rPr>
              <w:t xml:space="preserve">/research-lab/vbc-clinical-quality?tab=quality</w:t>
            </w:r>
          </w:p>
        </w:tc>
        <w:tc>
          <w:tcPr>
            <w:tcW w:w="4062" w:type="dxa"/>
          </w:tcPr>
          <w:p>
            <w:pPr>
              <w:pStyle w:val="Compact"/>
              <w:jc w:val="left"/>
            </w:pPr>
            <w:r>
              <w:rPr>
                <w:sz w:val="18"/>
              </w:rPr>
              <w:t xml:space="preserve">Which measures move population outcomes vs. which only move scores.</w:t>
            </w:r>
          </w:p>
        </w:tc>
      </w:tr>
      <w:tr>
        <w:trPr>
          <w:cantSplit/>
        </w:trPr>
        <w:tc>
          <w:tcPr>
            <w:tcW w:w="4062" w:type="dxa"/>
          </w:tcPr>
          <w:p>
            <w:pPr>
              <w:pStyle w:val="Compact"/>
              <w:jc w:val="left"/>
            </w:pPr>
            <w:r>
              <w:rPr>
                <w:sz w:val="18"/>
              </w:rPr>
              <w:t xml:space="preserve">Run risk stratification on a live panel rather than reading the methodology</w:t>
            </w:r>
          </w:p>
        </w:tc>
        <w:tc>
          <w:tcPr>
            <w:tcW w:w="947"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4062" w:type="dxa"/>
          </w:tcPr>
          <w:p>
            <w:pPr>
              <w:pStyle w:val="Compact"/>
              <w:jc w:val="left"/>
            </w:pPr>
            <w:r>
              <w:rPr>
                <w:sz w:val="18"/>
              </w:rPr>
              <w:t xml:space="preserve">How many patients change tier once social risk is included alongside clinical risk.</w:t>
            </w:r>
          </w:p>
        </w:tc>
      </w:tr>
    </w:tbl>
    <w:p>
      <w:pPr>
        <w:pStyle w:val="Caption"/>
        <w:spacing w:before="120"/>
      </w:pPr>
      <w:r>
        <w:rPr>
          <w:i/>
          <w:iCs/>
        </w:rPr>
        <w:t xml:space="preserve">Figure 8.H — Hands-on platform tools for the Clinical Pillar.</w:t>
      </w:r>
    </w:p>
    <w:p>
      <w:pPr>
        <w:pStyle w:val="Heading2"/>
        <w:pBdr>
          <w:top w:val="single" w:sz="6" w:space="10" w:color="C9D2DF"/>
        </w:pBdr>
      </w:pPr>
      <w:r>
        <w:rPr>
          <w:color w:val="161B22"/>
        </w:rPr>
        <w:t xml:space="preserve">8.9  </w:t>
      </w:r>
      <w:bookmarkStart w:id="1249" w:name="_Toc1248"/>
      <w:r>
        <w:rPr>
          <w:b/>
          <w:bCs/>
          <w:color w:val="161B22"/>
        </w:rPr>
        <w:t xml:space="preserve">Implications for You</w:t>
      </w:r>
      <w:bookmarkEnd w:id="1249"/>
    </w:p>
    <w:p>
      <w:pPr>
        <w:pStyle w:val="FirstParagraph"/>
      </w:pPr>
      <w: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AHEAD’s financial accountability begins.</w:t>
      </w:r>
    </w:p>
    <w:p>
      <w:pPr>
        <w:pStyle w:val="BodyText"/>
      </w:pPr>
      <w: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under AHEAD, and deployable in rural settings without specialist capacity. The CCBHC certification expansion is the right policy vehicle. The timeline — completing certification across all HSAs before AHEAD’s clinical accountability begins — should be treated as a clinical milestone with the same urgency as the analytics vendor deployment.</w:t>
      </w:r>
    </w:p>
    <w:p>
      <w:pPr>
        <w:pStyle w:val="BodyText"/>
      </w:pPr>
      <w: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AHEAD’s population health targets require. A legislative investment in Blueprint capacity — specifically, Community Health Team expansion and PCMH transformation support for practices not yet at advanced tier — is among the highest-ROI appropriations Vermont can make before FY2028.</w:t>
      </w:r>
    </w:p>
    <w:p>
      <w:pPr>
        <w:pStyle w:val="BodyText"/>
      </w:pPr>
      <w: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will be produced by AHEAD’s clinical measurement requirements. Those updated results will be the primary evidence base for primary care investment policy in rural markets nationally.</w:t>
      </w:r>
    </w:p>
    <w:p>
      <w:pPr>
        <w:pStyle w:val="Heading2"/>
        <w:pBdr>
          <w:top w:val="single" w:sz="6" w:space="10" w:color="C9D2DF"/>
        </w:pBdr>
      </w:pPr>
      <w:r>
        <w:rPr>
          <w:color w:val="161B22"/>
        </w:rPr>
        <w:t xml:space="preserve">8.10  </w:t>
      </w:r>
      <w:bookmarkStart w:id="1250" w:name="_Toc1249"/>
      <w:r>
        <w:rPr>
          <w:b/>
          <w:bCs/>
          <w:color w:val="161B22"/>
        </w:rPr>
        <w:t xml:space="preserve">Key Concepts in This Chapter</w:t>
      </w:r>
      <w:bookmarkEnd w:id="1250"/>
    </w:p>
    <w:p>
      <w:pPr>
        <w:pStyle w:val="FirstParagraph"/>
        <w:spacing w:before="160" w:after="120"/>
      </w:pPr>
      <w:r>
        <w:rPr>
          <w:rFonts w:ascii="Calibri" w:hAnsi="Calibri"/>
          <w:b/>
          <w:bCs/>
          <w:color w:val="2E74B5"/>
          <w:sz w:val="20"/>
        </w:rPr>
        <w:t xml:space="preserve">Blueprint for Health</w:t>
      </w:r>
      <w:r>
        <w:rPr>
          <w:rFonts w:ascii="Calibri" w:hAnsi="Calibri"/>
          <w:color w:val="000000"/>
          <w:sz w:val="18"/>
        </w:rPr>
        <w:br/>
      </w:r>
      <w:r>
        <w:rPr>
          <w:rFonts w:ascii="Calibri" w:hAnsi="Calibri"/>
          <w:color w:val="000000"/>
          <w:sz w:val="18"/>
        </w:rPr>
        <w:t xml:space="preserve">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p>
    <w:p>
      <w:pPr>
        <w:pStyle w:val="BodyText"/>
        <w:spacing w:before="160" w:after="120"/>
      </w:pPr>
      <w:r>
        <w:rPr>
          <w:rFonts w:ascii="Calibri" w:hAnsi="Calibri"/>
          <w:b/>
          <w:bCs/>
          <w:color w:val="2E74B5"/>
          <w:sz w:val="20"/>
        </w:rPr>
        <w:t xml:space="preserve">Patient-Centered Medical Home (PCMH)</w:t>
      </w:r>
      <w:r>
        <w:rPr>
          <w:rFonts w:ascii="Calibri" w:hAnsi="Calibri"/>
          <w:color w:val="000000"/>
          <w:sz w:val="18"/>
        </w:rPr>
        <w:br/>
      </w:r>
      <w:r>
        <w:rPr>
          <w:rFonts w:ascii="Calibri" w:hAnsi="Calibri"/>
          <w:color w:val="000000"/>
          <w:sz w:val="18"/>
        </w:rPr>
        <w:t xml:space="preserve">A primary care practice recognized by NCQA as meeting advanced standards for care coordination, population management, quality improvement, and patient engagement. The organizational model for Vermont’s primary care system under Blueprint and AHEAD.</w:t>
      </w:r>
    </w:p>
    <w:p>
      <w:pPr>
        <w:pStyle w:val="BodyText"/>
        <w:spacing w:before="160" w:after="120"/>
      </w:pPr>
      <w:r>
        <w:rPr>
          <w:rFonts w:ascii="Calibri" w:hAnsi="Calibri"/>
          <w:b/>
          <w:bCs/>
          <w:color w:val="2E74B5"/>
          <w:sz w:val="20"/>
        </w:rPr>
        <w:t xml:space="preserve">Community Health Team (CHT)</w:t>
      </w:r>
      <w:r>
        <w:rPr>
          <w:rFonts w:ascii="Calibri" w:hAnsi="Calibri"/>
          <w:color w:val="000000"/>
          <w:sz w:val="18"/>
        </w:rPr>
        <w:br/>
      </w:r>
      <w:r>
        <w:rPr>
          <w:rFonts w:ascii="Calibri" w:hAnsi="Calibri"/>
          <w:color w:val="000000"/>
          <w:sz w:val="18"/>
        </w:rPr>
        <w:t xml:space="preserve">Multi-disciplinary team of social workers, nurses, community health workers, and behavioral health professionals supporting PCMH practices with care coordination, SDOH navigation, and connection to community services.</w:t>
      </w:r>
    </w:p>
    <w:p>
      <w:pPr>
        <w:pStyle w:val="BodyText"/>
        <w:spacing w:before="160" w:after="120"/>
      </w:pPr>
      <w:r>
        <w:rPr>
          <w:rFonts w:ascii="Calibri" w:hAnsi="Calibri"/>
          <w:b/>
          <w:bCs/>
          <w:color w:val="2E74B5"/>
          <w:sz w:val="20"/>
        </w:rPr>
        <w:t xml:space="preserve">Collaborative Care Model (CoCM)</w:t>
      </w:r>
      <w:r>
        <w:rPr>
          <w:rFonts w:ascii="Calibri" w:hAnsi="Calibri"/>
          <w:color w:val="000000"/>
          <w:sz w:val="18"/>
        </w:rPr>
        <w:br/>
      </w:r>
      <w:r>
        <w:rPr>
          <w:rFonts w:ascii="Calibri" w:hAnsi="Calibri"/>
          <w:color w:val="000000"/>
          <w:sz w:val="18"/>
        </w:rPr>
        <w:t xml:space="preserve">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p>
    <w:p>
      <w:pPr>
        <w:pStyle w:val="BodyText"/>
        <w:spacing w:before="160" w:after="120"/>
      </w:pPr>
      <w:r>
        <w:rPr>
          <w:rFonts w:ascii="Calibri" w:hAnsi="Calibri"/>
          <w:b/>
          <w:bCs/>
          <w:color w:val="2E74B5"/>
          <w:sz w:val="20"/>
        </w:rPr>
        <w:t xml:space="preserve">Certified Community-Based integrated Health Center (CCBHC)</w:t>
      </w:r>
      <w:r>
        <w:rPr>
          <w:rFonts w:ascii="Calibri" w:hAnsi="Calibri"/>
          <w:color w:val="000000"/>
          <w:sz w:val="18"/>
        </w:rPr>
        <w:br/>
      </w:r>
      <w:r>
        <w:rPr>
          <w:rFonts w:ascii="Calibri" w:hAnsi="Calibri"/>
          <w:color w:val="000000"/>
          <w:sz w:val="18"/>
        </w:rPr>
        <w:t xml:space="preserve">Vermont’s term for what CMS calls Certified Community Behavioral Health Clinics. Comprehensive community-based behavioral health facilities receiving enhanced Medicaid funding through the federal CCBHC Demonstration program.</w:t>
      </w:r>
    </w:p>
    <w:p>
      <w:pPr>
        <w:pStyle w:val="BodyText"/>
        <w:spacing w:before="160" w:after="120"/>
      </w:pPr>
      <w:r>
        <w:rPr>
          <w:rFonts w:ascii="Calibri" w:hAnsi="Calibri"/>
          <w:b/>
          <w:bCs/>
          <w:color w:val="2E74B5"/>
          <w:sz w:val="20"/>
        </w:rPr>
        <w:t xml:space="preserve">Mental Health Integration (MHI)</w:t>
      </w:r>
      <w:r>
        <w:rPr>
          <w:rFonts w:ascii="Calibri" w:hAnsi="Calibri"/>
          <w:color w:val="000000"/>
          <w:sz w:val="18"/>
        </w:rPr>
        <w:br/>
      </w:r>
      <w:r>
        <w:rPr>
          <w:rFonts w:ascii="Calibri" w:hAnsi="Calibri"/>
          <w:color w:val="000000"/>
          <w:sz w:val="18"/>
        </w:rPr>
        <w:t xml:space="preserve">Vermont Blueprint’s pilot program embedding mental health clinicians and community health workers in primary care settings; evaluated in 2025 as highly effective but facing sustainability challenges when pilot funding ends.</w:t>
      </w:r>
    </w:p>
    <w:p>
      <w:pPr>
        <w:pStyle w:val="BodyText"/>
        <w:spacing w:before="160" w:after="120"/>
      </w:pPr>
      <w:r>
        <w:rPr>
          <w:rFonts w:ascii="Calibri" w:hAnsi="Calibri"/>
          <w:b/>
          <w:bCs/>
          <w:color w:val="2E74B5"/>
          <w:sz w:val="20"/>
        </w:rPr>
        <w:t xml:space="preserve">PACE (Program of All-Inclusive Care for the Elderly)</w:t>
      </w:r>
      <w:r>
        <w:rPr>
          <w:rFonts w:ascii="Calibri" w:hAnsi="Calibri"/>
          <w:color w:val="000000"/>
          <w:sz w:val="18"/>
        </w:rPr>
        <w:br/>
      </w:r>
      <w:r>
        <w:rPr>
          <w:rFonts w:ascii="Calibri" w:hAnsi="Calibri"/>
          <w:color w:val="000000"/>
          <w:sz w:val="18"/>
        </w:rPr>
        <w:t xml:space="preserve">An integrated medical, social, and long-term care model enabling frail elderly individuals to remain in their communities rather than entering nursing homes. Vermont currently has no PACE programs — a significant gap given its aging demographics.</w:t>
      </w:r>
    </w:p>
    <w:p>
      <w:pPr>
        <w:pStyle w:val="BodyText"/>
        <w:spacing w:before="160" w:after="120"/>
      </w:pPr>
      <w:r>
        <w:rPr>
          <w:rFonts w:ascii="Calibri" w:hAnsi="Calibri"/>
          <w:b/>
          <w:bCs/>
          <w:color w:val="2E74B5"/>
          <w:sz w:val="20"/>
        </w:rPr>
        <w:t xml:space="preserve">Hub and Spoke</w:t>
      </w:r>
      <w:r>
        <w:rPr>
          <w:rFonts w:ascii="Calibri" w:hAnsi="Calibri"/>
          <w:color w:val="000000"/>
          <w:sz w:val="18"/>
        </w:rPr>
        <w:br/>
      </w:r>
      <w:r>
        <w:rPr>
          <w:rFonts w:ascii="Calibri" w:hAnsi="Calibri"/>
          <w:color w:val="000000"/>
          <w:sz w:val="18"/>
        </w:rPr>
        <w:t xml:space="preserve">Vermont’s SUD treatment model: Hubs provide intensive addiction treatment; Spokes are office-based opioid treatment practices in primary care settings providing medication-assisted treatment.</w:t>
      </w:r>
    </w:p>
    <w:p>
      <w:pPr>
        <w:pStyle w:val="BodyText"/>
        <w:spacing w:before="160" w:after="120"/>
      </w:pPr>
      <w:r>
        <w:rPr>
          <w:rFonts w:ascii="Calibri" w:hAnsi="Calibri"/>
          <w:b/>
          <w:bCs/>
          <w:color w:val="2E74B5"/>
          <w:sz w:val="20"/>
        </w:rPr>
        <w:t xml:space="preserve">HRSN (Health-Related Social Needs)</w:t>
      </w:r>
      <w:r>
        <w:rPr>
          <w:rFonts w:ascii="Calibri" w:hAnsi="Calibri"/>
          <w:color w:val="000000"/>
          <w:sz w:val="18"/>
        </w:rPr>
        <w:br/>
      </w:r>
      <w:r>
        <w:rPr>
          <w:rFonts w:ascii="Calibri" w:hAnsi="Calibri"/>
          <w:color w:val="000000"/>
          <w:sz w:val="18"/>
        </w:rPr>
        <w:t xml:space="preserve">The social needs that affect health outcomes — housing, food security, transportation, financial insecurity, social isolation — now universally screened for in Vermont’s Blueprint primary care practices.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p>
    <w:p>
      <w:r>
        <w:br w:type="page"/>
      </w:r>
    </w:p>
    <w:p>
      <w:pPr>
        <w:pStyle w:val="Heading1"/>
      </w:pPr>
      <w:bookmarkStart w:id="1251" w:name="_Toc1250"/>
      <w:r>
        <w:rPr>
          <w:b/>
          <w:bCs/>
          <w:color w:val="161B22"/>
        </w:rPr>
        <w:t xml:space="preserve">Chapter 9: The Clinical Pillar in Practice — Care Model Implementation, Quality Mechanics, and the Vermont Clinical Transformation Toolkit</w:t>
      </w:r>
      <w:bookmarkEnd w:id="125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operational deployment of Vermont’s care models requires workforce, capital, and workflow redesign at a pace the Rural Health Transformation Program is designed but not guaranteed to support.</w:t>
      </w:r>
    </w:p>
    <w:p>
      <w:pPr>
        <w:pStyle w:val="BodyText"/>
      </w:pPr>
      <w: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pPr>
        <w:pStyle w:val="BodyText"/>
      </w:pPr>
      <w:r>
        <w:rPr>
          <w:i/>
          <w:iCs/>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p>
    <w:p>
      <w:pPr>
        <w:pStyle w:val="Heading2"/>
        <w:pBdr>
          <w:top w:val="single" w:sz="6" w:space="10" w:color="C9D2DF"/>
        </w:pBdr>
      </w:pPr>
      <w:r>
        <w:rPr>
          <w:color w:val="161B22"/>
        </w:rPr>
        <w:t xml:space="preserve">9.1  </w:t>
      </w:r>
      <w:bookmarkStart w:id="1252" w:name="_Toc1251"/>
      <w:r>
        <w:rPr>
          <w:b/>
          <w:bCs/>
          <w:color w:val="161B22"/>
        </w:rPr>
        <w:t xml:space="preserve">From Clinical Architecture to Clinical Practice</w:t>
      </w:r>
      <w:bookmarkEnd w:id="1252"/>
    </w:p>
    <w:p>
      <w:pPr>
        <w:pStyle w:val="FirstParagraph"/>
      </w:pPr>
      <w:r>
        <w:t xml:space="preserve">Chapter 1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pPr>
        <w:pStyle w:val="BodyText"/>
      </w:pPr>
      <w: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pPr>
        <w:pStyle w:val="Heading2"/>
        <w:pBdr>
          <w:top w:val="single" w:sz="6" w:space="10" w:color="C9D2DF"/>
        </w:pBdr>
      </w:pPr>
      <w:r>
        <w:rPr>
          <w:color w:val="161B22"/>
        </w:rPr>
        <w:t xml:space="preserve">9.2  </w:t>
      </w:r>
      <w:bookmarkStart w:id="1253" w:name="_Toc1252"/>
      <w:r>
        <w:rPr>
          <w:b/>
          <w:bCs/>
          <w:color w:val="161B22"/>
        </w:rPr>
        <w:t xml:space="preserve">PCMH Transformation — The Blueprint Practice Implementation Playbook</w:t>
      </w:r>
      <w:bookmarkEnd w:id="1253"/>
    </w:p>
    <w:p>
      <w:pPr>
        <w:pStyle w:val="Heading3"/>
      </w:pPr>
      <w:r>
        <w:rPr>
          <w:color w:val="161B22"/>
        </w:rPr>
        <w:t xml:space="preserve">9.2.1  </w:t>
      </w:r>
      <w:bookmarkStart w:id="1254" w:name="_Toc1253"/>
      <w:r>
        <w:rPr>
          <w:b/>
          <w:bCs/>
          <w:color w:val="161B22"/>
        </w:rPr>
        <w:t xml:space="preserve">The Blueprint PCMH Recognition Process — What It Actually Requires</w:t>
      </w:r>
      <w:bookmarkEnd w:id="1254"/>
    </w:p>
    <w:p>
      <w:pPr>
        <w:pStyle w:val="FirstParagraph"/>
        <w:keepNext w:val="false"/>
      </w:pPr>
      <w:r>
        <w:t xml:space="preserve">NCQA Patient-Centered Medical Home recognition is the organizational prerequisite for Blueprint participation and AHEAD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pPr>
        <w:pStyle w:val="BodyText"/>
        <w:keepNext w:val="false"/>
      </w:pPr>
      <w:r>
        <w:t xml:space="preserve">NCQA PCMH recognition is organized around six concept areas that together define what a transformed primary care practice looks like operationally. The 2023 PCMH Standards represent the current requirements:</w:t>
      </w:r>
    </w:p>
    <w:tbl>
      <w:tblPr>
        <w:tblStyle w:val="HTRTable"/>
        <w:tblLook w:firstRow="1" w:lastRow="0" w:firstColumn="0" w:lastColumn="0" w:noHBand="0" w:noVBand="1" w:val="0020"/>
        <w:tblW w:w="9072" w:type="dxa"/>
        <w:tblLayout w:type="fixed"/>
      </w:tblPr>
      <w:tblGrid>
        <w:gridCol w:w="1905"/>
        <w:gridCol w:w="3465"/>
        <w:gridCol w:w="3690"/>
      </w:tblGrid>
      <w:tr>
        <w:trPr>
          <w:tblHeader w:val="on"/>
          <w:cantSplit/>
        </w:trPr>
        <w:tc>
          <w:tcPr>
            <w:shd w:val="clear" w:color="auto" w:fill="1B3A6B"/>
            <w:tcW w:w="1905" w:type="dxa"/>
          </w:tcPr>
          <w:p>
            <w:pPr>
              <w:pStyle w:val="Compact"/>
              <w:jc w:val="left"/>
            </w:pPr>
            <w:r>
              <w:rPr>
                <w:b/>
                <w:color w:val="FFFFFF"/>
                <w:sz w:val="18"/>
              </w:rPr>
              <w:t xml:space="preserve">Concept Area</w:t>
            </w:r>
          </w:p>
        </w:tc>
        <w:tc>
          <w:tcPr>
            <w:shd w:val="clear" w:color="auto" w:fill="1B3A6B"/>
            <w:tcW w:w="3465" w:type="dxa"/>
          </w:tcPr>
          <w:p>
            <w:pPr>
              <w:pStyle w:val="Compact"/>
              <w:jc w:val="left"/>
            </w:pPr>
            <w:r>
              <w:rPr>
                <w:b/>
                <w:color w:val="FFFFFF"/>
                <w:sz w:val="18"/>
              </w:rPr>
              <w:t xml:space="preserve">What it requires operationally</w:t>
            </w:r>
          </w:p>
        </w:tc>
        <w:tc>
          <w:tcPr>
            <w:shd w:val="clear" w:color="auto" w:fill="1B3A6B"/>
            <w:tcW w:w="3690" w:type="dxa"/>
          </w:tcPr>
          <w:p>
            <w:pPr>
              <w:pStyle w:val="Compact"/>
              <w:jc w:val="left"/>
            </w:pPr>
            <w:r>
              <w:rPr>
                <w:b/>
                <w:color w:val="FFFFFF"/>
                <w:sz w:val="18"/>
              </w:rPr>
              <w:t xml:space="preserve">Vermont implementation challenge</w:t>
            </w:r>
          </w:p>
        </w:tc>
      </w:tr>
      <w:tr>
        <w:trPr>
          <w:cantSplit/>
        </w:trPr>
        <w:tc>
          <w:tcPr>
            <w:tcW w:w="1905" w:type="dxa"/>
          </w:tcPr>
          <w:p>
            <w:pPr>
              <w:pStyle w:val="Compact"/>
              <w:jc w:val="left"/>
            </w:pPr>
            <w:r>
              <w:rPr>
                <w:sz w:val="18"/>
              </w:rPr>
              <w:t xml:space="preserve">Team-Based Care and Practice Organization</w:t>
            </w:r>
          </w:p>
        </w:tc>
        <w:tc>
          <w:tcPr>
            <w:tcW w:w="3465" w:type="dxa"/>
          </w:tcPr>
          <w:p>
            <w:pPr>
              <w:pStyle w:val="Compact"/>
              <w:jc w:val="left"/>
            </w:pPr>
            <w:r>
              <w:rPr>
                <w:sz w:val="18"/>
              </w:rPr>
              <w:t xml:space="preserve">Defined care team roles and responsibilities; written policies for team-based care; staff training in team-based approaches; patient engagement in care planning</w:t>
            </w:r>
          </w:p>
        </w:tc>
        <w:tc>
          <w:tcPr>
            <w:tcW w:w="3690" w:type="dxa"/>
          </w:tcPr>
          <w:p>
            <w:pPr>
              <w:pStyle w:val="Compact"/>
              <w:jc w:val="left"/>
            </w:pPr>
            <w:r>
              <w:rPr>
                <w:sz w:val="18"/>
              </w:rPr>
              <w:t xml:space="preserve">Many Vermont rural practices operate with small teams where physician or APRN does work that should be delegated. Role definition requires workflow redesign, not just policy writing.</w:t>
            </w:r>
          </w:p>
        </w:tc>
      </w:tr>
      <w:tr>
        <w:trPr/>
        <w:tc>
          <w:tcPr>
            <w:tcW w:w="1905" w:type="dxa"/>
          </w:tcPr>
          <w:p>
            <w:pPr>
              <w:pStyle w:val="Compact"/>
              <w:jc w:val="left"/>
            </w:pPr>
            <w:r>
              <w:rPr>
                <w:sz w:val="18"/>
              </w:rPr>
              <w:t xml:space="preserve">Knowing and Managing Your Patients</w:t>
            </w:r>
          </w:p>
        </w:tc>
        <w:tc>
          <w:tcPr>
            <w:tcW w:w="3465" w:type="dxa"/>
          </w:tcPr>
          <w:p>
            <w:pPr>
              <w:pStyle w:val="Compact"/>
              <w:jc w:val="left"/>
            </w:pPr>
            <w:r>
              <w:rPr>
                <w:sz w:val="18"/>
              </w:rPr>
              <w:t xml:space="preserve">Comprehensive patient data collection; population management using a registry; proactive outreach for preventive and chronic care; stratification by risk level</w:t>
            </w:r>
          </w:p>
        </w:tc>
        <w:tc>
          <w:tcPr>
            <w:tcW w:w="3690" w:type="dxa"/>
          </w:tcPr>
          <w:p>
            <w:pPr>
              <w:pStyle w:val="Compact"/>
              <w:jc w:val="left"/>
            </w:pPr>
            <w:r>
              <w:rPr>
                <w:sz w:val="18"/>
              </w:rPr>
              <w:t xml:space="preserve">Registry-based proactive outreach requires data infrastructure most small practices lack. Blueprint field staff and VITL connection are the Vermont-specific support infrastructure.</w:t>
            </w:r>
          </w:p>
        </w:tc>
      </w:tr>
      <w:tr>
        <w:trPr/>
        <w:tc>
          <w:tcPr>
            <w:tcW w:w="1905" w:type="dxa"/>
          </w:tcPr>
          <w:p>
            <w:pPr>
              <w:pStyle w:val="Compact"/>
              <w:jc w:val="left"/>
            </w:pPr>
            <w:r>
              <w:rPr>
                <w:sz w:val="18"/>
              </w:rPr>
              <w:t xml:space="preserve">Patient-Centered Access and Continuity</w:t>
            </w:r>
          </w:p>
        </w:tc>
        <w:tc>
          <w:tcPr>
            <w:tcW w:w="3465" w:type="dxa"/>
          </w:tcPr>
          <w:p>
            <w:pPr>
              <w:pStyle w:val="Compact"/>
              <w:jc w:val="left"/>
            </w:pPr>
            <w:r>
              <w:rPr>
                <w:sz w:val="18"/>
              </w:rPr>
              <w:t xml:space="preserve">Same-day appointments for urgent needs; 24/7 access for patient advice; continuity with personal physician; timely communication response</w:t>
            </w:r>
          </w:p>
        </w:tc>
        <w:tc>
          <w:tcPr>
            <w:tcW w:w="3690" w:type="dxa"/>
          </w:tcPr>
          <w:p>
            <w:pPr>
              <w:pStyle w:val="Compact"/>
              <w:jc w:val="left"/>
            </w:pPr>
            <w:r>
              <w:rPr>
                <w:sz w:val="18"/>
              </w:rPr>
              <w:t xml:space="preserve">After-hours access is the most operationally challenging requirement for small rural practices. After-hours telephone advice lines are a shared service solution.</w:t>
            </w:r>
          </w:p>
        </w:tc>
      </w:tr>
      <w:tr>
        <w:trPr/>
        <w:tc>
          <w:tcPr>
            <w:tcW w:w="1905" w:type="dxa"/>
          </w:tcPr>
          <w:p>
            <w:pPr>
              <w:pStyle w:val="Compact"/>
              <w:jc w:val="left"/>
            </w:pPr>
            <w:r>
              <w:rPr>
                <w:sz w:val="18"/>
              </w:rPr>
              <w:t xml:space="preserve">Care Management and Support</w:t>
            </w:r>
          </w:p>
        </w:tc>
        <w:tc>
          <w:tcPr>
            <w:tcW w:w="3465" w:type="dxa"/>
          </w:tcPr>
          <w:p>
            <w:pPr>
              <w:pStyle w:val="Compact"/>
              <w:jc w:val="left"/>
            </w:pPr>
            <w:r>
              <w:rPr>
                <w:sz w:val="18"/>
              </w:rPr>
              <w:t xml:space="preserve">Systematic identification of patients for care management; care plans for high-risk patients; SDOH screening and connection to resources; care coordination across providers and settings</w:t>
            </w:r>
          </w:p>
        </w:tc>
        <w:tc>
          <w:tcPr>
            <w:tcW w:w="3690" w:type="dxa"/>
          </w:tcPr>
          <w:p>
            <w:pPr>
              <w:pStyle w:val="Compact"/>
              <w:jc w:val="left"/>
            </w:pPr>
            <w:r>
              <w:rPr>
                <w:sz w:val="18"/>
              </w:rPr>
              <w:t xml:space="preserve">CHT staff provide much of this function in Vermont’s Blueprint model; the PCMH practice need not hire all care management staff internally if CHT connection is established.</w:t>
            </w:r>
          </w:p>
        </w:tc>
      </w:tr>
      <w:tr>
        <w:trPr/>
        <w:tc>
          <w:tcPr>
            <w:tcW w:w="1905" w:type="dxa"/>
          </w:tcPr>
          <w:p>
            <w:pPr>
              <w:pStyle w:val="Compact"/>
              <w:jc w:val="left"/>
            </w:pPr>
            <w:r>
              <w:rPr>
                <w:sz w:val="18"/>
              </w:rPr>
              <w:t xml:space="preserve">Care Coordination and Care Transitions</w:t>
            </w:r>
          </w:p>
        </w:tc>
        <w:tc>
          <w:tcPr>
            <w:tcW w:w="3465" w:type="dxa"/>
          </w:tcPr>
          <w:p>
            <w:pPr>
              <w:pStyle w:val="Compact"/>
              <w:jc w:val="left"/>
            </w:pPr>
            <w:r>
              <w:rPr>
                <w:sz w:val="18"/>
              </w:rPr>
              <w:t xml:space="preserve">Timely follow-up after hospital discharge; medication reconciliation; coordination with specialists and behavioral health; referral tracking and closing the loop</w:t>
            </w:r>
          </w:p>
        </w:tc>
        <w:tc>
          <w:tcPr>
            <w:tcW w:w="3690" w:type="dxa"/>
          </w:tcPr>
          <w:p>
            <w:pPr>
              <w:pStyle w:val="Compact"/>
              <w:jc w:val="left"/>
            </w:pPr>
            <w:r>
              <w:rPr>
                <w:sz w:val="18"/>
              </w:rPr>
              <w:t xml:space="preserve">30-day follow-up after behavioral health hospitalization — Vermont’s 76% rate — is a care coordination failure. PCMH recognition requires the systems to catch and follow up with discharged patients.</w:t>
            </w:r>
          </w:p>
        </w:tc>
      </w:tr>
      <w:tr>
        <w:trPr>
          <w:cantSplit/>
        </w:trPr>
        <w:tc>
          <w:tcPr>
            <w:tcW w:w="1905" w:type="dxa"/>
          </w:tcPr>
          <w:p>
            <w:pPr>
              <w:pStyle w:val="Compact"/>
              <w:jc w:val="left"/>
            </w:pPr>
            <w:r>
              <w:rPr>
                <w:sz w:val="18"/>
              </w:rPr>
              <w:t xml:space="preserve">Performance Measurement and Quality Improvement</w:t>
            </w:r>
          </w:p>
        </w:tc>
        <w:tc>
          <w:tcPr>
            <w:tcW w:w="3465" w:type="dxa"/>
          </w:tcPr>
          <w:p>
            <w:pPr>
              <w:pStyle w:val="Compact"/>
              <w:jc w:val="left"/>
            </w:pPr>
            <w:r>
              <w:rPr>
                <w:sz w:val="18"/>
              </w:rPr>
              <w:t xml:space="preserve">Systematic data collection on quality measures; regular quality improvement activities; use of patient experience data; reporting on clinical quality and utilization outcomes</w:t>
            </w:r>
          </w:p>
        </w:tc>
        <w:tc>
          <w:tcPr>
            <w:tcW w:w="3690" w:type="dxa"/>
          </w:tcPr>
          <w:p>
            <w:pPr>
              <w:pStyle w:val="Compact"/>
              <w:jc w:val="left"/>
            </w:pPr>
            <w:r>
              <w:rPr>
                <w:sz w:val="18"/>
              </w:rPr>
              <w:t xml:space="preserve">Requires data infrastructure and staff capacity for measurement. Blueprint HEDIS support and GMCB analytics vendor are Vermont’s support infrastructure.</w:t>
            </w:r>
          </w:p>
        </w:tc>
      </w:tr>
    </w:tbl>
    <w:p>
      <w:pPr>
        <w:pStyle w:val="Caption"/>
        <w:spacing w:before="120"/>
      </w:pPr>
      <w:r>
        <w:rPr>
          <w:i/>
          <w:iCs/>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Heading3"/>
      </w:pPr>
      <w:r>
        <w:rPr>
          <w:color w:val="161B22"/>
        </w:rPr>
        <w:t xml:space="preserve">9.2.2  </w:t>
      </w:r>
      <w:bookmarkStart w:id="1255" w:name="_Toc1254"/>
      <w:r>
        <w:rPr>
          <w:b/>
          <w:bCs/>
          <w:color w:val="161B22"/>
        </w:rPr>
        <w:t xml:space="preserve">The Blueprint Field Staff Model — Vermont’s Practice Transformation Infrastructure</w:t>
      </w:r>
      <w:bookmarkEnd w:id="1255"/>
    </w:p>
    <w:p>
      <w:pPr>
        <w:pStyle w:val="FirstParagraph"/>
      </w:pPr>
      <w:r>
        <w:t xml:space="preserve">Vermont’s Blueprint program provides something that most states’ primary care transformation initiatives do not: dedicated field staff whose full-time job is supporting practice transformation. Each of Vermont’s 14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pPr>
        <w:pStyle w:val="BodyText"/>
      </w:pPr>
      <w: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AHEAD transition support — helping practices navigate the transition from current Blueprint Medicare payment to Primary Care AHEAD — is the most operationally significant clinical program transition Vermont’s primary care system faces.</w:t>
      </w:r>
    </w:p>
    <w:p>
      <w:pPr>
        <w:pStyle w:val="BodyText"/>
      </w:pPr>
      <w:r>
        <w:t xml:space="preserve">This field staff model is a Blueprint competitive advantage that AHS and DVHA must protect through the AHEAD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pPr>
        <w:pStyle w:val="Heading3"/>
      </w:pPr>
      <w:r>
        <w:rPr>
          <w:color w:val="161B22"/>
        </w:rPr>
        <w:t xml:space="preserve">9.2.3  </w:t>
      </w:r>
      <w:bookmarkStart w:id="1256" w:name="_Toc1255"/>
      <w:r>
        <w:rPr>
          <w:b/>
          <w:bCs/>
          <w:color w:val="161B22"/>
        </w:rPr>
        <w:t xml:space="preserve">The Practice Panel: Right-Sizing and Risk Stratification</w:t>
      </w:r>
      <w:bookmarkEnd w:id="1256"/>
    </w:p>
    <w:p>
      <w:pPr>
        <w:pStyle w:val="FirstParagraph"/>
      </w:pPr>
      <w:r>
        <w:t xml:space="preserve">Effective population health management begins with knowing who is on the panel and what they need. Vermont’s Blueprint practices operate with attributed patient panels — lists of patients for whom the practice is clinically and financially accountable under Blueprint and AHEAD. The operational work of panel management is the foundation of everything else.</w:t>
      </w:r>
    </w:p>
    <w:p>
      <w:pPr>
        <w:pStyle w:val="BodyText"/>
        <w:keepNext w:val="false"/>
      </w:pPr>
      <w: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pPr>
        <w:pStyle w:val="BodyText"/>
        <w:keepNext w:val="false"/>
      </w:pPr>
      <w: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sufficient to fully fund a half-time care coordinator position and produce net positive ROI under any VBC arrangement.</w:t>
      </w:r>
    </w:p>
    <w:tbl>
      <w:tblPr>
        <w:tblStyle w:val="HTRTable"/>
        <w:tblLook w:firstRow="1" w:lastRow="0" w:firstColumn="0" w:lastColumn="0" w:noHBand="0" w:noVBand="1" w:val="0020"/>
        <w:tblW w:w="9072" w:type="dxa"/>
        <w:tblLayout w:type="fixed"/>
      </w:tblPr>
      <w:tblGrid>
        <w:gridCol w:w="990"/>
        <w:gridCol w:w="750"/>
        <w:gridCol w:w="3435"/>
        <w:gridCol w:w="3915"/>
      </w:tblGrid>
      <w:tr>
        <w:trPr>
          <w:tblHeader w:val="on"/>
          <w:cantSplit/>
        </w:trPr>
        <w:tc>
          <w:tcPr>
            <w:shd w:val="clear" w:color="auto" w:fill="1B3A6B"/>
            <w:tcW w:w="990" w:type="dxa"/>
          </w:tcPr>
          <w:p>
            <w:pPr>
              <w:pStyle w:val="Compact"/>
              <w:jc w:val="left"/>
            </w:pPr>
            <w:r>
              <w:rPr>
                <w:b/>
                <w:color w:val="FFFFFF"/>
                <w:sz w:val="18"/>
              </w:rPr>
              <w:t xml:space="preserve">Tier</w:t>
            </w:r>
          </w:p>
        </w:tc>
        <w:tc>
          <w:tcPr>
            <w:shd w:val="clear" w:color="auto" w:fill="1B3A6B"/>
            <w:tcW w:w="750" w:type="dxa"/>
          </w:tcPr>
          <w:p>
            <w:pPr>
              <w:pStyle w:val="Compact"/>
              <w:jc w:val="left"/>
            </w:pPr>
            <w:r>
              <w:rPr>
                <w:b/>
                <w:color w:val="FFFFFF"/>
                <w:sz w:val="18"/>
              </w:rPr>
              <w:t xml:space="preserve">% of Panel</w:t>
            </w:r>
          </w:p>
        </w:tc>
        <w:tc>
          <w:tcPr>
            <w:shd w:val="clear" w:color="auto" w:fill="1B3A6B"/>
            <w:tcW w:w="3435" w:type="dxa"/>
          </w:tcPr>
          <w:p>
            <w:pPr>
              <w:pStyle w:val="Compact"/>
              <w:jc w:val="left"/>
            </w:pPr>
            <w:r>
              <w:rPr>
                <w:b/>
                <w:color w:val="FFFFFF"/>
                <w:sz w:val="18"/>
              </w:rPr>
              <w:t xml:space="preserve">Characteristics</w:t>
            </w:r>
          </w:p>
        </w:tc>
        <w:tc>
          <w:tcPr>
            <w:shd w:val="clear" w:color="auto" w:fill="1B3A6B"/>
            <w:tcW w:w="3915" w:type="dxa"/>
          </w:tcPr>
          <w:p>
            <w:pPr>
              <w:pStyle w:val="Compact"/>
              <w:jc w:val="left"/>
            </w:pPr>
            <w:r>
              <w:rPr>
                <w:b/>
                <w:color w:val="FFFFFF"/>
                <w:sz w:val="18"/>
              </w:rPr>
              <w:t xml:space="preserve">Care Model</w:t>
            </w:r>
          </w:p>
        </w:tc>
      </w:tr>
      <w:tr>
        <w:trPr>
          <w:cantSplit/>
        </w:trPr>
        <w:tc>
          <w:tcPr>
            <w:tcW w:w="990" w:type="dxa"/>
          </w:tcPr>
          <w:p>
            <w:pPr>
              <w:pStyle w:val="Compact"/>
              <w:jc w:val="left"/>
            </w:pPr>
            <w:r>
              <w:rPr>
                <w:sz w:val="18"/>
              </w:rPr>
              <w:t xml:space="preserve">Tier 1 — Complex</w:t>
            </w:r>
          </w:p>
        </w:tc>
        <w:tc>
          <w:tcPr>
            <w:tcW w:w="750" w:type="dxa"/>
          </w:tcPr>
          <w:p>
            <w:pPr>
              <w:pStyle w:val="Compact"/>
              <w:jc w:val="left"/>
            </w:pPr>
            <w:r>
              <w:rPr>
                <w:sz w:val="18"/>
              </w:rPr>
              <w:t xml:space="preserve">3-5%</w:t>
            </w:r>
          </w:p>
        </w:tc>
        <w:tc>
          <w:tcPr>
            <w:tcW w:w="3435" w:type="dxa"/>
          </w:tcPr>
          <w:p>
            <w:pPr>
              <w:pStyle w:val="Compact"/>
              <w:jc w:val="left"/>
            </w:pPr>
            <w:r>
              <w:rPr>
                <w:sz w:val="18"/>
              </w:rPr>
              <w:t xml:space="preserve">Multiple chronic conditions, high prior utilization, behavioral health and SDOH needs, frailty</w:t>
            </w:r>
          </w:p>
        </w:tc>
        <w:tc>
          <w:tcPr>
            <w:tcW w:w="3915" w:type="dxa"/>
          </w:tcPr>
          <w:p>
            <w:pPr>
              <w:pStyle w:val="Compact"/>
              <w:jc w:val="left"/>
            </w:pPr>
            <w:r>
              <w:rPr>
                <w:sz w:val="18"/>
              </w:rPr>
              <w:t xml:space="preserve">Intensive care management: CHT assignment, care plan, regular outreach, direct care manager relationship</w:t>
            </w:r>
          </w:p>
        </w:tc>
      </w:tr>
      <w:tr>
        <w:trPr/>
        <w:tc>
          <w:tcPr>
            <w:tcW w:w="990" w:type="dxa"/>
          </w:tcPr>
          <w:p>
            <w:pPr>
              <w:pStyle w:val="Compact"/>
              <w:jc w:val="left"/>
            </w:pPr>
            <w:r>
              <w:rPr>
                <w:sz w:val="18"/>
              </w:rPr>
              <w:t xml:space="preserve">Tier 2 — Moderate Risk</w:t>
            </w:r>
          </w:p>
        </w:tc>
        <w:tc>
          <w:tcPr>
            <w:tcW w:w="750" w:type="dxa"/>
          </w:tcPr>
          <w:p>
            <w:pPr>
              <w:pStyle w:val="Compact"/>
              <w:jc w:val="left"/>
            </w:pPr>
            <w:r>
              <w:rPr>
                <w:sz w:val="18"/>
              </w:rPr>
              <w:t xml:space="preserve">15-20%</w:t>
            </w:r>
          </w:p>
        </w:tc>
        <w:tc>
          <w:tcPr>
            <w:tcW w:w="3435" w:type="dxa"/>
          </w:tcPr>
          <w:p>
            <w:pPr>
              <w:pStyle w:val="Compact"/>
              <w:jc w:val="left"/>
            </w:pPr>
            <w:r>
              <w:rPr>
                <w:sz w:val="18"/>
              </w:rPr>
              <w:t xml:space="preserve">One or two chronic conditions with management challenges, behavioral health needs, recent hospitalization or ED visit</w:t>
            </w:r>
          </w:p>
        </w:tc>
        <w:tc>
          <w:tcPr>
            <w:tcW w:w="3915" w:type="dxa"/>
          </w:tcPr>
          <w:p>
            <w:pPr>
              <w:pStyle w:val="Compact"/>
              <w:jc w:val="left"/>
            </w:pPr>
            <w:r>
              <w:rPr>
                <w:sz w:val="18"/>
              </w:rPr>
              <w:t xml:space="preserve">Proactive chronic disease management: care gap outreach, behavioral health integration, medication management</w:t>
            </w:r>
          </w:p>
        </w:tc>
      </w:tr>
      <w:tr>
        <w:trPr/>
        <w:tc>
          <w:tcPr>
            <w:tcW w:w="990" w:type="dxa"/>
          </w:tcPr>
          <w:p>
            <w:pPr>
              <w:pStyle w:val="Compact"/>
              <w:jc w:val="left"/>
            </w:pPr>
            <w:r>
              <w:rPr>
                <w:sz w:val="18"/>
              </w:rPr>
              <w:t xml:space="preserve">Tier 3 — Standard</w:t>
            </w:r>
          </w:p>
        </w:tc>
        <w:tc>
          <w:tcPr>
            <w:tcW w:w="750" w:type="dxa"/>
          </w:tcPr>
          <w:p>
            <w:pPr>
              <w:pStyle w:val="Compact"/>
              <w:jc w:val="left"/>
            </w:pPr>
            <w:r>
              <w:rPr>
                <w:sz w:val="18"/>
              </w:rPr>
              <w:t xml:space="preserve">50-60%</w:t>
            </w:r>
          </w:p>
        </w:tc>
        <w:tc>
          <w:tcPr>
            <w:tcW w:w="3435" w:type="dxa"/>
          </w:tcPr>
          <w:p>
            <w:pPr>
              <w:pStyle w:val="Compact"/>
              <w:jc w:val="left"/>
            </w:pPr>
            <w:r>
              <w:rPr>
                <w:sz w:val="18"/>
              </w:rPr>
              <w:t xml:space="preserve">Healthy or stable chronic conditions, routine preventive needs</w:t>
            </w:r>
          </w:p>
        </w:tc>
        <w:tc>
          <w:tcPr>
            <w:tcW w:w="3915" w:type="dxa"/>
          </w:tcPr>
          <w:p>
            <w:pPr>
              <w:pStyle w:val="Compact"/>
              <w:jc w:val="left"/>
            </w:pPr>
            <w:r>
              <w:rPr>
                <w:sz w:val="18"/>
              </w:rPr>
              <w:t xml:space="preserve">Preventive care: annual wellness visit, immunizations, screening, health coaching</w:t>
            </w:r>
          </w:p>
        </w:tc>
      </w:tr>
      <w:tr>
        <w:trPr>
          <w:cantSplit/>
        </w:trPr>
        <w:tc>
          <w:tcPr>
            <w:tcW w:w="990" w:type="dxa"/>
          </w:tcPr>
          <w:p>
            <w:pPr>
              <w:pStyle w:val="Compact"/>
              <w:jc w:val="left"/>
            </w:pPr>
            <w:r>
              <w:rPr>
                <w:sz w:val="18"/>
              </w:rPr>
              <w:t xml:space="preserve">Tier 4 — Inactive</w:t>
            </w:r>
          </w:p>
        </w:tc>
        <w:tc>
          <w:tcPr>
            <w:tcW w:w="750" w:type="dxa"/>
          </w:tcPr>
          <w:p>
            <w:pPr>
              <w:pStyle w:val="Compact"/>
              <w:jc w:val="left"/>
            </w:pPr>
            <w:r>
              <w:rPr>
                <w:sz w:val="18"/>
              </w:rPr>
              <w:t xml:space="preserve">20-30%</w:t>
            </w:r>
          </w:p>
        </w:tc>
        <w:tc>
          <w:tcPr>
            <w:tcW w:w="3435" w:type="dxa"/>
          </w:tcPr>
          <w:p>
            <w:pPr>
              <w:pStyle w:val="Compact"/>
              <w:jc w:val="left"/>
            </w:pPr>
            <w:r>
              <w:rPr>
                <w:sz w:val="18"/>
              </w:rPr>
              <w:t xml:space="preserve">Attributed but not engaged with practice; may be accessing care elsewhere or not at all</w:t>
            </w:r>
          </w:p>
        </w:tc>
        <w:tc>
          <w:tcPr>
            <w:tcW w:w="3915" w:type="dxa"/>
          </w:tcPr>
          <w:p>
            <w:pPr>
              <w:pStyle w:val="Compact"/>
              <w:jc w:val="left"/>
            </w:pPr>
            <w:r>
              <w:rPr>
                <w:sz w:val="18"/>
              </w:rPr>
              <w:t xml:space="preserve">Outreach and re-engagement: targeted contact campaigns, open access scheduling, community health worker outreach</w:t>
            </w:r>
          </w:p>
        </w:tc>
      </w:tr>
    </w:tbl>
    <w:p>
      <w:pPr>
        <w:pStyle w:val="Caption"/>
        <w:keepNext/>
        <w:spacing w:before="120"/>
      </w:pPr>
      <w:r>
        <w:rPr>
          <w:i/>
          <w:iCs/>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p>
        </w:tc>
      </w:tr>
    </w:tbl>
    <w:p>
      <w:pPr>
        <w:spacing w:after="120"/>
      </w:pPr>
    </w:p>
    <w:p>
      <w:pPr>
        <w:pStyle w:val="Heading2"/>
        <w:pBdr>
          <w:top w:val="single" w:sz="6" w:space="10" w:color="C9D2DF"/>
        </w:pBdr>
      </w:pPr>
      <w:r>
        <w:rPr>
          <w:color w:val="161B22"/>
        </w:rPr>
        <w:t xml:space="preserve">9.3  </w:t>
      </w:r>
      <w:bookmarkStart w:id="1257" w:name="_Toc1256"/>
      <w:r>
        <w:rPr>
          <w:b/>
          <w:bCs/>
          <w:color w:val="161B22"/>
        </w:rPr>
        <w:t xml:space="preserve">Deploying the Collaborative Care Model — Operational Requirements</w:t>
      </w:r>
      <w:bookmarkEnd w:id="1257"/>
    </w:p>
    <w:p>
      <w:pPr>
        <w:pStyle w:val="Heading3"/>
      </w:pPr>
      <w:r>
        <w:rPr>
          <w:color w:val="161B22"/>
        </w:rPr>
        <w:t xml:space="preserve">9.3.1  </w:t>
      </w:r>
      <w:bookmarkStart w:id="1258" w:name="_Toc1257"/>
      <w:r>
        <w:rPr>
          <w:b/>
          <w:bCs/>
          <w:color w:val="161B22"/>
        </w:rPr>
        <w:t xml:space="preserve">Site Readiness Assessment</w:t>
      </w:r>
      <w:bookmarkEnd w:id="1258"/>
    </w:p>
    <w:p>
      <w:pPr>
        <w:pStyle w:val="FirstParagraph"/>
      </w:pPr>
      <w: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pPr>
        <w:pStyle w:val="BodyText"/>
      </w:pPr>
      <w: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pPr>
        <w:pStyle w:val="BodyText"/>
      </w:pPr>
      <w: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pPr>
        <w:pStyle w:val="Heading3"/>
      </w:pPr>
      <w:r>
        <w:rPr>
          <w:color w:val="161B22"/>
        </w:rPr>
        <w:t xml:space="preserve">9.3.2  </w:t>
      </w:r>
      <w:bookmarkStart w:id="1259" w:name="_Toc1258"/>
      <w:r>
        <w:rPr>
          <w:b/>
          <w:bCs/>
          <w:color w:val="161B22"/>
        </w:rPr>
        <w:t xml:space="preserve">The Psychiatric Consultation Model — Vermont’s Workforce Solution</w:t>
      </w:r>
      <w:bookmarkEnd w:id="1259"/>
    </w:p>
    <w:p>
      <w:pPr>
        <w:pStyle w:val="FirstParagraph"/>
      </w:pPr>
      <w: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pPr>
        <w:pStyle w:val="BodyText"/>
      </w:pPr>
      <w: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pPr>
        <w:pStyle w:val="Heading3"/>
      </w:pPr>
      <w:r>
        <w:rPr>
          <w:color w:val="161B22"/>
        </w:rPr>
        <w:t xml:space="preserve">9.3.3  </w:t>
      </w:r>
      <w:bookmarkStart w:id="1260" w:name="_Toc1259"/>
      <w:r>
        <w:rPr>
          <w:b/>
          <w:bCs/>
          <w:color w:val="161B22"/>
        </w:rPr>
        <w:t xml:space="preserve">The BHCM Workforce Pipeline</w:t>
      </w:r>
      <w:bookmarkEnd w:id="1260"/>
    </w:p>
    <w:p>
      <w:pPr>
        <w:pStyle w:val="FirstParagraph"/>
        <w:keepNext w:val="false"/>
      </w:pPr>
      <w: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pPr>
        <w:pStyle w:val="BodyText"/>
        <w:keepNext w:val="false"/>
      </w:pPr>
      <w: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tbl>
      <w:tblPr>
        <w:tblStyle w:val="HTRTable"/>
        <w:tblLook w:firstRow="1" w:lastRow="0" w:firstColumn="0" w:lastColumn="0" w:noHBand="0" w:noVBand="1" w:val="0020"/>
        <w:tblW w:w="9072" w:type="dxa"/>
        <w:tblLayout w:type="fixed"/>
      </w:tblPr>
      <w:tblGrid>
        <w:gridCol w:w="1650"/>
        <w:gridCol w:w="1260"/>
        <w:gridCol w:w="2925"/>
        <w:gridCol w:w="3225"/>
      </w:tblGrid>
      <w:tr>
        <w:trPr>
          <w:tblHeader w:val="on"/>
          <w:cantSplit/>
        </w:trPr>
        <w:tc>
          <w:tcPr>
            <w:shd w:val="clear" w:color="auto" w:fill="1B3A6B"/>
            <w:tcW w:w="1650" w:type="dxa"/>
          </w:tcPr>
          <w:p>
            <w:pPr>
              <w:pStyle w:val="Compact"/>
              <w:jc w:val="left"/>
            </w:pPr>
            <w:r>
              <w:rPr>
                <w:b/>
                <w:color w:val="FFFFFF"/>
                <w:sz w:val="18"/>
              </w:rPr>
              <w:t xml:space="preserve">CoCM Component</w:t>
            </w:r>
          </w:p>
        </w:tc>
        <w:tc>
          <w:tcPr>
            <w:shd w:val="clear" w:color="auto" w:fill="1B3A6B"/>
            <w:tcW w:w="1260" w:type="dxa"/>
          </w:tcPr>
          <w:p>
            <w:pPr>
              <w:pStyle w:val="Compact"/>
              <w:jc w:val="left"/>
            </w:pPr>
            <w:r>
              <w:rPr>
                <w:b/>
                <w:color w:val="FFFFFF"/>
                <w:sz w:val="18"/>
              </w:rPr>
              <w:t xml:space="preserve">Role</w:t>
            </w:r>
          </w:p>
        </w:tc>
        <w:tc>
          <w:tcPr>
            <w:shd w:val="clear" w:color="auto" w:fill="1B3A6B"/>
            <w:tcW w:w="2925" w:type="dxa"/>
          </w:tcPr>
          <w:p>
            <w:pPr>
              <w:pStyle w:val="Compact"/>
              <w:jc w:val="left"/>
            </w:pPr>
            <w:r>
              <w:rPr>
                <w:b/>
                <w:color w:val="FFFFFF"/>
                <w:sz w:val="18"/>
              </w:rPr>
              <w:t xml:space="preserve">What they do</w:t>
            </w:r>
          </w:p>
        </w:tc>
        <w:tc>
          <w:tcPr>
            <w:shd w:val="clear" w:color="auto" w:fill="1B3A6B"/>
            <w:tcW w:w="3225" w:type="dxa"/>
          </w:tcPr>
          <w:p>
            <w:pPr>
              <w:pStyle w:val="Compact"/>
              <w:jc w:val="left"/>
            </w:pPr>
            <w:r>
              <w:rPr>
                <w:b/>
                <w:color w:val="FFFFFF"/>
                <w:sz w:val="18"/>
              </w:rPr>
              <w:t xml:space="preserve">Vermont application</w:t>
            </w:r>
          </w:p>
        </w:tc>
      </w:tr>
      <w:tr>
        <w:trPr>
          <w:cantSplit/>
        </w:trPr>
        <w:tc>
          <w:tcPr>
            <w:tcW w:w="1650" w:type="dxa"/>
          </w:tcPr>
          <w:p>
            <w:pPr>
              <w:pStyle w:val="Compact"/>
              <w:jc w:val="left"/>
            </w:pPr>
            <w:r>
              <w:rPr>
                <w:sz w:val="18"/>
              </w:rPr>
              <w:t xml:space="preserve">Primary Care Provider (PCP)</w:t>
            </w:r>
          </w:p>
        </w:tc>
        <w:tc>
          <w:tcPr>
            <w:tcW w:w="1260" w:type="dxa"/>
          </w:tcPr>
          <w:p>
            <w:pPr>
              <w:pStyle w:val="Compact"/>
              <w:jc w:val="left"/>
            </w:pPr>
            <w:r>
              <w:rPr>
                <w:sz w:val="18"/>
              </w:rPr>
              <w:t xml:space="preserve">Treating and billing provider</w:t>
            </w:r>
          </w:p>
        </w:tc>
        <w:tc>
          <w:tcPr>
            <w:tcW w:w="2925" w:type="dxa"/>
          </w:tcPr>
          <w:p>
            <w:pPr>
              <w:pStyle w:val="Compact"/>
              <w:jc w:val="left"/>
            </w:pPr>
            <w:r>
              <w:rPr>
                <w:sz w:val="18"/>
              </w:rPr>
              <w:t xml:space="preserve">Identifies patients through validated screening (PHQ-9, GAD-7); refers to BHCM; provides warm handoffs; bills CoCM codes monthly</w:t>
            </w:r>
          </w:p>
        </w:tc>
        <w:tc>
          <w:tcPr>
            <w:tcW w:w="3225" w:type="dxa"/>
          </w:tcPr>
          <w:p>
            <w:pPr>
              <w:pStyle w:val="Compact"/>
              <w:jc w:val="left"/>
            </w:pPr>
            <w:r>
              <w:rPr>
                <w:sz w:val="18"/>
              </w:rPr>
              <w:t xml:space="preserve">Blueprint PCMH practices are the natural CoCM deployment sites — they already have the population management infrastructure and quality reporting that CoCM requires</w:t>
            </w:r>
          </w:p>
        </w:tc>
      </w:tr>
      <w:tr>
        <w:trPr/>
        <w:tc>
          <w:tcPr>
            <w:tcW w:w="1650" w:type="dxa"/>
          </w:tcPr>
          <w:p>
            <w:pPr>
              <w:pStyle w:val="Compact"/>
              <w:jc w:val="left"/>
            </w:pPr>
            <w:r>
              <w:rPr>
                <w:sz w:val="18"/>
              </w:rPr>
              <w:t xml:space="preserve">Behavioral Health Care Manager (BHCM)</w:t>
            </w:r>
          </w:p>
        </w:tc>
        <w:tc>
          <w:tcPr>
            <w:tcW w:w="1260" w:type="dxa"/>
          </w:tcPr>
          <w:p>
            <w:pPr>
              <w:pStyle w:val="Compact"/>
              <w:jc w:val="left"/>
            </w:pPr>
            <w:r>
              <w:rPr>
                <w:sz w:val="18"/>
              </w:rPr>
              <w:t xml:space="preserve">Day-to-day care coordinator</w:t>
            </w:r>
          </w:p>
        </w:tc>
        <w:tc>
          <w:tcPr>
            <w:tcW w:w="2925" w:type="dxa"/>
          </w:tcPr>
          <w:p>
            <w:pPr>
              <w:pStyle w:val="Compact"/>
              <w:jc w:val="left"/>
            </w:pPr>
            <w:r>
              <w:rPr>
                <w:sz w:val="18"/>
              </w:rPr>
              <w:t xml:space="preserve">Maintains patient registry; provides brief interventions; monitors treatment response with validated rating scales; escalates to psychiatric consultant as needed; coordinates with community resources</w:t>
            </w:r>
          </w:p>
        </w:tc>
        <w:tc>
          <w:tcPr>
            <w:tcW w:w="3225" w:type="dxa"/>
          </w:tcPr>
          <w:p>
            <w:pPr>
              <w:pStyle w:val="Compact"/>
              <w:jc w:val="left"/>
            </w:pPr>
            <w:r>
              <w:rPr>
                <w:sz w:val="18"/>
              </w:rPr>
              <w:t xml:space="preserve">MHI pilot found 80% of administrative entities increased CHT staffing — CHT staff are the natural BHCM pool; sustainability challenge when pilot funding ends</w:t>
            </w:r>
          </w:p>
        </w:tc>
      </w:tr>
      <w:tr>
        <w:trPr>
          <w:cantSplit/>
        </w:trPr>
        <w:tc>
          <w:tcPr>
            <w:tcW w:w="1650" w:type="dxa"/>
          </w:tcPr>
          <w:p>
            <w:pPr>
              <w:pStyle w:val="Compact"/>
              <w:jc w:val="left"/>
            </w:pPr>
            <w:r>
              <w:rPr>
                <w:sz w:val="18"/>
              </w:rPr>
              <w:t xml:space="preserve">Psychiatric Consultant</w:t>
            </w:r>
          </w:p>
        </w:tc>
        <w:tc>
          <w:tcPr>
            <w:tcW w:w="1260" w:type="dxa"/>
          </w:tcPr>
          <w:p>
            <w:pPr>
              <w:pStyle w:val="Compact"/>
              <w:jc w:val="left"/>
            </w:pPr>
            <w:r>
              <w:rPr>
                <w:sz w:val="18"/>
              </w:rPr>
              <w:t xml:space="preserve">Clinical supervision</w:t>
            </w:r>
          </w:p>
        </w:tc>
        <w:tc>
          <w:tcPr>
            <w:tcW w:w="2925" w:type="dxa"/>
          </w:tcPr>
          <w:p>
            <w:pPr>
              <w:pStyle w:val="Compact"/>
              <w:jc w:val="left"/>
            </w:pPr>
            <w:r>
              <w:rPr>
                <w:sz w:val="18"/>
              </w:rPr>
              <w:t xml:space="preserve">Regular case review with BHCM; consultation on treatment recommendations; direct care for highest-acuity cases; not the primary provider for most CoCM patients</w:t>
            </w:r>
          </w:p>
        </w:tc>
        <w:tc>
          <w:tcPr>
            <w:tcW w:w="3225" w:type="dxa"/>
          </w:tcPr>
          <w:p>
            <w:pPr>
              <w:pStyle w:val="Compact"/>
              <w:jc w:val="left"/>
            </w:pPr>
            <w:r>
              <w:rPr>
                <w:sz w:val="18"/>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spacing w:before="120"/>
      </w:pPr>
      <w:r>
        <w:rPr>
          <w:i/>
          <w:iCs/>
        </w:rPr>
        <w:t xml:space="preserve">Figure 9.3 — Collaborative Care Model components and Vermont application. Sources: SAMHSA CoCM program; CMS Behavioral Health Integration Services (January 2026); Vermont MHI Pilot Evaluation (2025).</w:t>
      </w:r>
    </w:p>
    <w:p>
      <w:pPr>
        <w:pStyle w:val="Heading2"/>
        <w:pBdr>
          <w:top w:val="single" w:sz="6" w:space="10" w:color="C9D2DF"/>
        </w:pBdr>
      </w:pPr>
      <w:r>
        <w:rPr>
          <w:color w:val="161B22"/>
        </w:rPr>
        <w:t xml:space="preserve">9.4  </w:t>
      </w:r>
      <w:bookmarkStart w:id="1261" w:name="_Toc1260"/>
      <w:r>
        <w:rPr>
          <w:b/>
          <w:bCs/>
          <w:color w:val="161B22"/>
        </w:rPr>
        <w:t xml:space="preserve">HEDIS Improvement Methodology — Vermont Context</w:t>
      </w:r>
      <w:bookmarkEnd w:id="1261"/>
    </w:p>
    <w:p>
      <w:pPr>
        <w:pStyle w:val="FirstParagraph"/>
      </w:pPr>
      <w:r>
        <w:t xml:space="preserve">HEDIS is the measurement language of the Blueprint, the commercial market, and AHEAD quality accountability. Vermont primary care practices and health systems that want to improve their HEDIS performance — and their financial performance under quality-adjusted VBC payments — need a systematic improvement methodology, not a measurement committee.</w:t>
      </w:r>
    </w:p>
    <w:p>
      <w:pPr>
        <w:pStyle w:val="Heading3"/>
      </w:pPr>
      <w:r>
        <w:rPr>
          <w:color w:val="161B22"/>
        </w:rPr>
        <w:t xml:space="preserve">9.4.1  </w:t>
      </w:r>
      <w:bookmarkStart w:id="1262" w:name="_Toc1261"/>
      <w:r>
        <w:rPr>
          <w:b/>
          <w:bCs/>
          <w:color w:val="161B22"/>
        </w:rPr>
        <w:t xml:space="preserve">The Five-Step HEDIS Improvement Framework</w:t>
      </w:r>
      <w:bookmarkEnd w:id="1262"/>
    </w:p>
    <w:p>
      <w:pPr>
        <w:pStyle w:val="FirstParagraph"/>
      </w:pPr>
      <w: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pPr>
        <w:pStyle w:val="BodyText"/>
      </w:pPr>
      <w: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VHCURES linkage and Blueprint data reports provide this gap analysis.</w:t>
      </w:r>
    </w:p>
    <w:p>
      <w:pPr>
        <w:pStyle w:val="BodyText"/>
      </w:pPr>
      <w: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pPr>
        <w:pStyle w:val="BodyText"/>
      </w:pPr>
      <w: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pPr>
        <w:pStyle w:val="BodyText"/>
      </w:pPr>
      <w: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pPr>
        <w:pStyle w:val="Heading3"/>
      </w:pPr>
      <w:r>
        <w:rPr>
          <w:color w:val="161B22"/>
        </w:rPr>
        <w:t xml:space="preserve">9.4.2  </w:t>
      </w:r>
      <w:bookmarkStart w:id="1263" w:name="_Toc1262"/>
      <w:r>
        <w:rPr>
          <w:b/>
          <w:bCs/>
          <w:color w:val="161B22"/>
        </w:rPr>
        <w:t xml:space="preserve">Vermont-Specific HEDIS Opportunity Areas</w:t>
      </w:r>
      <w:bookmarkEnd w:id="1263"/>
    </w:p>
    <w:p>
      <w:pPr>
        <w:pStyle w:val="FirstParagraph"/>
      </w:pPr>
      <w:r>
        <w:t xml:space="preserve">Vermont’s November 2025 data reveals specific HEDIS opportunity areas that primary care practices can prioritize for improvement investments with the highest population health and financial return under VBC.</w:t>
      </w:r>
    </w:p>
    <w:p>
      <w:pPr>
        <w:pStyle w:val="BodyText"/>
      </w:pPr>
      <w:r>
        <w:t xml:space="preserve">Diabetes HbA1c Management: 22% of Vermont’s Blueprint diabetic patients have HbA1c not in control. Given Vermont’s population of approximately 60,000-70,000 adults with type 2 diabetes, this represents 13,000-15,000 patients with inadequately controlled diabetes — each at elevated risk for hospitalization from diabetic complications.</w:t>
      </w:r>
    </w:p>
    <w:p>
      <w:pPr>
        <w:pStyle w:val="BodyText"/>
      </w:pPr>
      <w: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pPr>
        <w:pStyle w:val="BodyText"/>
      </w:pPr>
      <w: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pPr>
        <w:pStyle w:val="Heading2"/>
        <w:pBdr>
          <w:top w:val="single" w:sz="6" w:space="10" w:color="C9D2DF"/>
        </w:pBdr>
      </w:pPr>
      <w:r>
        <w:rPr>
          <w:color w:val="161B22"/>
        </w:rPr>
        <w:t xml:space="preserve">9.5  </w:t>
      </w:r>
      <w:bookmarkStart w:id="1264" w:name="_Toc1263"/>
      <w:r>
        <w:rPr>
          <w:b/>
          <w:bCs/>
          <w:color w:val="161B22"/>
        </w:rPr>
        <w:t xml:space="preserve">The Clinical Data Infrastructure — Connecting Care to Population Health Management</w:t>
      </w:r>
      <w:bookmarkEnd w:id="1264"/>
    </w:p>
    <w:p>
      <w:pPr>
        <w:pStyle w:val="FirstParagraph"/>
      </w:pPr>
      <w: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pPr>
        <w:pStyle w:val="Heading3"/>
      </w:pPr>
      <w:r>
        <w:rPr>
          <w:color w:val="161B22"/>
        </w:rPr>
        <w:t xml:space="preserve">9.5.1  </w:t>
      </w:r>
      <w:bookmarkStart w:id="1265" w:name="_Toc1264"/>
      <w:r>
        <w:rPr>
          <w:b/>
          <w:bCs/>
          <w:color w:val="161B22"/>
        </w:rPr>
        <w:t xml:space="preserve">Vermont’s Three-Step Clinical Data Model</w:t>
      </w:r>
      <w:bookmarkEnd w:id="1265"/>
    </w:p>
    <w:p>
      <w:pPr>
        <w:pStyle w:val="FirstParagraph"/>
      </w:pPr>
      <w: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pPr>
        <w:pStyle w:val="BodyText"/>
      </w:pPr>
      <w: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pPr>
        <w:pStyle w:val="BodyText"/>
      </w:pPr>
      <w: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Vermont’s VITL health information exchange provides claims data from VHCURES, enabling the practice to see utilization that occurs outside their own walls — emergency department visits, hospitalizations, specialist encounters — and close care gaps based on information the practice would otherwise not have.</w:t>
      </w:r>
    </w:p>
    <w:p>
      <w:pPr>
        <w:pStyle w:val="BodyText"/>
      </w:pPr>
      <w:r>
        <w:t xml:space="preserve">Step 3 — System-Level Population Health Management: The GMCB analytics vendor, once deployed, will aggregate practice-level data to the HSA and statewide level, enabling Vermont to manage population health across the full attributed population for AHEAD accountability.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AHEAD population health management.</w:t>
      </w:r>
    </w:p>
    <w:p>
      <w:pPr>
        <w:pStyle w:val="Heading3"/>
      </w:pPr>
      <w:r>
        <w:rPr>
          <w:color w:val="161B22"/>
        </w:rPr>
        <w:t xml:space="preserve">9.5.2  </w:t>
      </w:r>
      <w:bookmarkStart w:id="1266" w:name="_Toc1265"/>
      <w:r>
        <w:rPr>
          <w:b/>
          <w:bCs/>
          <w:color w:val="161B22"/>
        </w:rPr>
        <w:t xml:space="preserve">HCC Coding Excellence — The Clinical Pillar’s Financial Foundation</w:t>
      </w:r>
      <w:bookmarkEnd w:id="1266"/>
    </w:p>
    <w:p>
      <w:pPr>
        <w:pStyle w:val="FirstParagraph"/>
      </w:pPr>
      <w: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w:t>
      </w:r>
      <w:r>
        <w:t xml:space="preserve"> </w:t>
      </w:r>
      <w:r>
        <w:t xml:space="preserve">‘type 2 diabetes’</w:t>
      </w:r>
      <w:r>
        <w:t xml:space="preserve"> </w:t>
      </w:r>
      <w:r>
        <w:t xml:space="preserve">without specifying complication status is leaving RAF value uncaptured — which translates directly into a lower global budget than the patient’s actual cost burden warrants.</w:t>
      </w:r>
    </w:p>
    <w:p>
      <w:pPr>
        <w:pStyle w:val="BodyText"/>
      </w:pPr>
      <w:r>
        <w:t xml:space="preserve">Vermont’s AHEAD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pPr>
        <w:pStyle w:val="Heading2"/>
        <w:pBdr>
          <w:top w:val="single" w:sz="6" w:space="10" w:color="C9D2DF"/>
        </w:pBdr>
      </w:pPr>
      <w:r>
        <w:rPr>
          <w:color w:val="161B22"/>
        </w:rPr>
        <w:t xml:space="preserve">9.6  </w:t>
      </w:r>
      <w:bookmarkStart w:id="1267" w:name="_Toc1266"/>
      <w:r>
        <w:rPr>
          <w:b/>
          <w:bCs/>
          <w:color w:val="161B22"/>
        </w:rPr>
        <w:t xml:space="preserve">The Care Transition Protocol — Closing the Loop Between Hospital and Community</w:t>
      </w:r>
      <w:bookmarkEnd w:id="1267"/>
    </w:p>
    <w:p>
      <w:pPr>
        <w:pStyle w:val="FirstParagraph"/>
        <w:keepNext w:val="false"/>
      </w:pPr>
      <w: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pPr>
        <w:pStyle w:val="BodyText"/>
        <w:keepNext w:val="false"/>
      </w:pPr>
      <w: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Blueprint CHT Transition Protocol</w:t>
            </w:r>
          </w:p>
          <w:p>
            <w:pPr>
              <w:spacing w:after="60" w:line="264" w:lineRule="auto"/>
            </w:pPr>
            <w:r>
              <w:rPr>
                <w:sz w:val="20"/>
                <w:szCs w:val="2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p>
          <w:p>
            <w:pPr>
              <w:spacing w:after="60" w:line="264" w:lineRule="auto"/>
            </w:pPr>
            <w:r>
              <w:rPr>
                <w:sz w:val="20"/>
                <w:szCs w:val="2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p>
        </w:tc>
      </w:tr>
    </w:tbl>
    <w:p>
      <w:pPr>
        <w:spacing w:after="120"/>
      </w:pPr>
    </w:p>
    <w:p>
      <w:pPr>
        <w:pStyle w:val="Heading2"/>
        <w:pBdr>
          <w:top w:val="single" w:sz="6" w:space="10" w:color="C9D2DF"/>
        </w:pBdr>
      </w:pPr>
      <w:r>
        <w:rPr>
          <w:color w:val="161B22"/>
        </w:rPr>
        <w:t xml:space="preserve">9.7  </w:t>
      </w:r>
      <w:bookmarkStart w:id="1268" w:name="_Toc1267"/>
      <w:r>
        <w:rPr>
          <w:b/>
          <w:bCs/>
          <w:color w:val="161B22"/>
        </w:rPr>
        <w:t xml:space="preserve">Clinical Leadership in Transformation — The Under-Resourced Pillar</w:t>
      </w:r>
      <w:bookmarkEnd w:id="1268"/>
    </w:p>
    <w:p>
      <w:pPr>
        <w:pStyle w:val="FirstParagraph"/>
      </w:pPr>
      <w: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pPr>
        <w:pStyle w:val="BodyText"/>
      </w:pPr>
      <w:r>
        <w:t xml:space="preserve">AHS and Vermont hospital systems have a specific action requirement here: create structures for clinical leader engagement in AHEAD implementation and Statewide Strategic Plan development. The AHEAD model’s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pPr>
        <w:pStyle w:val="BodyText"/>
      </w:pPr>
      <w:r>
        <w:t xml:space="preserve">The clinical pillar’s in-practice challenge is ultimately a leadership challenge: building the organizational capacity to implement and sustain the evidence-based clinical programs that Vermont’s transformation requires. The Blueprint provides the framework, AHEAD provides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pPr>
        <w:pStyle w:val="Heading2"/>
        <w:pBdr>
          <w:top w:val="single" w:sz="6" w:space="10" w:color="C9D2DF"/>
        </w:pBdr>
        <w:keepNext w:val="false"/>
      </w:pPr>
      <w:r>
        <w:rPr>
          <w:color w:val="161B22"/>
        </w:rPr>
        <w:t xml:space="preserve">9.8  </w:t>
      </w:r>
      <w:bookmarkStart w:id="1269" w:name="_Toc1268"/>
      <w:r>
        <w:rPr>
          <w:b/>
          <w:bCs/>
          <w:color w:val="161B22"/>
        </w:rPr>
        <w:t xml:space="preserve">Clinical Pillar Implementation Commitments for AHS’s Statewide Strategic Plan</w:t>
      </w:r>
      <w:bookmarkEnd w:id="1269"/>
    </w:p>
    <w:p>
      <w:pPr>
        <w:pStyle w:val="FirstParagraph"/>
        <w:keepNext w:val="false"/>
      </w:pPr>
      <w:r>
        <w:t xml:space="preserve">The Statewide Health Care Delivery Strategic Plan that AHS must deliver by December 2028 must address the clinical pillar’s in-practice implementation requirements. Based on Vermont’s current implementation landscape and the operational requirements developed in this chapter, the plan should contain five clinical implementation commitments:</w:t>
      </w:r>
    </w:p>
    <w:tbl>
      <w:tblPr>
        <w:tblStyle w:val="HTRTable"/>
        <w:tblLook w:firstRow="1" w:lastRow="0" w:firstColumn="0" w:lastColumn="0" w:noHBand="0" w:noVBand="1" w:val="0020"/>
        <w:tblW w:w="9072" w:type="dxa"/>
        <w:tblLayout w:type="fixed"/>
      </w:tblPr>
      <w:tblGrid>
        <w:gridCol w:w="2025"/>
        <w:gridCol w:w="3840"/>
        <w:gridCol w:w="1245"/>
        <w:gridCol w:w="1965"/>
      </w:tblGrid>
      <w:tr>
        <w:trPr>
          <w:tblHeader w:val="on"/>
          <w:cantSplit/>
        </w:trPr>
        <w:tc>
          <w:tcPr>
            <w:shd w:val="clear" w:color="auto" w:fill="1B3A6B"/>
            <w:tcW w:w="2025" w:type="dxa"/>
          </w:tcPr>
          <w:p>
            <w:pPr>
              <w:pStyle w:val="Compact"/>
              <w:jc w:val="left"/>
            </w:pPr>
            <w:r>
              <w:rPr>
                <w:b/>
                <w:color w:val="FFFFFF"/>
                <w:sz w:val="18"/>
              </w:rPr>
              <w:t xml:space="preserve">Commitment</w:t>
            </w:r>
          </w:p>
        </w:tc>
        <w:tc>
          <w:tcPr>
            <w:shd w:val="clear" w:color="auto" w:fill="1B3A6B"/>
            <w:tcW w:w="3840" w:type="dxa"/>
          </w:tcPr>
          <w:p>
            <w:pPr>
              <w:pStyle w:val="Compact"/>
              <w:jc w:val="left"/>
            </w:pPr>
            <w:r>
              <w:rPr>
                <w:b/>
                <w:color w:val="FFFFFF"/>
                <w:sz w:val="18"/>
              </w:rPr>
              <w:t xml:space="preserve">Operational Requirement</w:t>
            </w:r>
          </w:p>
        </w:tc>
        <w:tc>
          <w:tcPr>
            <w:shd w:val="clear" w:color="auto" w:fill="1B3A6B"/>
            <w:tcW w:w="1245" w:type="dxa"/>
          </w:tcPr>
          <w:p>
            <w:pPr>
              <w:pStyle w:val="Compact"/>
              <w:jc w:val="left"/>
            </w:pPr>
            <w:r>
              <w:rPr>
                <w:b/>
                <w:color w:val="FFFFFF"/>
                <w:sz w:val="18"/>
              </w:rPr>
              <w:t xml:space="preserve">Timeline</w:t>
            </w:r>
          </w:p>
        </w:tc>
        <w:tc>
          <w:tcPr>
            <w:shd w:val="clear" w:color="auto" w:fill="1B3A6B"/>
            <w:tcW w:w="1965" w:type="dxa"/>
          </w:tcPr>
          <w:p>
            <w:pPr>
              <w:pStyle w:val="Compact"/>
              <w:jc w:val="left"/>
            </w:pPr>
            <w:r>
              <w:rPr>
                <w:b/>
                <w:color w:val="FFFFFF"/>
                <w:sz w:val="18"/>
              </w:rPr>
              <w:t xml:space="preserve">Primary Vehicle</w:t>
            </w:r>
          </w:p>
        </w:tc>
      </w:tr>
      <w:tr>
        <w:trPr>
          <w:cantSplit/>
        </w:trPr>
        <w:tc>
          <w:tcPr>
            <w:tcW w:w="2025" w:type="dxa"/>
          </w:tcPr>
          <w:p>
            <w:pPr>
              <w:pStyle w:val="Compact"/>
              <w:jc w:val="left"/>
            </w:pPr>
            <w:r>
              <w:rPr>
                <w:sz w:val="18"/>
              </w:rPr>
              <w:t xml:space="preserve">PCMH transformation support for all Vermont primary care practices</w:t>
            </w:r>
          </w:p>
        </w:tc>
        <w:tc>
          <w:tcPr>
            <w:tcW w:w="3840" w:type="dxa"/>
          </w:tcPr>
          <w:p>
            <w:pPr>
              <w:pStyle w:val="Compact"/>
              <w:jc w:val="left"/>
            </w:pPr>
            <w:r>
              <w:rPr>
                <w:sz w:val="18"/>
              </w:rPr>
              <w:t xml:space="preserve">Blueprint field staff capacity maintained and expanded; AHEAD transition support for all practices converting from current Blueprint Medicare payment to PC AHEAD</w:t>
            </w:r>
          </w:p>
        </w:tc>
        <w:tc>
          <w:tcPr>
            <w:tcW w:w="1245" w:type="dxa"/>
          </w:tcPr>
          <w:p>
            <w:pPr>
              <w:pStyle w:val="Compact"/>
              <w:jc w:val="left"/>
            </w:pPr>
            <w:r>
              <w:rPr>
                <w:sz w:val="18"/>
              </w:rPr>
              <w:t xml:space="preserve">2025-2028</w:t>
            </w:r>
          </w:p>
        </w:tc>
        <w:tc>
          <w:tcPr>
            <w:tcW w:w="1965" w:type="dxa"/>
          </w:tcPr>
          <w:p>
            <w:pPr>
              <w:pStyle w:val="Compact"/>
              <w:jc w:val="left"/>
            </w:pPr>
            <w:r>
              <w:rPr>
                <w:sz w:val="18"/>
              </w:rPr>
              <w:t xml:space="preserve">Blueprint program; DVHA; AHEAD implementation team</w:t>
            </w:r>
          </w:p>
        </w:tc>
      </w:tr>
      <w:tr>
        <w:trPr/>
        <w:tc>
          <w:tcPr>
            <w:tcW w:w="2025" w:type="dxa"/>
          </w:tcPr>
          <w:p>
            <w:pPr>
              <w:pStyle w:val="Compact"/>
              <w:jc w:val="left"/>
            </w:pPr>
            <w:r>
              <w:rPr>
                <w:sz w:val="18"/>
              </w:rPr>
              <w:t xml:space="preserve">CoCM deployment at every PCMH practice</w:t>
            </w:r>
          </w:p>
        </w:tc>
        <w:tc>
          <w:tcPr>
            <w:tcW w:w="3840" w:type="dxa"/>
          </w:tcPr>
          <w:p>
            <w:pPr>
              <w:pStyle w:val="Compact"/>
              <w:jc w:val="left"/>
            </w:pPr>
            <w:r>
              <w:rPr>
                <w:sz w:val="18"/>
              </w:rPr>
              <w:t xml:space="preserve">BHCM workforce training funded; telepsychiatry consultation network established; CoCM billing infrastructure in place at all Blueprint practices</w:t>
            </w:r>
          </w:p>
        </w:tc>
        <w:tc>
          <w:tcPr>
            <w:tcW w:w="1245" w:type="dxa"/>
          </w:tcPr>
          <w:p>
            <w:pPr>
              <w:pStyle w:val="Compact"/>
              <w:jc w:val="left"/>
            </w:pPr>
            <w:r>
              <w:rPr>
                <w:sz w:val="18"/>
              </w:rPr>
              <w:t xml:space="preserve">2025-2028</w:t>
            </w:r>
          </w:p>
        </w:tc>
        <w:tc>
          <w:tcPr>
            <w:tcW w:w="1965" w:type="dxa"/>
          </w:tcPr>
          <w:p>
            <w:pPr>
              <w:pStyle w:val="Compact"/>
              <w:jc w:val="left"/>
            </w:pPr>
            <w:r>
              <w:rPr>
                <w:sz w:val="18"/>
              </w:rPr>
              <w:t xml:space="preserve">MHI permanent funding through AHEAD EAST Fund; RHT Program; CCBHC partnerships</w:t>
            </w:r>
          </w:p>
        </w:tc>
      </w:tr>
      <w:tr>
        <w:trPr/>
        <w:tc>
          <w:tcPr>
            <w:tcW w:w="2025" w:type="dxa"/>
          </w:tcPr>
          <w:p>
            <w:pPr>
              <w:pStyle w:val="Compact"/>
              <w:jc w:val="left"/>
            </w:pPr>
            <w:r>
              <w:rPr>
                <w:sz w:val="18"/>
              </w:rPr>
              <w:t xml:space="preserve">Structured data capture standards across all Vermont primary care</w:t>
            </w:r>
          </w:p>
        </w:tc>
        <w:tc>
          <w:tcPr>
            <w:tcW w:w="3840" w:type="dxa"/>
          </w:tcPr>
          <w:p>
            <w:pPr>
              <w:pStyle w:val="Compact"/>
              <w:jc w:val="left"/>
            </w:pPr>
            <w:r>
              <w:rPr>
                <w:sz w:val="18"/>
              </w:rPr>
              <w:t xml:space="preserve">EHR workflow redesign support through Blueprint field staff; VITL connectivity requirements for all Blueprint-participating practices; HCC gap analysis completed for all AHEAD-attributed Medicare patients before January 2028</w:t>
            </w:r>
          </w:p>
        </w:tc>
        <w:tc>
          <w:tcPr>
            <w:tcW w:w="1245" w:type="dxa"/>
          </w:tcPr>
          <w:p>
            <w:pPr>
              <w:pStyle w:val="Compact"/>
              <w:jc w:val="left"/>
            </w:pPr>
            <w:r>
              <w:rPr>
                <w:sz w:val="18"/>
              </w:rPr>
              <w:t xml:space="preserve">2025-2027</w:t>
            </w:r>
          </w:p>
        </w:tc>
        <w:tc>
          <w:tcPr>
            <w:tcW w:w="1965" w:type="dxa"/>
          </w:tcPr>
          <w:p>
            <w:pPr>
              <w:pStyle w:val="Compact"/>
              <w:jc w:val="left"/>
            </w:pPr>
            <w:r>
              <w:rPr>
                <w:sz w:val="18"/>
              </w:rPr>
              <w:t xml:space="preserve">Blueprint data infrastructure; GMCB analytics vendor; VITL</w:t>
            </w:r>
          </w:p>
        </w:tc>
      </w:tr>
      <w:tr>
        <w:trPr/>
        <w:tc>
          <w:tcPr>
            <w:tcW w:w="2025" w:type="dxa"/>
          </w:tcPr>
          <w:p>
            <w:pPr>
              <w:pStyle w:val="Compact"/>
              <w:jc w:val="left"/>
            </w:pPr>
            <w:r>
              <w:rPr>
                <w:sz w:val="18"/>
              </w:rPr>
              <w:t xml:space="preserve">Care transition protocols at all Vermont hospitals for Blueprint-attributed patients</w:t>
            </w:r>
          </w:p>
        </w:tc>
        <w:tc>
          <w:tcPr>
            <w:tcW w:w="3840" w:type="dxa"/>
          </w:tcPr>
          <w:p>
            <w:pPr>
              <w:pStyle w:val="Compact"/>
              <w:jc w:val="left"/>
            </w:pPr>
            <w:r>
              <w:rPr>
                <w:sz w:val="18"/>
              </w:rPr>
              <w:t xml:space="preserve">CHT care transition protocol implemented at all Blueprint practices; VITL admission notification system operational for all Vermont hospitals; 30-day follow-up rate targets established for behavioral health ED visits</w:t>
            </w:r>
          </w:p>
        </w:tc>
        <w:tc>
          <w:tcPr>
            <w:tcW w:w="1245" w:type="dxa"/>
          </w:tcPr>
          <w:p>
            <w:pPr>
              <w:pStyle w:val="Compact"/>
              <w:jc w:val="left"/>
            </w:pPr>
            <w:r>
              <w:rPr>
                <w:sz w:val="18"/>
              </w:rPr>
              <w:t xml:space="preserve">2025-2027</w:t>
            </w:r>
          </w:p>
        </w:tc>
        <w:tc>
          <w:tcPr>
            <w:tcW w:w="1965" w:type="dxa"/>
          </w:tcPr>
          <w:p>
            <w:pPr>
              <w:pStyle w:val="Compact"/>
              <w:jc w:val="left"/>
            </w:pPr>
            <w:r>
              <w:rPr>
                <w:sz w:val="18"/>
              </w:rPr>
              <w:t xml:space="preserve">Blueprint CHT model; VITL infrastructure; DVHA quality targets</w:t>
            </w:r>
          </w:p>
        </w:tc>
      </w:tr>
      <w:tr>
        <w:trPr>
          <w:cantSplit/>
        </w:trPr>
        <w:tc>
          <w:tcPr>
            <w:tcW w:w="2025" w:type="dxa"/>
          </w:tcPr>
          <w:p>
            <w:pPr>
              <w:pStyle w:val="Compact"/>
              <w:jc w:val="left"/>
            </w:pPr>
            <w:r>
              <w:rPr>
                <w:sz w:val="18"/>
              </w:rPr>
              <w:t xml:space="preserve">Clinical leader engagement in AHEAD governance and Statewide Strategic Plan development</w:t>
            </w:r>
          </w:p>
        </w:tc>
        <w:tc>
          <w:tcPr>
            <w:tcW w:w="3840" w:type="dxa"/>
          </w:tcPr>
          <w:p>
            <w:pPr>
              <w:pStyle w:val="Compact"/>
              <w:jc w:val="left"/>
            </w:pPr>
            <w:r>
              <w:rPr>
                <w:sz w:val="18"/>
              </w:rPr>
              <w:t xml:space="preserve">Formal clinical advisory structure for AHS Health Care Delivery Advisory Committee; physician and nursing leadership in AHEAD hospital governance; clinical quality targets set with clinical leader input</w:t>
            </w:r>
          </w:p>
        </w:tc>
        <w:tc>
          <w:tcPr>
            <w:tcW w:w="1245" w:type="dxa"/>
          </w:tcPr>
          <w:p>
            <w:pPr>
              <w:pStyle w:val="Compact"/>
              <w:jc w:val="left"/>
            </w:pPr>
            <w:r>
              <w:rPr>
                <w:sz w:val="18"/>
              </w:rPr>
              <w:t xml:space="preserve">2025-2028</w:t>
            </w:r>
          </w:p>
        </w:tc>
        <w:tc>
          <w:tcPr>
            <w:tcW w:w="1965" w:type="dxa"/>
          </w:tcPr>
          <w:p>
            <w:pPr>
              <w:pStyle w:val="Compact"/>
              <w:jc w:val="left"/>
            </w:pPr>
            <w:r>
              <w:rPr>
                <w:sz w:val="18"/>
              </w:rPr>
              <w:t xml:space="preserve">Act 68 Advisory Committee structure; AHS organizational design; GMCB quality reporting requirements</w:t>
            </w:r>
          </w:p>
        </w:tc>
      </w:tr>
    </w:tbl>
    <w:p>
      <w:pPr>
        <w:pStyle w:val="Caption"/>
        <w:spacing w:before="120"/>
      </w:pPr>
      <w:r>
        <w:rPr>
          <w:i/>
          <w:iCs/>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pStyle w:val="Heading2"/>
        <w:pBdr>
          <w:top w:val="single" w:sz="6" w:space="10" w:color="C9D2DF"/>
        </w:pBdr>
        <w:keepNext w:val="false"/>
      </w:pPr>
      <w:r>
        <w:rPr>
          <w:color w:val="161B22"/>
        </w:rPr>
        <w:t xml:space="preserve">9.9  </w:t>
      </w:r>
      <w:bookmarkStart w:id="1270" w:name="_Toc1269"/>
      <w:r>
        <w:rPr>
          <w:b/>
          <w:bCs/>
          <w:color w:val="161B22"/>
        </w:rPr>
        <w:t xml:space="preserve">Clinical Pillar Implementation Matrix</w:t>
      </w:r>
      <w:bookmarkEnd w:id="1270"/>
    </w:p>
    <w:p>
      <w:pPr>
        <w:pStyle w:val="FirstParagraph"/>
        <w:keepNext w:val="false"/>
      </w:pPr>
      <w:r>
        <w:t xml:space="preserve">The following matrix provides implementation guidance for the key Clinical pillar investments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Blueprint PCMH transformation (NCQA recognition)</w:t>
            </w:r>
          </w:p>
        </w:tc>
        <w:tc>
          <w:tcPr>
            <w:tcW w:w="1222" w:type="dxa"/>
          </w:tcPr>
          <w:p>
            <w:pPr>
              <w:pStyle w:val="Compact"/>
              <w:jc w:val="left"/>
            </w:pPr>
            <w:r>
              <w:rPr>
                <w:sz w:val="18"/>
              </w:rPr>
              <w:t xml:space="preserve">$25K-$75K per practice</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18-24 months</w:t>
            </w:r>
          </w:p>
        </w:tc>
        <w:tc>
          <w:tcPr>
            <w:tcW w:w="2820" w:type="dxa"/>
          </w:tcPr>
          <w:p>
            <w:pPr>
              <w:pStyle w:val="Compact"/>
              <w:jc w:val="left"/>
            </w:pPr>
            <w:r>
              <w:rPr>
                <w:sz w:val="18"/>
              </w:rPr>
              <w:t xml:space="preserve">5.8:1 ROI documented; $5.8M reduced expenditure per $1M PCMH investment</w:t>
            </w:r>
          </w:p>
        </w:tc>
      </w:tr>
      <w:tr>
        <w:trPr/>
        <w:tc>
          <w:tcPr>
            <w:tcW w:w="2726" w:type="dxa"/>
          </w:tcPr>
          <w:p>
            <w:pPr>
              <w:pStyle w:val="Compact"/>
              <w:jc w:val="left"/>
            </w:pPr>
            <w:r>
              <w:rPr>
                <w:sz w:val="18"/>
              </w:rPr>
              <w:t xml:space="preserve">CoCM deployment (BHCM + telepsychiatry)</w:t>
            </w:r>
          </w:p>
        </w:tc>
        <w:tc>
          <w:tcPr>
            <w:tcW w:w="1222" w:type="dxa"/>
          </w:tcPr>
          <w:p>
            <w:pPr>
              <w:pStyle w:val="Compact"/>
              <w:jc w:val="left"/>
            </w:pPr>
            <w:r>
              <w:rPr>
                <w:sz w:val="18"/>
              </w:rPr>
              <w:t xml:space="preserve">$80K-$150K annually per practice</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MHI pilot: PHQ-9 improvement; CHT staff as natural BHCM pool</w:t>
            </w:r>
          </w:p>
        </w:tc>
      </w:tr>
      <w:tr>
        <w:trPr/>
        <w:tc>
          <w:tcPr>
            <w:tcW w:w="2726" w:type="dxa"/>
          </w:tcPr>
          <w:p>
            <w:pPr>
              <w:pStyle w:val="Compact"/>
              <w:jc w:val="left"/>
            </w:pPr>
            <w:r>
              <w:rPr>
                <w:sz w:val="18"/>
              </w:rPr>
              <w:t xml:space="preserve">CCBHC certification</w:t>
            </w:r>
          </w:p>
        </w:tc>
        <w:tc>
          <w:tcPr>
            <w:tcW w:w="1222" w:type="dxa"/>
          </w:tcPr>
          <w:p>
            <w:pPr>
              <w:pStyle w:val="Compact"/>
              <w:jc w:val="left"/>
            </w:pPr>
            <w:r>
              <w:rPr>
                <w:sz w:val="18"/>
              </w:rPr>
              <w:t xml:space="preserve">$500K-$2M annually per entity</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24-48 months</w:t>
            </w:r>
          </w:p>
        </w:tc>
        <w:tc>
          <w:tcPr>
            <w:tcW w:w="2820" w:type="dxa"/>
          </w:tcPr>
          <w:p>
            <w:pPr>
              <w:pStyle w:val="Compact"/>
              <w:jc w:val="left"/>
            </w:pPr>
            <w:r>
              <w:rPr>
                <w:sz w:val="18"/>
              </w:rPr>
              <w:t xml:space="preserve">Vermont: 5 planned CCBHCs; enhanced Medicaid FMAP funding for 8 years</w:t>
            </w:r>
          </w:p>
        </w:tc>
      </w:tr>
      <w:tr>
        <w:trPr/>
        <w:tc>
          <w:tcPr>
            <w:tcW w:w="2726" w:type="dxa"/>
          </w:tcPr>
          <w:p>
            <w:pPr>
              <w:pStyle w:val="Compact"/>
              <w:jc w:val="left"/>
            </w:pPr>
            <w:r>
              <w:rPr>
                <w:sz w:val="18"/>
              </w:rPr>
              <w:t xml:space="preserve">Panel risk stratification and care management</w:t>
            </w:r>
          </w:p>
        </w:tc>
        <w:tc>
          <w:tcPr>
            <w:tcW w:w="1222" w:type="dxa"/>
          </w:tcPr>
          <w:p>
            <w:pPr>
              <w:pStyle w:val="Compact"/>
              <w:jc w:val="left"/>
            </w:pPr>
            <w:r>
              <w:rPr>
                <w:sz w:val="18"/>
              </w:rPr>
              <w:t xml:space="preserve">$40K-$100K annually</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12 months</w:t>
            </w:r>
          </w:p>
        </w:tc>
        <w:tc>
          <w:tcPr>
            <w:tcW w:w="2820" w:type="dxa"/>
          </w:tcPr>
          <w:p>
            <w:pPr>
              <w:pStyle w:val="Compact"/>
              <w:jc w:val="left"/>
            </w:pPr>
            <w:r>
              <w:rPr>
                <w:sz w:val="18"/>
              </w:rPr>
              <w:t xml:space="preserve">Blueprint: Tier 1 (3-5% of panel) = 30-40% of total cost of care</w:t>
            </w:r>
          </w:p>
        </w:tc>
      </w:tr>
      <w:tr>
        <w:trPr/>
        <w:tc>
          <w:tcPr>
            <w:tcW w:w="2726" w:type="dxa"/>
          </w:tcPr>
          <w:p>
            <w:pPr>
              <w:pStyle w:val="Compact"/>
              <w:jc w:val="left"/>
            </w:pPr>
            <w:r>
              <w:rPr>
                <w:sz w:val="18"/>
              </w:rPr>
              <w:t xml:space="preserve">Care transition protocol (CHT + VITL admission notification)</w:t>
            </w:r>
          </w:p>
        </w:tc>
        <w:tc>
          <w:tcPr>
            <w:tcW w:w="1222" w:type="dxa"/>
          </w:tcPr>
          <w:p>
            <w:pPr>
              <w:pStyle w:val="Compact"/>
              <w:jc w:val="left"/>
            </w:pPr>
            <w:r>
              <w:rPr>
                <w:sz w:val="18"/>
              </w:rPr>
              <w:t xml:space="preserve">$20K-$50K setup</w:t>
            </w:r>
          </w:p>
        </w:tc>
        <w:tc>
          <w:tcPr>
            <w:tcW w:w="987" w:type="dxa"/>
          </w:tcPr>
          <w:p>
            <w:pPr>
              <w:pStyle w:val="Compact"/>
              <w:jc w:val="left"/>
            </w:pPr>
            <w:r>
              <w:rPr>
                <w:sz w:val="18"/>
              </w:rPr>
              <w:t xml:space="preserve">3 months</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Vermont: 14.8% 30-day readmission; 76% BH follow-up rate — improvement target</w:t>
            </w:r>
          </w:p>
        </w:tc>
      </w:tr>
      <w:tr>
        <w:trPr>
          <w:cantSplit/>
        </w:trPr>
        <w:tc>
          <w:tcPr>
            <w:tcW w:w="2726" w:type="dxa"/>
          </w:tcPr>
          <w:p>
            <w:pPr>
              <w:pStyle w:val="Compact"/>
              <w:jc w:val="left"/>
            </w:pPr>
            <w:r>
              <w:rPr>
                <w:sz w:val="18"/>
              </w:rPr>
              <w:t xml:space="preserve">HCC documentation improvement at clinical level</w:t>
            </w:r>
          </w:p>
        </w:tc>
        <w:tc>
          <w:tcPr>
            <w:tcW w:w="1222" w:type="dxa"/>
          </w:tcPr>
          <w:p>
            <w:pPr>
              <w:pStyle w:val="Compact"/>
              <w:jc w:val="left"/>
            </w:pPr>
            <w:r>
              <w:rPr>
                <w:sz w:val="18"/>
              </w:rPr>
              <w:t xml:space="preserve">$10K-$30K training</w:t>
            </w:r>
          </w:p>
        </w:tc>
        <w:tc>
          <w:tcPr>
            <w:tcW w:w="987" w:type="dxa"/>
          </w:tcPr>
          <w:p>
            <w:pPr>
              <w:pStyle w:val="Compact"/>
              <w:jc w:val="left"/>
            </w:pPr>
            <w:r>
              <w:rPr>
                <w:sz w:val="18"/>
              </w:rPr>
              <w:t xml:space="preserve">1-2 months</w:t>
            </w:r>
          </w:p>
        </w:tc>
        <w:tc>
          <w:tcPr>
            <w:tcW w:w="1316" w:type="dxa"/>
          </w:tcPr>
          <w:p>
            <w:pPr>
              <w:pStyle w:val="Compact"/>
              <w:jc w:val="left"/>
            </w:pPr>
            <w:r>
              <w:rPr>
                <w:sz w:val="18"/>
              </w:rPr>
              <w:t xml:space="preserve">Immediate: Year 1 RAF gain</w:t>
            </w:r>
          </w:p>
        </w:tc>
        <w:tc>
          <w:tcPr>
            <w:tcW w:w="2820" w:type="dxa"/>
          </w:tcPr>
          <w:p>
            <w:pPr>
              <w:pStyle w:val="Compact"/>
              <w:jc w:val="left"/>
            </w:pPr>
            <w:r>
              <w:rPr>
                <w:sz w:val="18"/>
              </w:rPr>
              <w:t xml:space="preserve">CKD staging, DM complications, morbid obesity — most common VT gaps</w:t>
            </w:r>
          </w:p>
        </w:tc>
      </w:tr>
    </w:tbl>
    <w:p>
      <w:pPr>
        <w:pStyle w:val="Caption"/>
        <w:spacing w:before="120"/>
      </w:pPr>
      <w:r>
        <w:rPr>
          <w:i/>
          <w:iCs/>
        </w:rPr>
        <w:t xml:space="preserve">Figure 9.5 — Clinical pillar implementation matrix. Sources: Vermont Blueprint for Health Annual Report 2024; Vermont MHI Evaluation 2025; SAMHSA CCBHC documentation.</w:t>
      </w:r>
    </w:p>
    <w:p>
      <w:pPr>
        <w:pStyle w:val="Heading2"/>
        <w:pBdr>
          <w:top w:val="single" w:sz="6" w:space="10" w:color="C9D2DF"/>
        </w:pBdr>
        <w:keepNext w:val="false"/>
      </w:pPr>
      <w:r>
        <w:rPr>
          <w:color w:val="161B22"/>
        </w:rPr>
        <w:t xml:space="preserve">9.10  </w:t>
      </w:r>
      <w:bookmarkStart w:id="1271" w:name="_Toc1270"/>
      <w:r>
        <w:rPr>
          <w:b/>
          <w:bCs/>
          <w:color w:val="161B22"/>
        </w:rPr>
        <w:t xml:space="preserve">Work This Chapter on the Platform</w:t>
      </w:r>
      <w:bookmarkEnd w:id="1271"/>
    </w:p>
    <w:p>
      <w:pPr>
        <w:pStyle w:val="FirstParagraph"/>
        <w:keepNext w:val="false"/>
      </w:pPr>
      <w:r>
        <w:t xml:space="preserve">Chapter 9’s quality mechanics — HEDIS improvement, value vs. waste, optimization — map to the clinical-quality bench.</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Optimize HEDIS, Star Ratings, and MIPS performance with payment-adjustment estimates</w:t>
            </w:r>
          </w:p>
        </w:tc>
        <w:tc>
          <w:tcPr>
            <w:tcW w:w="947" w:type="dxa"/>
          </w:tcPr>
          <w:p>
            <w:pPr>
              <w:pStyle w:val="Compact"/>
              <w:jc w:val="left"/>
            </w:pPr>
            <w:r>
              <w:rPr>
                <w:b/>
                <w:bCs/>
                <w:sz w:val="18"/>
              </w:rPr>
              <w:t xml:space="preserve">Clinical Quality Optimizer</w:t>
            </w:r>
            <w:r>
              <w:rPr>
                <w:sz w:val="18"/>
              </w:rPr>
              <w:t xml:space="preserve"> </w:t>
            </w:r>
            <w:r>
              <w:rPr>
                <w:sz w:val="18"/>
              </w:rPr>
              <w:t xml:space="preserve">—</w:t>
            </w:r>
            <w:r>
              <w:rPr>
                <w:sz w:val="18"/>
              </w:rPr>
              <w:t xml:space="preserve"> </w:t>
            </w:r>
            <w:r>
              <w:rPr>
                <w:rStyle w:val="VerbatimChar"/>
                <w:sz w:val="18"/>
              </w:rPr>
              <w:t xml:space="preserve">/research-lab/policy-quality?tab=quality</w:t>
            </w:r>
          </w:p>
        </w:tc>
        <w:tc>
          <w:tcPr>
            <w:tcW w:w="4062" w:type="dxa"/>
          </w:tcPr>
          <w:p>
            <w:pPr>
              <w:pStyle w:val="Compact"/>
              <w:jc w:val="left"/>
            </w:pPr>
            <w:r>
              <w:rPr>
                <w:sz w:val="18"/>
              </w:rPr>
              <w:t xml:space="preserve">The payment consequence of each quality decision under value-based contracts.</w:t>
            </w:r>
          </w:p>
        </w:tc>
      </w:tr>
      <w:tr>
        <w:trPr/>
        <w:tc>
          <w:tcPr>
            <w:tcW w:w="4062" w:type="dxa"/>
          </w:tcPr>
          <w:p>
            <w:pPr>
              <w:pStyle w:val="Compact"/>
              <w:jc w:val="left"/>
            </w:pPr>
            <w:r>
              <w:rPr>
                <w:sz w:val="18"/>
              </w:rPr>
              <w:t xml:space="preserve">Separate high-value from low-value care across services</w:t>
            </w:r>
          </w:p>
        </w:tc>
        <w:tc>
          <w:tcPr>
            <w:tcW w:w="947" w:type="dxa"/>
          </w:tcPr>
          <w:p>
            <w:pPr>
              <w:pStyle w:val="Compact"/>
              <w:jc w:val="left"/>
            </w:pPr>
            <w:r>
              <w:rPr>
                <w:b/>
                <w:bCs/>
                <w:sz w:val="18"/>
              </w:rPr>
              <w:t xml:space="preserve">High vs. Low Value Care</w:t>
            </w:r>
            <w:r>
              <w:rPr>
                <w:sz w:val="18"/>
              </w:rPr>
              <w:t xml:space="preserve"> </w:t>
            </w:r>
            <w:r>
              <w:rPr>
                <w:sz w:val="18"/>
              </w:rPr>
              <w:t xml:space="preserve">—</w:t>
            </w:r>
            <w:r>
              <w:rPr>
                <w:sz w:val="18"/>
              </w:rPr>
              <w:t xml:space="preserve"> </w:t>
            </w:r>
            <w:r>
              <w:rPr>
                <w:rStyle w:val="VerbatimChar"/>
                <w:sz w:val="18"/>
              </w:rPr>
              <w:t xml:space="preserve">/research-lab/vbc-clinical-quality?tab=value</w:t>
            </w:r>
          </w:p>
        </w:tc>
        <w:tc>
          <w:tcPr>
            <w:tcW w:w="4062" w:type="dxa"/>
          </w:tcPr>
          <w:p>
            <w:pPr>
              <w:pStyle w:val="Compact"/>
              <w:jc w:val="left"/>
            </w:pPr>
            <w:r>
              <w:rPr>
                <w:sz w:val="18"/>
              </w:rPr>
              <w:t xml:space="preserve">Where reducing volume improves both margin and outcomes.</w:t>
            </w:r>
          </w:p>
        </w:tc>
      </w:tr>
      <w:tr>
        <w:trPr>
          <w:cantSplit/>
        </w:trPr>
        <w:tc>
          <w:tcPr>
            <w:tcW w:w="4062" w:type="dxa"/>
          </w:tcPr>
          <w:p>
            <w:pPr>
              <w:pStyle w:val="Compact"/>
              <w:jc w:val="left"/>
            </w:pPr>
            <w:r>
              <w:rPr>
                <w:sz w:val="18"/>
              </w:rPr>
              <w:t xml:space="preserve">Run risk stratification against a panel and compare tiers to current care-management assignment</w:t>
            </w:r>
          </w:p>
        </w:tc>
        <w:tc>
          <w:tcPr>
            <w:tcW w:w="947"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4062" w:type="dxa"/>
          </w:tcPr>
          <w:p>
            <w:pPr>
              <w:pStyle w:val="Compact"/>
              <w:jc w:val="left"/>
            </w:pPr>
            <w:r>
              <w:rPr>
                <w:sz w:val="18"/>
              </w:rPr>
              <w:t xml:space="preserve">Patients in a high tier who are receiving no care management — the gap quality measures do not surface.</w:t>
            </w:r>
          </w:p>
        </w:tc>
      </w:tr>
    </w:tbl>
    <w:p>
      <w:pPr>
        <w:pStyle w:val="Caption"/>
        <w:spacing w:before="120"/>
      </w:pPr>
      <w:r>
        <w:rPr>
          <w:i/>
          <w:iCs/>
        </w:rPr>
        <w:t xml:space="preserve">Figure 9.H — Hands-on platform tools for the Clinical Pillar in practice.</w:t>
      </w:r>
    </w:p>
    <w:p>
      <w:pPr>
        <w:pStyle w:val="Heading2"/>
        <w:pBdr>
          <w:top w:val="single" w:sz="6" w:space="10" w:color="C9D2DF"/>
        </w:pBdr>
      </w:pPr>
      <w:r>
        <w:rPr>
          <w:color w:val="161B22"/>
        </w:rPr>
        <w:t xml:space="preserve">9.11  </w:t>
      </w:r>
      <w:bookmarkStart w:id="1272" w:name="_Toc1271"/>
      <w:r>
        <w:rPr>
          <w:b/>
          <w:bCs/>
          <w:color w:val="161B22"/>
        </w:rPr>
        <w:t xml:space="preserve">Implications for You</w:t>
      </w:r>
      <w:bookmarkEnd w:id="1272"/>
    </w:p>
    <w:p>
      <w:pPr>
        <w:pStyle w:val="FirstParagraph"/>
      </w:pPr>
      <w:r>
        <w:t xml:space="preserve">If you are a Vermont hospital executive: The Community Health Worker investment your organization makes before FY2028 is a direct investment in AHEAD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pPr>
        <w:pStyle w:val="BodyText"/>
      </w:pPr>
      <w:r>
        <w:t xml:space="preserve">If you are an AHS or GMCB official: Vermont’s HSA boundaries are the geographic unit for both AHEAD population attribution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AHEAD measures. The budget for HSA Coordinators is a transformation necessity, not an administrative overhead.</w:t>
      </w:r>
    </w:p>
    <w:p>
      <w:pPr>
        <w:pStyle w:val="BodyText"/>
      </w:pPr>
      <w: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pPr>
        <w:pStyle w:val="BodyText"/>
      </w:pPr>
      <w: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AHEAD financial incentives for deployment, and Blueprint support for implementation — is worth studying as a model for states trying to translate clinical evidence into rural implementation.</w:t>
      </w:r>
    </w:p>
    <w:p>
      <w:pPr>
        <w:pStyle w:val="Heading2"/>
        <w:pBdr>
          <w:top w:val="single" w:sz="6" w:space="10" w:color="C9D2DF"/>
        </w:pBdr>
      </w:pPr>
      <w:r>
        <w:rPr>
          <w:color w:val="161B22"/>
        </w:rPr>
        <w:t xml:space="preserve">9.12  </w:t>
      </w:r>
      <w:bookmarkStart w:id="1273" w:name="_Toc1272"/>
      <w:r>
        <w:rPr>
          <w:b/>
          <w:bCs/>
          <w:color w:val="161B22"/>
        </w:rPr>
        <w:t xml:space="preserve">Key Concepts in This Chapter</w:t>
      </w:r>
      <w:bookmarkEnd w:id="1273"/>
    </w:p>
    <w:p>
      <w:pPr>
        <w:pStyle w:val="FirstParagraph"/>
        <w:spacing w:before="160" w:after="120"/>
      </w:pPr>
      <w:r>
        <w:rPr>
          <w:rFonts w:ascii="Calibri" w:hAnsi="Calibri"/>
          <w:b/>
          <w:bCs/>
          <w:color w:val="2E74B5"/>
          <w:sz w:val="20"/>
        </w:rPr>
        <w:t xml:space="preserve">Panel risk stratification</w:t>
      </w:r>
      <w:r>
        <w:rPr>
          <w:rFonts w:ascii="Calibri" w:hAnsi="Calibri"/>
          <w:color w:val="000000"/>
          <w:sz w:val="18"/>
        </w:rPr>
        <w:br/>
      </w:r>
      <w:r>
        <w:rPr>
          <w:rFonts w:ascii="Calibri" w:hAnsi="Calibri"/>
          <w:color w:val="000000"/>
          <w:sz w:val="18"/>
        </w:rPr>
        <w:t xml:space="preserve">The systematic organization of a primary care practice’s attributed patient panel into risk tiers to enable proportional deployment of care management resources. The foundation of population health management at the practice level.</w:t>
      </w:r>
    </w:p>
    <w:p>
      <w:pPr>
        <w:pStyle w:val="BodyText"/>
        <w:spacing w:before="160" w:after="120"/>
      </w:pPr>
      <w:r>
        <w:rPr>
          <w:rFonts w:ascii="Calibri" w:hAnsi="Calibri"/>
          <w:b/>
          <w:bCs/>
          <w:color w:val="2E74B5"/>
          <w:sz w:val="20"/>
        </w:rPr>
        <w:t xml:space="preserve">Behavioral Health Care Manager (BHCM)</w:t>
      </w:r>
      <w:r>
        <w:rPr>
          <w:rFonts w:ascii="Calibri" w:hAnsi="Calibri"/>
          <w:color w:val="000000"/>
          <w:sz w:val="18"/>
        </w:rPr>
        <w:br/>
      </w:r>
      <w:r>
        <w:rPr>
          <w:rFonts w:ascii="Calibri" w:hAnsi="Calibri"/>
          <w:color w:val="000000"/>
          <w:sz w:val="18"/>
        </w:rPr>
        <w:t xml:space="preserve">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p>
    <w:p>
      <w:pPr>
        <w:pStyle w:val="BodyText"/>
        <w:spacing w:before="160" w:after="120"/>
      </w:pPr>
      <w:r>
        <w:rPr>
          <w:rFonts w:ascii="Calibri" w:hAnsi="Calibri"/>
          <w:b/>
          <w:bCs/>
          <w:color w:val="2E74B5"/>
          <w:sz w:val="20"/>
        </w:rPr>
        <w:t xml:space="preserve">Transitional Care Model (TCM)</w:t>
      </w:r>
      <w:r>
        <w:rPr>
          <w:rFonts w:ascii="Calibri" w:hAnsi="Calibri"/>
          <w:color w:val="000000"/>
          <w:sz w:val="18"/>
        </w:rPr>
        <w:br/>
      </w:r>
      <w:r>
        <w:rPr>
          <w:rFonts w:ascii="Calibri" w:hAnsi="Calibri"/>
          <w:color w:val="000000"/>
          <w:sz w:val="18"/>
        </w:rPr>
        <w:t xml:space="preserve">The evidence-based approach to reducing 30-day readmissions through intensive post-discharge support, including 24-48 hour post-discharge contact, home visits for highest-risk patients, medication reconciliation, and primary care follow-up before discharge.</w:t>
      </w:r>
    </w:p>
    <w:p>
      <w:pPr>
        <w:pStyle w:val="BodyText"/>
        <w:spacing w:before="160" w:after="120"/>
      </w:pPr>
      <w:r>
        <w:rPr>
          <w:rFonts w:ascii="Calibri" w:hAnsi="Calibri"/>
          <w:b/>
          <w:bCs/>
          <w:color w:val="2E74B5"/>
          <w:sz w:val="20"/>
        </w:rPr>
        <w:t xml:space="preserve">HCC gap analysis</w:t>
      </w:r>
      <w:r>
        <w:rPr>
          <w:rFonts w:ascii="Calibri" w:hAnsi="Calibri"/>
          <w:color w:val="000000"/>
          <w:sz w:val="18"/>
        </w:rPr>
        <w:br/>
      </w:r>
      <w:r>
        <w:rPr>
          <w:rFonts w:ascii="Calibri" w:hAnsi="Calibri"/>
          <w:color w:val="000000"/>
          <w:sz w:val="18"/>
        </w:rPr>
        <w:t xml:space="preserve">A systematic review of an attributed population’s ICD-10 diagnosis coding to identify documentation opportunities where more precise coding would improve risk adjustment accuracy and produce a more accurate RAF score — directly affecting global budget levels under AHEAD.</w:t>
      </w:r>
    </w:p>
    <w:p>
      <w:pPr>
        <w:pStyle w:val="BodyText"/>
        <w:spacing w:before="160" w:after="120"/>
      </w:pPr>
      <w:r>
        <w:rPr>
          <w:rFonts w:ascii="Calibri" w:hAnsi="Calibri"/>
          <w:b/>
          <w:bCs/>
          <w:color w:val="2E74B5"/>
          <w:sz w:val="20"/>
        </w:rPr>
        <w:t xml:space="preserve">CoCM registry</w:t>
      </w:r>
      <w:r>
        <w:rPr>
          <w:rFonts w:ascii="Calibri" w:hAnsi="Calibri"/>
          <w:color w:val="000000"/>
          <w:sz w:val="18"/>
        </w:rPr>
        <w:br/>
      </w:r>
      <w:r>
        <w:rPr>
          <w:rFonts w:ascii="Calibri" w:hAnsi="Calibri"/>
          <w:color w:val="000000"/>
          <w:sz w:val="18"/>
        </w:rPr>
        <w:t xml:space="preserve">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p>
    <w:p>
      <w:pPr>
        <w:pStyle w:val="BodyText"/>
        <w:spacing w:before="160" w:after="120"/>
      </w:pPr>
      <w:r>
        <w:rPr>
          <w:rFonts w:ascii="Calibri" w:hAnsi="Calibri"/>
          <w:b/>
          <w:bCs/>
          <w:color w:val="2E74B5"/>
          <w:sz w:val="20"/>
        </w:rPr>
        <w:t xml:space="preserve">Warm handoff</w:t>
      </w:r>
      <w:r>
        <w:rPr>
          <w:rFonts w:ascii="Calibri" w:hAnsi="Calibri"/>
          <w:color w:val="000000"/>
          <w:sz w:val="18"/>
        </w:rPr>
        <w:br/>
      </w:r>
      <w:r>
        <w:rPr>
          <w:rFonts w:ascii="Calibri" w:hAnsi="Calibri"/>
          <w:color w:val="000000"/>
          <w:sz w:val="18"/>
        </w:rPr>
        <w:t xml:space="preserve">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p>
    <w:p>
      <w:pPr>
        <w:pStyle w:val="BodyText"/>
        <w:spacing w:before="160" w:after="120"/>
      </w:pPr>
      <w:r>
        <w:rPr>
          <w:rFonts w:ascii="Calibri" w:hAnsi="Calibri"/>
          <w:b/>
          <w:bCs/>
          <w:color w:val="2E74B5"/>
          <w:sz w:val="20"/>
        </w:rPr>
        <w:t xml:space="preserve">HEDIS FUM</w:t>
      </w:r>
      <w:r>
        <w:rPr>
          <w:rFonts w:ascii="Calibri" w:hAnsi="Calibri"/>
          <w:color w:val="000000"/>
          <w:sz w:val="18"/>
        </w:rPr>
        <w:br/>
      </w:r>
      <w:r>
        <w:rPr>
          <w:rFonts w:ascii="Calibri" w:hAnsi="Calibri"/>
          <w:color w:val="000000"/>
          <w:sz w:val="18"/>
        </w:rPr>
        <w:t xml:space="preserve">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p>
    <w:p>
      <w:pPr>
        <w:pStyle w:val="BodyText"/>
        <w:spacing w:before="160" w:after="120"/>
      </w:pPr>
      <w:r>
        <w:rPr>
          <w:rFonts w:ascii="Calibri" w:hAnsi="Calibri"/>
          <w:b/>
          <w:bCs/>
          <w:color w:val="2E74B5"/>
          <w:sz w:val="20"/>
        </w:rPr>
        <w:t xml:space="preserve">Structured data capture</w:t>
      </w:r>
      <w:r>
        <w:rPr>
          <w:rFonts w:ascii="Calibri" w:hAnsi="Calibri"/>
          <w:color w:val="000000"/>
          <w:sz w:val="18"/>
        </w:rPr>
        <w:br/>
      </w:r>
      <w:r>
        <w:rPr>
          <w:rFonts w:ascii="Calibri" w:hAnsi="Calibri"/>
          <w:color w:val="000000"/>
          <w:sz w:val="18"/>
        </w:rPr>
        <w:t xml:space="preserve">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p>
    <w:p>
      <w:pPr>
        <w:pStyle w:val="BodyText"/>
        <w:spacing w:before="160" w:after="120"/>
      </w:pPr>
      <w:r>
        <w:rPr>
          <w:rFonts w:ascii="Calibri" w:hAnsi="Calibri"/>
          <w:b/>
          <w:bCs/>
          <w:color w:val="2E74B5"/>
          <w:sz w:val="20"/>
        </w:rPr>
        <w:t xml:space="preserve">Clinical inertia</w:t>
      </w:r>
      <w:r>
        <w:rPr>
          <w:rFonts w:ascii="Calibri" w:hAnsi="Calibri"/>
          <w:color w:val="000000"/>
          <w:sz w:val="18"/>
        </w:rPr>
        <w:br/>
      </w:r>
      <w:r>
        <w:rPr>
          <w:rFonts w:ascii="Calibri" w:hAnsi="Calibri"/>
          <w:color w:val="000000"/>
          <w:sz w:val="18"/>
        </w:rPr>
        <w:t xml:space="preserve">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p>
    <w:p>
      <w:r>
        <w:br w:type="page"/>
      </w:r>
    </w:p>
    <w:p>
      <w:pPr>
        <w:pStyle w:val="Heading1"/>
      </w:pPr>
      <w:bookmarkStart w:id="1274" w:name="_Toc1273"/>
      <w:r>
        <w:rPr>
          <w:b/>
          <w:bCs/>
          <w:color w:val="161B22"/>
        </w:rPr>
        <w:t xml:space="preserve">Chapter 10: The Equity Pillar — Closing Gaps, Not Just Averaging Them</w:t>
      </w:r>
      <w:bookmarkEnd w:id="127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11-point primary care access gap by race and the geographic concentration of the worst health outcomes in the Northeast Kingdom are the equity test that every payment reform architecture must pass.</w:t>
      </w:r>
    </w:p>
    <w:p>
      <w:pPr>
        <w:pStyle w:val="BodyText"/>
      </w:pPr>
      <w:r>
        <w:rPr>
          <w:i/>
          <w:iCs/>
        </w:rPr>
        <w:t xml:space="preserve">A system that improves average outcomes while widening disparities has not achieved quality improvement. Vermont’s dominant equity challenge is geographic — the Northeast Kingdom.</w:t>
      </w:r>
    </w:p>
    <w:p>
      <w:pPr>
        <w:pStyle w:val="Heading2"/>
        <w:pBdr>
          <w:top w:val="single" w:sz="6" w:space="10" w:color="C9D2DF"/>
        </w:pBdr>
      </w:pPr>
      <w:r>
        <w:rPr>
          <w:color w:val="161B22"/>
        </w:rPr>
        <w:t xml:space="preserve">10.1  </w:t>
      </w:r>
      <w:bookmarkStart w:id="1275" w:name="_Toc1274"/>
      <w:r>
        <w:rPr>
          <w:b/>
          <w:bCs/>
          <w:color w:val="161B22"/>
        </w:rPr>
        <w:t xml:space="preserve">The Equity Pillar: Why Average Outcomes Are the Wrong Target</w:t>
      </w:r>
      <w:bookmarkEnd w:id="1275"/>
    </w:p>
    <w:p>
      <w:pPr>
        <w:pStyle w:val="FirstParagraph"/>
      </w:pPr>
      <w: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pPr>
        <w:pStyle w:val="BodyText"/>
      </w:pPr>
      <w:r>
        <w:t xml:space="preserve">The Equity pillar of the six-pillar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pPr>
        <w:pStyle w:val="BodyText"/>
      </w:pPr>
      <w: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pPr>
        <w:pStyle w:val="BodyText"/>
      </w:pPr>
      <w:r>
        <w:t xml:space="preserve">This does not mean racial equity is unimportant in Vermont. The Vermont Department of Health’s 2024 health equity data shows clear disparities: Black adults in Vermont have an 82% health insurance coverage rate compared to 94% statewide. Adults who are Asian, Native Hawaiian or Pacific Islander, Black, or another race are significantly less likely to have a primary care provider than white adults. LGBTQ+ Vermonters, Vermonters with disabilities, and lower-income Vermonters delay care at higher rates due to cost. And Vermont’s BIPOC communities face the same structural racism in healthcare settings that affects every state — weight bias, cultural incompetence, language barriers, and documented differential treatment quality.</w:t>
      </w:r>
    </w:p>
    <w:p>
      <w:pPr>
        <w:pStyle w:val="BodyText"/>
      </w:pPr>
      <w: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pPr>
        <w:pStyle w:val="Heading2"/>
        <w:pBdr>
          <w:top w:val="single" w:sz="6" w:space="10" w:color="C9D2DF"/>
        </w:pBdr>
      </w:pPr>
      <w:r>
        <w:rPr>
          <w:color w:val="161B22"/>
        </w:rPr>
        <w:t xml:space="preserve">10.2  </w:t>
      </w:r>
      <w:bookmarkStart w:id="1276" w:name="_Toc1275"/>
      <w:r>
        <w:rPr>
          <w:b/>
          <w:bCs/>
          <w:color w:val="161B22"/>
        </w:rPr>
        <w:t xml:space="preserve">Vermont’s Equity Landscape — What the Data Shows</w:t>
      </w:r>
      <w:bookmarkEnd w:id="1276"/>
    </w:p>
    <w:p>
      <w:pPr>
        <w:pStyle w:val="FirstParagraph"/>
      </w:pPr>
      <w:r>
        <w:t xml:space="preserve">8% Essex County Uninsured — 3x State Avg</w:t>
      </w:r>
    </w:p>
    <w:p>
      <w:pPr>
        <w:pStyle w:val="BodyText"/>
      </w:pPr>
      <w:r>
        <w:rPr>
          <w:i/>
          <w:iCs/>
        </w:rPr>
        <w:t xml:space="preserve">6-8% NE Kingdom Uninsurance Rate</w:t>
      </w:r>
    </w:p>
    <w:p>
      <w:pPr>
        <w:pStyle w:val="Heading3"/>
        <w:keepNext w:val="false"/>
      </w:pPr>
      <w:r>
        <w:rPr>
          <w:color w:val="161B22"/>
        </w:rPr>
        <w:t xml:space="preserve">10.2.1  </w:t>
      </w:r>
      <w:bookmarkStart w:id="1277" w:name="_Toc1276"/>
      <w:r>
        <w:rPr>
          <w:b/>
          <w:bCs/>
          <w:color w:val="161B22"/>
        </w:rPr>
        <w:t xml:space="preserve">Geographic Equity: The Rural-Urban Divide</w:t>
      </w:r>
      <w:bookmarkEnd w:id="1277"/>
    </w:p>
    <w:p>
      <w:pPr>
        <w:pStyle w:val="FirstParagraph"/>
        <w:keepNext w:val="false"/>
      </w:pPr>
      <w:r>
        <w:t xml:space="preserve">Vermont’s most pervasive and consequential health equity disparity is geographic. The Northeast Kingdom — Caledonia, Essex, and Orleans counties — concentrates the state’s most severe access, affordability, and outcome disparities: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Uninsured rate, Essex County (NE Kingdom) 8% vs. 3% statewide — nearly 3x the state average despite Vermont’s near-universal coverage</w:t>
            </w:r>
          </w:p>
        </w:tc>
        <w:tc>
          <w:tcPr>
            <w:shd w:val="clear" w:color="auto" w:fill="1B3A6B"/>
            <w:tcW w:w="4536" w:type="dxa"/>
          </w:tcPr>
          <w:p>
            <w:pPr>
              <w:pStyle w:val="Compact"/>
              <w:jc w:val="left"/>
            </w:pPr>
            <w:r>
              <w:rPr>
                <w:b/>
                <w:color w:val="FFFFFF"/>
                <w:sz w:val="18"/>
              </w:rPr>
              <w:t xml:space="preserve">Counties with above-average suicide/self-harm ED rates Rutland + Windham Statistically higher than state average per 10,000 ED visits (AHS Nov 2025 data)</w:t>
            </w:r>
          </w:p>
        </w:tc>
      </w:tr>
      <w:tr>
        <w:trPr/>
        <w:tc>
          <w:tcPr>
            <w:tcW w:w="4536" w:type="dxa"/>
          </w:tcPr>
          <w:p>
            <w:pPr>
              <w:pStyle w:val="Compact"/>
              <w:jc w:val="left"/>
            </w:pPr>
            <w:r>
              <w:rPr>
                <w:sz w:val="18"/>
              </w:rPr>
              <w:t xml:space="preserve">Counties with above-average opioid overdose ED rates Chittenden + Bennington + Windham Geographic concentration of SUD burden that does not align with service concentration</w:t>
            </w:r>
          </w:p>
        </w:tc>
        <w:tc>
          <w:tcPr>
            <w:tcW w:w="4536" w:type="dxa"/>
          </w:tcPr>
          <w:p>
            <w:pPr>
              <w:pStyle w:val="Compact"/>
              <w:jc w:val="left"/>
            </w:pPr>
            <w:r>
              <w:rPr>
                <w:sz w:val="18"/>
              </w:rPr>
              <w:t xml:space="preserve">Rural counties with highest poverty rates Essex + Windham + Orleans Higher disability rates, lower broadband access, limited transportation in same counties</w:t>
            </w:r>
          </w:p>
        </w:tc>
      </w:tr>
    </w:tbl>
    <w:p>
      <w:pPr>
        <w:pStyle w:val="Caption"/>
        <w:spacing w:before="120"/>
      </w:pPr>
      <w:r>
        <w:rPr>
          <w:i/>
          <w:iCs/>
        </w:rPr>
        <w:t xml:space="preserve">Figure 10.1 — Vermont geographic equity disparities: key indicators. Sources: AHS November 2025 Transformation Report; Vermont RHT Program Application; Vermont Department of Health.</w:t>
      </w:r>
    </w:p>
    <w:p>
      <w:pPr>
        <w:pStyle w:val="BodyText"/>
      </w:pPr>
      <w: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pPr>
        <w:pStyle w:val="BodyText"/>
      </w:pPr>
      <w: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pPr>
        <w:pStyle w:val="Heading3"/>
      </w:pPr>
      <w:r>
        <w:rPr>
          <w:color w:val="161B22"/>
        </w:rPr>
        <w:t xml:space="preserve">10.2.2  </w:t>
      </w:r>
      <w:bookmarkStart w:id="1278" w:name="_Toc1277"/>
      <w:r>
        <w:rPr>
          <w:b/>
          <w:bCs/>
          <w:color w:val="161B22"/>
        </w:rPr>
        <w:t xml:space="preserve">Racial and Demographic Equity</w:t>
      </w:r>
      <w:bookmarkEnd w:id="1278"/>
    </w:p>
    <w:p>
      <w:pPr>
        <w:pStyle w:val="FirstParagraph"/>
      </w:pPr>
      <w:r>
        <w:t xml:space="preserve">Vermont’s racial equity disparities, while smaller in absolute number than in more diverse states, are documented and consequential. The 2024 Vermont Department of Health equity report shows that statewide, 94% of Vermont adults have health insurance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pPr>
        <w:pStyle w:val="BodyText"/>
      </w:pPr>
      <w: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pPr>
        <w:pStyle w:val="BodyText"/>
      </w:pPr>
      <w: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pPr>
        <w:pStyle w:val="Heading3"/>
        <w:keepNext w:val="false"/>
      </w:pPr>
      <w:r>
        <w:rPr>
          <w:color w:val="161B22"/>
        </w:rPr>
        <w:t xml:space="preserve">10.2.3  </w:t>
      </w:r>
      <w:bookmarkStart w:id="1279" w:name="_Toc1278"/>
      <w:r>
        <w:rPr>
          <w:b/>
          <w:bCs/>
          <w:color w:val="161B22"/>
        </w:rPr>
        <w:t xml:space="preserve">The SDOH Burden</w:t>
      </w:r>
      <w:bookmarkEnd w:id="1279"/>
    </w:p>
    <w:p>
      <w:pPr>
        <w:pStyle w:val="FirstParagraph"/>
        <w:keepNext w:val="false"/>
      </w:pPr>
      <w:r>
        <w:t xml:space="preserve">Vermont’s equity data from the RHT Program application quantifies the SDOH burden that Oliver Wyman identified as both a driver of healthcare utilization and a barrier to healthcare access:</w:t>
      </w:r>
    </w:p>
    <w:tbl>
      <w:tblPr>
        <w:tblStyle w:val="HTRTable"/>
        <w:tblLook w:firstRow="1" w:lastRow="0" w:firstColumn="0" w:lastColumn="0" w:noHBand="0" w:noVBand="1" w:val="0020"/>
        <w:tblW w:w="9072" w:type="dxa"/>
        <w:tblLayout w:type="fixed"/>
      </w:tblPr>
      <w:tblGrid>
        <w:gridCol w:w="1275"/>
        <w:gridCol w:w="3795"/>
        <w:gridCol w:w="4005"/>
      </w:tblGrid>
      <w:tr>
        <w:trPr>
          <w:tblHeader w:val="on"/>
          <w:cantSplit/>
        </w:trPr>
        <w:tc>
          <w:tcPr>
            <w:shd w:val="clear" w:color="auto" w:fill="1B3A6B"/>
            <w:tcW w:w="1275" w:type="dxa"/>
          </w:tcPr>
          <w:p>
            <w:pPr>
              <w:pStyle w:val="Compact"/>
              <w:jc w:val="left"/>
            </w:pPr>
            <w:r>
              <w:rPr>
                <w:b/>
                <w:color w:val="FFFFFF"/>
                <w:sz w:val="18"/>
              </w:rPr>
              <w:t xml:space="preserve">SDOH domain</w:t>
            </w:r>
          </w:p>
        </w:tc>
        <w:tc>
          <w:tcPr>
            <w:shd w:val="clear" w:color="auto" w:fill="1B3A6B"/>
            <w:tcW w:w="3795" w:type="dxa"/>
          </w:tcPr>
          <w:p>
            <w:pPr>
              <w:pStyle w:val="Compact"/>
              <w:jc w:val="left"/>
            </w:pPr>
            <w:r>
              <w:rPr>
                <w:b/>
                <w:color w:val="FFFFFF"/>
                <w:sz w:val="18"/>
              </w:rPr>
              <w:t xml:space="preserve">Vermont statistic</w:t>
            </w:r>
          </w:p>
        </w:tc>
        <w:tc>
          <w:tcPr>
            <w:shd w:val="clear" w:color="auto" w:fill="1B3A6B"/>
            <w:tcW w:w="4005" w:type="dxa"/>
          </w:tcPr>
          <w:p>
            <w:pPr>
              <w:pStyle w:val="Compact"/>
              <w:jc w:val="left"/>
            </w:pPr>
            <w:r>
              <w:rPr>
                <w:b/>
                <w:color w:val="FFFFFF"/>
                <w:sz w:val="18"/>
              </w:rPr>
              <w:t xml:space="preserve">Equity implication</w:t>
            </w:r>
          </w:p>
        </w:tc>
      </w:tr>
      <w:tr>
        <w:trPr>
          <w:cantSplit/>
        </w:trPr>
        <w:tc>
          <w:tcPr>
            <w:tcW w:w="1275" w:type="dxa"/>
          </w:tcPr>
          <w:p>
            <w:pPr>
              <w:pStyle w:val="Compact"/>
              <w:jc w:val="left"/>
            </w:pPr>
            <w:r>
              <w:rPr>
                <w:sz w:val="18"/>
              </w:rPr>
              <w:t xml:space="preserve">Housing</w:t>
            </w:r>
          </w:p>
        </w:tc>
        <w:tc>
          <w:tcPr>
            <w:tcW w:w="3795" w:type="dxa"/>
          </w:tcPr>
          <w:p>
            <w:pPr>
              <w:pStyle w:val="Compact"/>
              <w:jc w:val="left"/>
            </w:pPr>
            <w:r>
              <w:rPr>
                <w:sz w:val="18"/>
              </w:rPr>
              <w:t xml:space="preserve">Rental vacancy rate 3% (healthy market = 5%); half of Vermont renters cost-burdened; per capita homelessness rate second highest nationally</w:t>
            </w:r>
          </w:p>
        </w:tc>
        <w:tc>
          <w:tcPr>
            <w:tcW w:w="4005" w:type="dxa"/>
          </w:tcPr>
          <w:p>
            <w:pPr>
              <w:pStyle w:val="Compact"/>
              <w:jc w:val="left"/>
            </w:pPr>
            <w:r>
              <w:rPr>
                <w:sz w:val="18"/>
              </w:rPr>
              <w:t xml:space="preserve">Housing instability is both a health risk factor and a barrier to care — unhoused individuals cannot reliably access scheduled appointments; housing-unstable families face stress that drives both physical and mental health deterioration</w:t>
            </w:r>
          </w:p>
        </w:tc>
      </w:tr>
      <w:tr>
        <w:trPr/>
        <w:tc>
          <w:tcPr>
            <w:tcW w:w="1275" w:type="dxa"/>
          </w:tcPr>
          <w:p>
            <w:pPr>
              <w:pStyle w:val="Compact"/>
              <w:jc w:val="left"/>
            </w:pPr>
            <w:r>
              <w:rPr>
                <w:sz w:val="18"/>
              </w:rPr>
              <w:t xml:space="preserve">Broadband access</w:t>
            </w:r>
          </w:p>
        </w:tc>
        <w:tc>
          <w:tcPr>
            <w:tcW w:w="3795" w:type="dxa"/>
          </w:tcPr>
          <w:p>
            <w:pPr>
              <w:pStyle w:val="Compact"/>
              <w:jc w:val="left"/>
            </w:pPr>
            <w:r>
              <w:rPr>
                <w:sz w:val="18"/>
              </w:rPr>
              <w:t xml:space="preserve">80% of rural Vermonters have broadband; 14% of all Vermonters lack access</w:t>
            </w:r>
          </w:p>
        </w:tc>
        <w:tc>
          <w:tcPr>
            <w:tcW w:w="4005" w:type="dxa"/>
          </w:tcPr>
          <w:p>
            <w:pPr>
              <w:pStyle w:val="Compact"/>
              <w:jc w:val="left"/>
            </w:pPr>
            <w:r>
              <w:rPr>
                <w:sz w:val="18"/>
              </w:rPr>
              <w:t xml:space="preserve">Broadband gap concentrates in the Northeast Kingdom — the same counties with highest uninsurance and most limited primary care access. Telehealth cannot reach the communities that need it most without broadband.</w:t>
            </w:r>
          </w:p>
        </w:tc>
      </w:tr>
      <w:tr>
        <w:trPr/>
        <w:tc>
          <w:tcPr>
            <w:tcW w:w="1275" w:type="dxa"/>
          </w:tcPr>
          <w:p>
            <w:pPr>
              <w:pStyle w:val="Compact"/>
              <w:jc w:val="left"/>
            </w:pPr>
            <w:r>
              <w:rPr>
                <w:sz w:val="18"/>
              </w:rPr>
              <w:t xml:space="preserve">Food insecurity</w:t>
            </w:r>
          </w:p>
        </w:tc>
        <w:tc>
          <w:tcPr>
            <w:tcW w:w="3795" w:type="dxa"/>
          </w:tcPr>
          <w:p>
            <w:pPr>
              <w:pStyle w:val="Compact"/>
              <w:jc w:val="left"/>
            </w:pPr>
            <w:r>
              <w:rPr>
                <w:sz w:val="18"/>
              </w:rPr>
              <w:t xml:space="preserve">9% of Vermonters are food insecure</w:t>
            </w:r>
          </w:p>
        </w:tc>
        <w:tc>
          <w:tcPr>
            <w:tcW w:w="4005" w:type="dxa"/>
          </w:tcPr>
          <w:p>
            <w:pPr>
              <w:pStyle w:val="Compact"/>
              <w:jc w:val="left"/>
            </w:pPr>
            <w:r>
              <w:rPr>
                <w:sz w:val="18"/>
              </w:rPr>
              <w:t xml:space="preserve">Food insecurity is a risk factor for diabetes, cardiovascular disease, and mental health conditions — the chronic diseases that drive Vermont’s highest healthcare costs. Higher rates in rural counties compound the geographic equity burden.</w:t>
            </w:r>
          </w:p>
        </w:tc>
      </w:tr>
      <w:tr>
        <w:trPr/>
        <w:tc>
          <w:tcPr>
            <w:tcW w:w="1275" w:type="dxa"/>
          </w:tcPr>
          <w:p>
            <w:pPr>
              <w:pStyle w:val="Compact"/>
              <w:jc w:val="left"/>
            </w:pPr>
            <w:r>
              <w:rPr>
                <w:sz w:val="18"/>
              </w:rPr>
              <w:t xml:space="preserve">Transportation</w:t>
            </w:r>
          </w:p>
        </w:tc>
        <w:tc>
          <w:tcPr>
            <w:tcW w:w="3795" w:type="dxa"/>
          </w:tcPr>
          <w:p>
            <w:pPr>
              <w:pStyle w:val="Compact"/>
              <w:jc w:val="left"/>
            </w:pPr>
            <w:r>
              <w:rPr>
                <w:sz w:val="18"/>
              </w:rPr>
              <w:t xml:space="preserve">Public transportation limited or unreliable in most rural counties, particularly Northeast Kingdom and Rutland County</w:t>
            </w:r>
          </w:p>
        </w:tc>
        <w:tc>
          <w:tcPr>
            <w:tcW w:w="4005" w:type="dxa"/>
          </w:tcPr>
          <w:p>
            <w:pPr>
              <w:pStyle w:val="Compact"/>
              <w:jc w:val="left"/>
            </w:pPr>
            <w:r>
              <w:rPr>
                <w:sz w:val="18"/>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p>
        </w:tc>
      </w:tr>
      <w:tr>
        <w:trPr>
          <w:cantSplit/>
        </w:trPr>
        <w:tc>
          <w:tcPr>
            <w:tcW w:w="1275" w:type="dxa"/>
          </w:tcPr>
          <w:p>
            <w:pPr>
              <w:pStyle w:val="Compact"/>
              <w:jc w:val="left"/>
            </w:pPr>
            <w:r>
              <w:rPr>
                <w:sz w:val="18"/>
              </w:rPr>
              <w:t xml:space="preserve">Income</w:t>
            </w:r>
          </w:p>
        </w:tc>
        <w:tc>
          <w:tcPr>
            <w:tcW w:w="3795" w:type="dxa"/>
          </w:tcPr>
          <w:p>
            <w:pPr>
              <w:pStyle w:val="Compact"/>
              <w:jc w:val="left"/>
            </w:pPr>
            <w:r>
              <w:rPr>
                <w:sz w:val="18"/>
              </w:rPr>
              <w:t xml:space="preserve">Rural counties (Essex, Windham, Orleans) report higher poverty rates; Northeast Kingdom has highest unemployment</w:t>
            </w:r>
          </w:p>
        </w:tc>
        <w:tc>
          <w:tcPr>
            <w:tcW w:w="4005" w:type="dxa"/>
          </w:tcPr>
          <w:p>
            <w:pPr>
              <w:pStyle w:val="Compact"/>
              <w:jc w:val="left"/>
            </w:pPr>
            <w:r>
              <w:rPr>
                <w:sz w:val="18"/>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p>
        </w:tc>
      </w:tr>
    </w:tbl>
    <w:p>
      <w:pPr>
        <w:pStyle w:val="Caption"/>
        <w:spacing w:before="120"/>
      </w:pPr>
      <w:r>
        <w:rPr>
          <w:i/>
          <w:iCs/>
        </w:rPr>
        <w:t xml:space="preserve">Figure 10.2 — Vermont SDOH burden: key indicators and equity implications. Sources: Vermont RHT Program Application (November 2025); Oliver Wyman Act 167 Report; Vermont Department of Health.</w:t>
      </w:r>
    </w:p>
    <w:p>
      <w:pPr>
        <w:pStyle w:val="Heading2"/>
        <w:pBdr>
          <w:top w:val="single" w:sz="6" w:space="10" w:color="C9D2DF"/>
        </w:pBdr>
      </w:pPr>
      <w:r>
        <w:rPr>
          <w:color w:val="161B22"/>
        </w:rPr>
        <w:t xml:space="preserve">10.3  </w:t>
      </w:r>
      <w:bookmarkStart w:id="1280" w:name="_Toc1279"/>
      <w:r>
        <w:rPr>
          <w:b/>
          <w:bCs/>
          <w:color w:val="161B22"/>
        </w:rPr>
        <w:t xml:space="preserve">The Disparity Root Cause Taxonomy — Why Vermont’s Equity Gaps Exist</w:t>
      </w:r>
      <w:bookmarkEnd w:id="1280"/>
    </w:p>
    <w:p>
      <w:pPr>
        <w:pStyle w:val="FirstParagraph"/>
        <w:keepNext w:val="false"/>
      </w:pPr>
      <w: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pPr>
        <w:pStyle w:val="BodyText"/>
        <w:keepNext w:val="false"/>
      </w:pPr>
      <w:r>
        <w:t xml:space="preserve">Drawing from the Health Equity pillar framework, Vermont’s equity gaps fall into five root cause categories. For each category, Vermont has a documented disparity, a traceable mechanism, and a set of interventions — some already underway, some required.</w:t>
      </w:r>
    </w:p>
    <w:tbl>
      <w:tblPr>
        <w:tblStyle w:val="HTRTable"/>
        <w:tblLook w:firstRow="1" w:lastRow="0" w:firstColumn="0" w:lastColumn="0" w:noHBand="0" w:noVBand="1" w:val="0020"/>
        <w:tblW w:w="9072" w:type="dxa"/>
        <w:tblLayout w:type="autofit"/>
      </w:tblPr>
      <w:tblGrid>
        <w:gridCol w:w="3219"/>
        <w:gridCol w:w="5852"/>
      </w:tblGrid>
      <w:tr>
        <w:trPr>
          <w:tblHeader w:val="on"/>
          <w:cantSplit/>
        </w:trPr>
        <w:tc>
          <w:tcPr>
            <w:shd w:val="clear" w:color="auto" w:fill="1B3A6B"/>
            <w:tcW w:w="3219" w:type="dxa"/>
          </w:tcPr>
          <w:p>
            <w:pPr>
              <w:pStyle w:val="Compact"/>
              <w:spacing w:before="0" w:after="0" w:line="240" w:lineRule="auto"/>
              <w:jc w:val="left"/>
            </w:pPr>
            <w:r>
              <w:rPr>
                <w:b/>
                <w:color w:val="FFFFFF"/>
                <w:sz w:val="17"/>
              </w:rPr>
              <w:t xml:space="preserve">Root cause category</w:t>
            </w:r>
          </w:p>
        </w:tc>
        <w:tc>
          <w:tcPr>
            <w:shd w:val="clear" w:color="auto" w:fill="1B3A6B"/>
            <w:tcW w:w="5852" w:type="dxa"/>
          </w:tcPr>
          <w:p>
            <w:pPr>
              <w:pStyle w:val="Compact"/>
              <w:spacing w:before="0" w:after="0" w:line="240" w:lineRule="auto"/>
              <w:jc w:val="left"/>
            </w:pPr>
            <w:r>
              <w:rPr>
                <w:b/>
                <w:color w:val="FFFFFF"/>
                <w:sz w:val="17"/>
              </w:rPr>
              <w:t xml:space="preserve">Mechanisms and Vermont interventions</w:t>
            </w:r>
          </w:p>
        </w:tc>
      </w:tr>
      <w:tr>
        <w:trPr>
          <w:cantSplit/>
        </w:trPr>
        <w:tc>
          <w:tcPr>
            <w:tcW w:w="3219" w:type="dxa"/>
          </w:tcPr>
          <w:p>
            <w:pPr>
              <w:pStyle w:val="Compact"/>
              <w:spacing w:before="0" w:after="0" w:line="240" w:lineRule="auto"/>
              <w:jc w:val="left"/>
            </w:pPr>
            <w:r>
              <w:rPr>
                <w:sz w:val="17"/>
              </w:rPr>
              <w:t xml:space="preserve">1 Geographic Access Barriers</w:t>
            </w:r>
          </w:p>
        </w:tc>
        <w:tc>
          <w:tcPr>
            <w:tcW w:w="5852" w:type="dxa"/>
          </w:tcPr>
          <w:p>
            <w:pPr>
              <w:pStyle w:val="Compact"/>
              <w:spacing w:before="0" w:after="0" w:line="240" w:lineRule="auto"/>
              <w:jc w:val="left"/>
            </w:pPr>
            <w:r>
              <w:rPr>
                <w:sz w:val="17"/>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(Oliver Wyman Imperative 1); Blueprint PCMH expansion to all HSAs; community paramedicine.</w:t>
            </w:r>
          </w:p>
        </w:tc>
      </w:tr>
      <w:tr>
        <w:trPr/>
        <w:tc>
          <w:tcPr>
            <w:tcW w:w="3219" w:type="dxa"/>
          </w:tcPr>
          <w:p>
            <w:pPr>
              <w:pStyle w:val="Compact"/>
              <w:spacing w:before="0" w:after="0" w:line="240" w:lineRule="auto"/>
              <w:jc w:val="left"/>
            </w:pPr>
            <w:r>
              <w:rPr>
                <w:sz w:val="17"/>
              </w:rPr>
              <w:t xml:space="preserve">2 Social Needs Barriers</w:t>
            </w:r>
          </w:p>
        </w:tc>
        <w:tc>
          <w:tcPr>
            <w:tcW w:w="5852" w:type="dxa"/>
          </w:tcPr>
          <w:p>
            <w:pPr>
              <w:pStyle w:val="Compact"/>
              <w:spacing w:before="0" w:after="0" w:line="240" w:lineRule="auto"/>
              <w:jc w:val="left"/>
            </w:pPr>
            <w:r>
              <w:rPr>
                <w:sz w:val="17"/>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AHEAD EAST Fund SDOH investment; Blueprint HRSN universal screening with warm handoffs to community resources; AHS HSA Coordinator model linking health and social services; RHT Program investment in community health workers; housing and transportation advocacy as healthcare policy.</w:t>
            </w:r>
          </w:p>
        </w:tc>
      </w:tr>
      <w:tr>
        <w:trPr/>
        <w:tc>
          <w:tcPr>
            <w:tcW w:w="3219" w:type="dxa"/>
          </w:tcPr>
          <w:p>
            <w:pPr>
              <w:pStyle w:val="Compact"/>
              <w:spacing w:before="0" w:after="0" w:line="240" w:lineRule="auto"/>
              <w:jc w:val="left"/>
            </w:pPr>
            <w:r>
              <w:rPr>
                <w:sz w:val="17"/>
              </w:rPr>
              <w:t xml:space="preserve">3 Clinical Practice Variation</w:t>
            </w:r>
          </w:p>
        </w:tc>
        <w:tc>
          <w:tcPr>
            <w:tcW w:w="5852" w:type="dxa"/>
          </w:tcPr>
          <w:p>
            <w:pPr>
              <w:pStyle w:val="Compact"/>
              <w:spacing w:before="0" w:after="0" w:line="240" w:lineRule="auto"/>
              <w:jc w:val="left"/>
            </w:pPr>
            <w:r>
              <w:rPr>
                <w:sz w:val="17"/>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and AHEAD participation; standardized clinical protocols that reduce provider discretion in ways that produce differential outcomes; patient advisory councils including underrepresented communities; cultural competency standards.</w:t>
            </w:r>
          </w:p>
        </w:tc>
      </w:tr>
      <w:tr>
        <w:trPr/>
        <w:tc>
          <w:tcPr>
            <w:tcW w:w="3219" w:type="dxa"/>
          </w:tcPr>
          <w:p>
            <w:pPr>
              <w:pStyle w:val="Compact"/>
              <w:spacing w:before="0" w:after="0" w:line="240" w:lineRule="auto"/>
              <w:jc w:val="left"/>
            </w:pPr>
            <w:r>
              <w:rPr>
                <w:sz w:val="17"/>
              </w:rPr>
              <w:t xml:space="preserve">4 Insurance and Coverage Barriers</w:t>
            </w:r>
          </w:p>
        </w:tc>
        <w:tc>
          <w:tcPr>
            <w:tcW w:w="5852" w:type="dxa"/>
          </w:tcPr>
          <w:p>
            <w:pPr>
              <w:pStyle w:val="Compact"/>
              <w:spacing w:before="0" w:after="0" w:line="240" w:lineRule="auto"/>
              <w:jc w:val="left"/>
            </w:pPr>
            <w:r>
              <w:rPr>
                <w:sz w:val="17"/>
              </w:rPr>
              <w:t xml:space="preserve">Mechanisms: Despite Vermont’s 97% coverage rate,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 AHEAD EAST Fund support for FQHCs serving uninsured and underinsured patients.</w:t>
            </w:r>
          </w:p>
        </w:tc>
      </w:tr>
      <w:tr>
        <w:trPr>
          <w:cantSplit/>
        </w:trPr>
        <w:tc>
          <w:tcPr>
            <w:tcW w:w="3219" w:type="dxa"/>
          </w:tcPr>
          <w:p>
            <w:pPr>
              <w:pStyle w:val="Compact"/>
              <w:spacing w:before="0" w:after="0" w:line="240" w:lineRule="auto"/>
              <w:jc w:val="left"/>
            </w:pPr>
            <w:r>
              <w:rPr>
                <w:sz w:val="17"/>
              </w:rPr>
              <w:t xml:space="preserve">5 Trust and Engagement Barriers</w:t>
            </w:r>
          </w:p>
        </w:tc>
        <w:tc>
          <w:tcPr>
            <w:tcW w:w="5852" w:type="dxa"/>
          </w:tcPr>
          <w:p>
            <w:pPr>
              <w:pStyle w:val="Compact"/>
              <w:spacing w:before="0" w:after="0" w:line="240" w:lineRule="auto"/>
              <w:jc w:val="left"/>
            </w:pPr>
            <w:r>
              <w:rPr>
                <w:sz w:val="17"/>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p>
        </w:tc>
      </w:tr>
    </w:tbl>
    <w:p>
      <w:pPr>
        <w:pStyle w:val="Caption"/>
        <w:spacing w:before="120"/>
      </w:pPr>
      <w:r>
        <w:rPr>
          <w:i/>
          <w:iCs/>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pPr>
        <w:pStyle w:val="BodyText"/>
      </w:pPr>
      <w: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pPr>
        <w:pStyle w:val="Heading2"/>
        <w:pBdr>
          <w:top w:val="single" w:sz="6" w:space="10" w:color="C9D2DF"/>
        </w:pBdr>
      </w:pPr>
      <w:r>
        <w:rPr>
          <w:color w:val="161B22"/>
        </w:rPr>
        <w:t xml:space="preserve">10.4  </w:t>
      </w:r>
      <w:bookmarkStart w:id="1281" w:name="_Toc1280"/>
      <w:r>
        <w:rPr>
          <w:b/>
          <w:bCs/>
          <w:color w:val="161B22"/>
        </w:rPr>
        <w:t xml:space="preserve">Rural Equity — Vermont’s Defining Challenge</w:t>
      </w:r>
      <w:bookmarkEnd w:id="1281"/>
    </w:p>
    <w:p>
      <w:pPr>
        <w:pStyle w:val="FirstParagraph"/>
      </w:pPr>
      <w: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pPr>
        <w:pStyle w:val="BodyText"/>
      </w:pPr>
      <w: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pPr>
        <w:pStyle w:val="Heading3"/>
      </w:pPr>
      <w:r>
        <w:rPr>
          <w:color w:val="161B22"/>
        </w:rPr>
        <w:t xml:space="preserve">10.4.1  </w:t>
      </w:r>
      <w:bookmarkStart w:id="1282" w:name="_Toc1281"/>
      <w:r>
        <w:rPr>
          <w:b/>
          <w:bCs/>
          <w:color w:val="161B22"/>
        </w:rPr>
        <w:t xml:space="preserve">The Northeast Kingdom: Vermont’s Equity Priority</w:t>
      </w:r>
      <w:bookmarkEnd w:id="1282"/>
    </w:p>
    <w:p>
      <w:pPr>
        <w:pStyle w:val="FirstParagraph"/>
      </w:pPr>
      <w: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pPr>
        <w:pStyle w:val="BodyText"/>
        <w:keepNext w:val="false"/>
      </w:pPr>
      <w: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and Northeastern Vermont Regional are candidates for Tier 3 designation under the Oliver Wyman regionalization blueprint — meaning they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pPr>
        <w:pStyle w:val="BodyText"/>
        <w:keepNext w:val="false"/>
      </w:pPr>
      <w: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Northeast Kingdom Equity Constraint</w:t>
            </w:r>
          </w:p>
          <w:p>
            <w:pPr>
              <w:spacing w:after="60" w:line="264" w:lineRule="auto"/>
            </w:pPr>
            <w:r>
              <w:rPr>
                <w:sz w:val="20"/>
                <w:szCs w:val="2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p>
          <w:p>
            <w:pPr>
              <w:spacing w:after="60" w:line="264" w:lineRule="auto"/>
            </w:pPr>
            <w:r>
              <w:rPr>
                <w:sz w:val="20"/>
                <w:szCs w:val="2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p>
          <w:p>
            <w:pPr>
              <w:spacing w:after="60" w:line="264" w:lineRule="auto"/>
            </w:pPr>
            <w:r>
              <w:rPr>
                <w:sz w:val="20"/>
                <w:szCs w:val="2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p>
        </w:tc>
      </w:tr>
    </w:tbl>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p>
        </w:tc>
      </w:tr>
    </w:tbl>
    <w:p>
      <w:pPr>
        <w:spacing w:after="120"/>
      </w:pPr>
    </w:p>
    <w:p>
      <w:pPr>
        <w:pStyle w:val="Heading2"/>
        <w:pBdr>
          <w:top w:val="single" w:sz="6" w:space="10" w:color="C9D2DF"/>
        </w:pBdr>
      </w:pPr>
      <w:r>
        <w:rPr>
          <w:color w:val="161B22"/>
        </w:rPr>
        <w:t xml:space="preserve">10.5  </w:t>
      </w:r>
      <w:bookmarkStart w:id="1283" w:name="_Toc1282"/>
      <w:r>
        <w:rPr>
          <w:b/>
          <w:bCs/>
          <w:color w:val="161B22"/>
        </w:rPr>
        <w:t xml:space="preserve">The GLP-1 Access Crisis — The Most Important New Equity Issue</w:t>
      </w:r>
      <w:bookmarkEnd w:id="1283"/>
    </w:p>
    <w:p>
      <w:pPr>
        <w:pStyle w:val="Heading3"/>
      </w:pPr>
      <w:r>
        <w:rPr>
          <w:color w:val="161B22"/>
        </w:rPr>
        <w:t xml:space="preserve">10.5.1  </w:t>
      </w:r>
      <w:bookmarkStart w:id="1284" w:name="_Toc1283"/>
      <w:r>
        <w:rPr>
          <w:b/>
          <w:bCs/>
          <w:color w:val="161B22"/>
        </w:rPr>
        <w:t xml:space="preserve">The GLP-1 Access Crisis — The Most Important New Equity Issue</w:t>
      </w:r>
      <w:bookmarkEnd w:id="1284"/>
    </w:p>
    <w:p>
      <w:pPr>
        <w:pStyle w:val="FirstParagraph"/>
      </w:pPr>
      <w:r>
        <w:t xml:space="preserve">Semaglutide and tirzepatide produce 15-20% average weight loss with dramatic cardiovascular benefits. List price: over $1,000/month.</w:t>
      </w:r>
    </w:p>
    <w:p>
      <w:pPr>
        <w:pStyle w:val="BodyText"/>
      </w:pPr>
      <w:r>
        <w:t xml:space="preserve">Only 13 state Medicaid programs cover GLP-1s for obesity as of January 2026. Vermont Medicaid excludes obesity as a primary indication.</w:t>
      </w:r>
    </w:p>
    <w:p>
      <w:pPr>
        <w:pStyle w:val="BodyText"/>
      </w:pPr>
      <w:r>
        <w:t xml:space="preserve">The CMS BALANCE Model (December 2025) offers a path: voluntary state Medicaid opt-in for negotiated-price GLP-1 obesity coverage, launching May 2026.</w:t>
      </w:r>
    </w:p>
    <w:p>
      <w:pPr>
        <w:pStyle w:val="BodyText"/>
      </w:pPr>
      <w:r>
        <w:t xml:space="preserve">The populations who would benefit most are precisely those without commercial insurance access.</w:t>
      </w:r>
    </w:p>
    <w:p>
      <w:pPr>
        <w:pStyle w:val="BodyText"/>
      </w:pPr>
      <w: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pPr>
        <w:pStyle w:val="BodyText"/>
      </w:pPr>
      <w: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late 2025, as four states eliminated coverage in response to budget pressure from Medicaid cuts. Vermont Medicaid covers GLP-1s for medically accepted FDA-approved indications but expressly excludes coverage for weight loss under its State Plan. Vermont Medicaid covers GLP-1s for type 2 diabetes management but not for obesity as a primary indication.</w:t>
      </w:r>
    </w:p>
    <w:p>
      <w:pPr>
        <w:pStyle w:val="BodyText"/>
      </w:pPr>
      <w: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pPr>
        <w:pStyle w:val="PullQuote"/>
      </w:pPr>
      <w:r>
        <w:rPr>
          <w:rFonts w:ascii="Garamond" w:hAnsi="Garamond"/>
          <w:i/>
          <w:color w:val="1A1A1A"/>
          <w:sz w:val="22"/>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p>
    <w:p>
      <w:pPr>
        <w:pStyle w:val="QuoteAttr"/>
      </w:pPr>
      <w:r>
        <w:rPr>
          <w:rFonts w:ascii="Garamond" w:hAnsi="Garamond"/>
          <w:b w:val="0"/>
          <w:i w:val="0"/>
          <w:color w:val="333333"/>
          <w:sz w:val="19"/>
        </w:rPr>
        <w:t xml:space="preserve">— KFF, What to Know About the BALANCE Model for GLP-1s in Medicare and Medicaid, 2026</w:t>
      </w:r>
    </w:p>
    <w:p>
      <w:pPr>
        <w:pStyle w:val="Heading3"/>
      </w:pPr>
      <w:r>
        <w:rPr>
          <w:color w:val="161B22"/>
        </w:rPr>
        <w:t xml:space="preserve">10.5.2  </w:t>
      </w:r>
      <w:bookmarkStart w:id="1285" w:name="_Toc1284"/>
      <w:r>
        <w:rPr>
          <w:b/>
          <w:bCs/>
          <w:color w:val="161B22"/>
        </w:rPr>
        <w:t xml:space="preserve">The BALANCE Model: A Partial Solution</w:t>
      </w:r>
      <w:bookmarkEnd w:id="1285"/>
    </w:p>
    <w:p>
      <w:pPr>
        <w:pStyle w:val="FirstParagraph"/>
      </w:pPr>
      <w: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in January 2028, with a Medicare GLP-1 Bridge program providing $50/month co-pay access for Medicare beneficiaries beginning July 2026.</w:t>
      </w:r>
    </w:p>
    <w:p>
      <w:pPr>
        <w:pStyle w:val="BodyText"/>
      </w:pPr>
      <w: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pPr>
        <w:pStyle w:val="BodyText"/>
      </w:pPr>
      <w: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pPr>
        <w:pStyle w:val="Heading3"/>
      </w:pPr>
      <w:r>
        <w:rPr>
          <w:color w:val="161B22"/>
        </w:rPr>
        <w:t xml:space="preserve">10.5.3  </w:t>
      </w:r>
      <w:bookmarkStart w:id="1286" w:name="_Toc1285"/>
      <w:r>
        <w:rPr>
          <w:b/>
          <w:bCs/>
          <w:color w:val="161B22"/>
        </w:rPr>
        <w:t xml:space="preserve">The GLP-1 Equity Implication for Vermont’s Transformation</w:t>
      </w:r>
      <w:bookmarkEnd w:id="1286"/>
    </w:p>
    <w:p>
      <w:pPr>
        <w:pStyle w:val="FirstParagraph"/>
      </w:pPr>
      <w: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pPr>
        <w:pStyle w:val="BodyText"/>
      </w:pPr>
      <w:r>
        <w:t xml:space="preserve">Second, the GLP-1 access gap is the most vivid current example of what the book’s Part V identified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pPr>
        <w:pStyle w:val="Heading2"/>
        <w:pBdr>
          <w:top w:val="single" w:sz="6" w:space="10" w:color="C9D2DF"/>
        </w:pBdr>
      </w:pPr>
      <w:r>
        <w:rPr>
          <w:color w:val="161B22"/>
        </w:rPr>
        <w:t xml:space="preserve">10.6  </w:t>
      </w:r>
      <w:bookmarkStart w:id="1287" w:name="_Toc1286"/>
      <w:r>
        <w:rPr>
          <w:b/>
          <w:bCs/>
          <w:color w:val="161B22"/>
        </w:rPr>
        <w:t xml:space="preserve">Vermont’s Equity Architecture — What Is Already Built and What Remains</w:t>
      </w:r>
      <w:bookmarkEnd w:id="1287"/>
    </w:p>
    <w:p>
      <w:pPr>
        <w:pStyle w:val="FirstParagraph"/>
      </w:pPr>
      <w: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pPr>
        <w:pStyle w:val="Heading3"/>
      </w:pPr>
      <w:r>
        <w:rPr>
          <w:color w:val="161B22"/>
        </w:rPr>
        <w:t xml:space="preserve">10.6.1  </w:t>
      </w:r>
      <w:bookmarkStart w:id="1288" w:name="_Toc1287"/>
      <w:r>
        <w:rPr>
          <w:b/>
          <w:bCs/>
          <w:color w:val="161B22"/>
        </w:rPr>
        <w:t xml:space="preserve">What Is Already Operational</w:t>
      </w:r>
      <w:bookmarkEnd w:id="1288"/>
    </w:p>
    <w:p>
      <w:pPr>
        <w:pStyle w:val="FirstParagraph"/>
      </w:pPr>
      <w: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pPr>
        <w:pStyle w:val="BodyText"/>
      </w:pPr>
      <w: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pPr>
        <w:pStyle w:val="BodyText"/>
      </w:pPr>
      <w: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pPr>
        <w:pStyle w:val="BodyText"/>
      </w:pPr>
      <w:r>
        <w:t xml:space="preserve">CCBHC access policy: Vermont’s CCBHCs are explicitly required to serve all patients regardless of age, diagnosis, insurance status, or geographic location — the most equity-protective access policy for behavioral health services.</w:t>
      </w:r>
    </w:p>
    <w:p>
      <w:pPr>
        <w:pStyle w:val="BodyText"/>
        <w:keepNext w:val="false"/>
      </w:pPr>
      <w:r>
        <w:t xml:space="preserve">Act 167 and Act 68 equity requirements: Both acts explicitly include reducing health inequities among their statutory goals and required outcome measures.</w:t>
      </w:r>
    </w:p>
    <w:p>
      <w:pPr>
        <w:pStyle w:val="Heading3"/>
        <w:keepNext w:val="false"/>
      </w:pPr>
      <w:r>
        <w:rPr>
          <w:color w:val="161B22"/>
        </w:rPr>
        <w:t xml:space="preserve">10.6.2  </w:t>
      </w:r>
      <w:bookmarkStart w:id="1289" w:name="_Toc1288"/>
      <w:r>
        <w:rPr>
          <w:b/>
          <w:bCs/>
          <w:color w:val="161B22"/>
        </w:rPr>
        <w:t xml:space="preserve">What Must Be Built</w:t>
      </w:r>
      <w:bookmarkEnd w:id="1289"/>
    </w:p>
    <w:tbl>
      <w:tblPr>
        <w:tblStyle w:val="HTRTable"/>
        <w:tblLook w:firstRow="1" w:lastRow="0" w:firstColumn="0" w:lastColumn="0" w:noHBand="0" w:noVBand="1" w:val="0020"/>
        <w:tblW w:w="9072" w:type="dxa"/>
        <w:tblLayout w:type="fixed"/>
      </w:tblPr>
      <w:tblGrid>
        <w:gridCol w:w="1749"/>
        <w:gridCol w:w="2440"/>
        <w:gridCol w:w="2440"/>
        <w:gridCol w:w="2440"/>
      </w:tblGrid>
      <w:tr>
        <w:trPr>
          <w:tblHeader w:val="on"/>
          <w:cantSplit/>
        </w:trPr>
        <w:tc>
          <w:tcPr>
            <w:shd w:val="clear" w:color="auto" w:fill="1B3A6B"/>
            <w:tcW w:w="1749" w:type="dxa"/>
          </w:tcPr>
          <w:p>
            <w:pPr>
              <w:pStyle w:val="Compact"/>
              <w:spacing w:before="0" w:after="0" w:line="240" w:lineRule="auto"/>
              <w:jc w:val="left"/>
            </w:pPr>
            <w:r>
              <w:rPr>
                <w:b/>
                <w:color w:val="FFFFFF"/>
                <w:sz w:val="17"/>
              </w:rPr>
              <w:t xml:space="preserve">Gap</w:t>
            </w:r>
          </w:p>
        </w:tc>
        <w:tc>
          <w:tcPr>
            <w:shd w:val="clear" w:color="auto" w:fill="1B3A6B"/>
            <w:tcW w:w="2440" w:type="dxa"/>
          </w:tcPr>
          <w:p>
            <w:pPr>
              <w:pStyle w:val="Compact"/>
              <w:spacing w:before="0" w:after="0" w:line="240" w:lineRule="auto"/>
              <w:jc w:val="left"/>
            </w:pPr>
            <w:r>
              <w:rPr>
                <w:b/>
                <w:color w:val="FFFFFF"/>
                <w:sz w:val="17"/>
              </w:rPr>
              <w:t xml:space="preserve">What is missing</w:t>
            </w:r>
          </w:p>
        </w:tc>
        <w:tc>
          <w:tcPr>
            <w:shd w:val="clear" w:color="auto" w:fill="1B3A6B"/>
            <w:tcW w:w="2440" w:type="dxa"/>
          </w:tcPr>
          <w:p>
            <w:pPr>
              <w:pStyle w:val="Compact"/>
              <w:spacing w:before="0" w:after="0" w:line="240" w:lineRule="auto"/>
              <w:jc w:val="left"/>
            </w:pPr>
            <w:r>
              <w:rPr>
                <w:b/>
                <w:color w:val="FFFFFF"/>
                <w:sz w:val="17"/>
              </w:rPr>
              <w:t xml:space="preserve">Required investment</w:t>
            </w:r>
          </w:p>
        </w:tc>
        <w:tc>
          <w:tcPr>
            <w:shd w:val="clear" w:color="auto" w:fill="1B3A6B"/>
            <w:tcW w:w="2440" w:type="dxa"/>
          </w:tcPr>
          <w:p>
            <w:pPr>
              <w:pStyle w:val="Compact"/>
              <w:spacing w:before="0" w:after="0" w:line="240" w:lineRule="auto"/>
              <w:jc w:val="left"/>
            </w:pPr>
            <w:r>
              <w:rPr>
                <w:b/>
                <w:color w:val="FFFFFF"/>
                <w:sz w:val="17"/>
              </w:rPr>
              <w:t xml:space="preserve">Timeline</w:t>
            </w:r>
          </w:p>
        </w:tc>
      </w:tr>
      <w:tr>
        <w:trPr>
          <w:cantSplit/>
        </w:trPr>
        <w:tc>
          <w:tcPr>
            <w:tcW w:w="1749" w:type="dxa"/>
          </w:tcPr>
          <w:p>
            <w:pPr>
              <w:pStyle w:val="Compact"/>
              <w:spacing w:before="0" w:after="0" w:line="240" w:lineRule="auto"/>
              <w:jc w:val="left"/>
            </w:pPr>
            <w:r>
              <w:rPr>
                <w:sz w:val="17"/>
              </w:rPr>
              <w:t xml:space="preserve">County-level equity data infrastructure</w:t>
            </w:r>
          </w:p>
        </w:tc>
        <w:tc>
          <w:tcPr>
            <w:tcW w:w="2440" w:type="dxa"/>
          </w:tcPr>
          <w:p>
            <w:pPr>
              <w:pStyle w:val="Compact"/>
              <w:spacing w:before="0" w:after="0" w:line="240" w:lineRule="auto"/>
              <w:jc w:val="left"/>
            </w:pPr>
            <w:r>
              <w:rPr>
                <w:sz w:val="17"/>
              </w:rPr>
              <w:t xml:space="preserve">Vermont’s equity data is primarily state-level, with BRFSS survey data at the county level for major indicators. Sub-county data is largely absent. The Northeast Kingdom’s equity burden cannot be managed without granular geographic data.</w:t>
            </w:r>
          </w:p>
        </w:tc>
        <w:tc>
          <w:tcPr>
            <w:tcW w:w="2440" w:type="dxa"/>
          </w:tcPr>
          <w:p>
            <w:pPr>
              <w:pStyle w:val="Compact"/>
              <w:spacing w:before="0" w:after="0" w:line="240" w:lineRule="auto"/>
              <w:jc w:val="left"/>
            </w:pPr>
            <w:r>
              <w:rPr>
                <w:sz w:val="17"/>
              </w:rPr>
              <w:t xml:space="preserve">VHCURES enhancement to enable county-level SDOH and outcome stratification; VITL connectivity to community-based providers who serve underserved populations; integration of VDH equity data with AHS transformation monitoring</w:t>
            </w:r>
          </w:p>
        </w:tc>
        <w:tc>
          <w:tcPr>
            <w:tcW w:w="2440" w:type="dxa"/>
          </w:tcPr>
          <w:p>
            <w:pPr>
              <w:pStyle w:val="Compact"/>
              <w:spacing w:before="0" w:after="0" w:line="240" w:lineRule="auto"/>
              <w:jc w:val="left"/>
            </w:pPr>
            <w:r>
              <w:rPr>
                <w:sz w:val="17"/>
              </w:rPr>
              <w:t xml:space="preserve">2026-2027 (analytics vendor procurement enables this)</w:t>
            </w:r>
          </w:p>
        </w:tc>
      </w:tr>
      <w:tr>
        <w:trPr/>
        <w:tc>
          <w:tcPr>
            <w:tcW w:w="1749" w:type="dxa"/>
          </w:tcPr>
          <w:p>
            <w:pPr>
              <w:pStyle w:val="Compact"/>
              <w:spacing w:before="0" w:after="0" w:line="240" w:lineRule="auto"/>
              <w:jc w:val="left"/>
            </w:pPr>
            <w:r>
              <w:rPr>
                <w:sz w:val="17"/>
              </w:rPr>
              <w:t xml:space="preserve">Culturally competent workforce</w:t>
            </w:r>
          </w:p>
        </w:tc>
        <w:tc>
          <w:tcPr>
            <w:tcW w:w="2440" w:type="dxa"/>
          </w:tcPr>
          <w:p>
            <w:pPr>
              <w:pStyle w:val="Compact"/>
              <w:spacing w:before="0" w:after="0" w:line="240" w:lineRule="auto"/>
              <w:jc w:val="left"/>
            </w:pPr>
            <w:r>
              <w:rPr>
                <w:sz w:val="17"/>
              </w:rPr>
              <w:t xml:space="preserve">Vermont’s clinical workforce is overwhelmingly white and does not reflect the demographic diversity of Vermont’s BIPOC, refugee, and immigrant communities. Provider diversity is both an equity outcome and an equity intervention.</w:t>
            </w:r>
          </w:p>
        </w:tc>
        <w:tc>
          <w:tcPr>
            <w:tcW w:w="2440" w:type="dxa"/>
          </w:tcPr>
          <w:p>
            <w:pPr>
              <w:pStyle w:val="Compact"/>
              <w:spacing w:before="0" w:after="0" w:line="240" w:lineRule="auto"/>
              <w:jc w:val="left"/>
            </w:pPr>
            <w:r>
              <w:rPr>
                <w:sz w:val="17"/>
              </w:rPr>
              <w:t xml:space="preserve">Targeted workforce recruitment from underrepresented communities; tuition assistance with equity focus; cultural competency standards in Blueprint and AHEAD participation requirements; provider diversity reporting</w:t>
            </w:r>
          </w:p>
        </w:tc>
        <w:tc>
          <w:tcPr>
            <w:tcW w:w="2440" w:type="dxa"/>
          </w:tcPr>
          <w:p>
            <w:pPr>
              <w:pStyle w:val="Compact"/>
              <w:spacing w:before="0" w:after="0" w:line="240" w:lineRule="auto"/>
              <w:jc w:val="left"/>
            </w:pPr>
            <w:r>
              <w:rPr>
                <w:sz w:val="17"/>
              </w:rPr>
              <w:t xml:space="preserve">Ongoing; RHT workforce investments provide vehicle</w:t>
            </w:r>
          </w:p>
        </w:tc>
      </w:tr>
      <w:tr>
        <w:trPr/>
        <w:tc>
          <w:tcPr>
            <w:tcW w:w="1749" w:type="dxa"/>
          </w:tcPr>
          <w:p>
            <w:pPr>
              <w:pStyle w:val="Compact"/>
              <w:spacing w:before="0" w:after="0" w:line="240" w:lineRule="auto"/>
              <w:jc w:val="left"/>
            </w:pPr>
            <w:r>
              <w:rPr>
                <w:sz w:val="17"/>
              </w:rPr>
              <w:t xml:space="preserve">GLP-1 Medicaid coverage decision</w:t>
            </w:r>
          </w:p>
        </w:tc>
        <w:tc>
          <w:tcPr>
            <w:tcW w:w="2440" w:type="dxa"/>
          </w:tcPr>
          <w:p>
            <w:pPr>
              <w:pStyle w:val="Compact"/>
              <w:spacing w:before="0" w:after="0" w:line="240" w:lineRule="auto"/>
              <w:jc w:val="left"/>
            </w:pPr>
            <w:r>
              <w:rPr>
                <w:sz w:val="17"/>
              </w:rPr>
              <w:t xml:space="preserve">Vermont Medicaid currently does not cover GLP-1s for obesity as primary indication. The BALANCE Model opt-in decision is an equity policy choice with direct implications for the Medicaid population with obesity.</w:t>
            </w:r>
          </w:p>
        </w:tc>
        <w:tc>
          <w:tcPr>
            <w:tcW w:w="2440" w:type="dxa"/>
          </w:tcPr>
          <w:p>
            <w:pPr>
              <w:pStyle w:val="Compact"/>
              <w:spacing w:before="0" w:after="0" w:line="240" w:lineRule="auto"/>
              <w:jc w:val="left"/>
            </w:pPr>
            <w:r>
              <w:rPr>
                <w:sz w:val="17"/>
              </w:rPr>
              <w:t xml:space="preserve">DVHA evaluation of BALANCE Model participation; budget modeling of long-term cost reduction from obesity treatment vs. short-term coverage costs; legislative advocacy if state plan amendment required</w:t>
            </w:r>
          </w:p>
        </w:tc>
        <w:tc>
          <w:tcPr>
            <w:tcW w:w="2440" w:type="dxa"/>
          </w:tcPr>
          <w:p>
            <w:pPr>
              <w:pStyle w:val="Compact"/>
              <w:spacing w:before="0" w:after="0" w:line="240" w:lineRule="auto"/>
              <w:jc w:val="left"/>
            </w:pPr>
            <w:r>
              <w:rPr>
                <w:sz w:val="17"/>
              </w:rPr>
              <w:t xml:space="preserve">Decision needed by January 2026 (BALANCE opt-in deadline); coverage effective May 2026 if Vermont participates</w:t>
            </w:r>
          </w:p>
        </w:tc>
      </w:tr>
      <w:tr>
        <w:trPr/>
        <w:tc>
          <w:tcPr>
            <w:tcW w:w="1749" w:type="dxa"/>
          </w:tcPr>
          <w:p>
            <w:pPr>
              <w:pStyle w:val="Compact"/>
              <w:spacing w:before="0" w:after="0" w:line="240" w:lineRule="auto"/>
              <w:jc w:val="left"/>
            </w:pPr>
            <w:r>
              <w:rPr>
                <w:sz w:val="17"/>
              </w:rPr>
              <w:t xml:space="preserve">Northeast Kingdom service resilience</w:t>
            </w:r>
          </w:p>
        </w:tc>
        <w:tc>
          <w:tcPr>
            <w:tcW w:w="2440" w:type="dxa"/>
          </w:tcPr>
          <w:p>
            <w:pPr>
              <w:pStyle w:val="Compact"/>
              <w:spacing w:before="0" w:after="0" w:line="240" w:lineRule="auto"/>
              <w:jc w:val="left"/>
            </w:pPr>
            <w:r>
              <w:rPr>
                <w:sz w:val="17"/>
              </w:rPr>
              <w:t xml:space="preserve">The NE Kingdom has the state’s highest equity burden and the most financially distressed hospital infrastructure. REH conversion and telehealth investments must precede any service reduction.</w:t>
            </w:r>
          </w:p>
        </w:tc>
        <w:tc>
          <w:tcPr>
            <w:tcW w:w="2440" w:type="dxa"/>
          </w:tcPr>
          <w:p>
            <w:pPr>
              <w:pStyle w:val="Compact"/>
              <w:spacing w:before="0" w:after="0" w:line="240" w:lineRule="auto"/>
              <w:jc w:val="left"/>
            </w:pPr>
            <w:r>
              <w:rPr>
                <w:sz w:val="17"/>
              </w:rPr>
              <w:t xml:space="preserve">North Country and NE VT Regional transformation plans must include equity impact analysis; broadband investment as prerequisite to telehealth; EMS regionalization funded through RHT Program; CCBHC designation for Northeast Kingdom Human Services (planned July 2026)</w:t>
            </w:r>
          </w:p>
        </w:tc>
        <w:tc>
          <w:tcPr>
            <w:tcW w:w="2440" w:type="dxa"/>
          </w:tcPr>
          <w:p>
            <w:pPr>
              <w:pStyle w:val="Compact"/>
              <w:spacing w:before="0" w:after="0" w:line="240" w:lineRule="auto"/>
              <w:jc w:val="left"/>
            </w:pPr>
            <w:r>
              <w:rPr>
                <w:sz w:val="17"/>
              </w:rPr>
              <w:t xml:space="preserve">2026 (CCBHC designation); 2027-2028 (EMS regionalization; telehealth); hospital transition decisions by 2028 Strategic Plan</w:t>
            </w:r>
          </w:p>
        </w:tc>
      </w:tr>
      <w:tr>
        <w:trPr>
          <w:cantSplit/>
        </w:trPr>
        <w:tc>
          <w:tcPr>
            <w:tcW w:w="1749" w:type="dxa"/>
          </w:tcPr>
          <w:p>
            <w:pPr>
              <w:pStyle w:val="Compact"/>
              <w:spacing w:before="0" w:after="0" w:line="240" w:lineRule="auto"/>
              <w:jc w:val="left"/>
            </w:pPr>
            <w:r>
              <w:rPr>
                <w:sz w:val="17"/>
              </w:rPr>
              <w:t xml:space="preserve">Trust-building with underserved communities</w:t>
            </w:r>
          </w:p>
        </w:tc>
        <w:tc>
          <w:tcPr>
            <w:tcW w:w="2440" w:type="dxa"/>
          </w:tcPr>
          <w:p>
            <w:pPr>
              <w:pStyle w:val="Compact"/>
              <w:spacing w:before="0" w:after="0" w:line="240" w:lineRule="auto"/>
              <w:jc w:val="left"/>
            </w:pPr>
            <w:r>
              <w:rPr>
                <w:sz w:val="17"/>
              </w:rPr>
              <w:t xml:space="preserve">Vermont’s BIPOC, LGBTQ+, Indigenous, and rural communities have documented experiences of discrimination and dismissal in healthcare settings. Trust is not built by policy statements; it is built by consistent, culturally respectful engagement over time.</w:t>
            </w:r>
          </w:p>
        </w:tc>
        <w:tc>
          <w:tcPr>
            <w:tcW w:w="2440" w:type="dxa"/>
          </w:tcPr>
          <w:p>
            <w:pPr>
              <w:pStyle w:val="Compact"/>
              <w:spacing w:before="0" w:after="0" w:line="240" w:lineRule="auto"/>
              <w:jc w:val="left"/>
            </w:pPr>
            <w:r>
              <w:rPr>
                <w:sz w:val="17"/>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p>
        </w:tc>
        <w:tc>
          <w:tcPr>
            <w:tcW w:w="2440" w:type="dxa"/>
          </w:tcPr>
          <w:p>
            <w:pPr>
              <w:pStyle w:val="Compact"/>
              <w:spacing w:before="0" w:after="0" w:line="240" w:lineRule="auto"/>
              <w:jc w:val="left"/>
            </w:pPr>
            <w:r>
              <w:rPr>
                <w:sz w:val="17"/>
              </w:rPr>
              <w:t xml:space="preserve">Ongoing; requires sustained commitment, not a one-time program</w:t>
            </w:r>
          </w:p>
        </w:tc>
      </w:tr>
    </w:tbl>
    <w:p>
      <w:pPr>
        <w:pStyle w:val="Caption"/>
        <w:spacing w:before="120"/>
      </w:pPr>
      <w:r>
        <w:rPr>
          <w:i/>
          <w:iCs/>
        </w:rPr>
        <w:t xml:space="preserve">Figure 10.4 — Vermont equity gaps and required investments. Sources: Vermont Department of Health Health Equity Data Report (January 2025); Oliver Wyman Act 167 Report; AHS Transformation Reports; KFF GLP-1 coverage analysis.</w:t>
      </w:r>
    </w:p>
    <w:p>
      <w:pPr>
        <w:pStyle w:val="Heading2"/>
        <w:pBdr>
          <w:top w:val="single" w:sz="6" w:space="10" w:color="C9D2DF"/>
        </w:pBdr>
      </w:pPr>
      <w:r>
        <w:rPr>
          <w:color w:val="161B22"/>
        </w:rPr>
        <w:t xml:space="preserve">10.7  </w:t>
      </w:r>
      <w:bookmarkStart w:id="1290" w:name="_Toc1289"/>
      <w:r>
        <w:rPr>
          <w:b/>
          <w:bCs/>
          <w:color w:val="161B22"/>
        </w:rPr>
        <w:t xml:space="preserve">Equity and the Six-Pillar Framework — How Every Pillar Has an Equity Dimension</w:t>
      </w:r>
      <w:bookmarkEnd w:id="1290"/>
    </w:p>
    <w:p>
      <w:pPr>
        <w:pStyle w:val="FirstParagraph"/>
        <w:keepNext w:val="false"/>
      </w:pPr>
      <w: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pPr>
        <w:pStyle w:val="BodyText"/>
        <w:keepNext w:val="false"/>
      </w:pPr>
      <w: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six pillars:</w:t>
      </w:r>
    </w:p>
    <w:tbl>
      <w:tblPr>
        <w:tblStyle w:val="HTRTable"/>
        <w:tblLook w:firstRow="1" w:lastRow="0" w:firstColumn="0" w:lastColumn="0" w:noHBand="0" w:noVBand="1" w:val="0020"/>
        <w:tblW w:w="9072" w:type="dxa"/>
        <w:tblLayout w:type="fixed"/>
      </w:tblPr>
      <w:tblGrid>
        <w:gridCol w:w="697"/>
        <w:gridCol w:w="4187"/>
        <w:gridCol w:w="4187"/>
      </w:tblGrid>
      <w:tr>
        <w:trPr>
          <w:tblHeader w:val="on"/>
          <w:cantSplit/>
        </w:trPr>
        <w:tc>
          <w:tcPr>
            <w:shd w:val="clear" w:color="auto" w:fill="1B3A6B"/>
            <w:tcW w:w="697" w:type="dxa"/>
          </w:tcPr>
          <w:p>
            <w:pPr>
              <w:pStyle w:val="Compact"/>
              <w:jc w:val="left"/>
            </w:pPr>
            <w:r>
              <w:rPr>
                <w:b/>
                <w:color w:val="FFFFFF"/>
                <w:sz w:val="18"/>
              </w:rPr>
              <w:t xml:space="preserve">Pillar</w:t>
            </w:r>
          </w:p>
        </w:tc>
        <w:tc>
          <w:tcPr>
            <w:shd w:val="clear" w:color="auto" w:fill="1B3A6B"/>
            <w:tcW w:w="4187" w:type="dxa"/>
          </w:tcPr>
          <w:p>
            <w:pPr>
              <w:pStyle w:val="Compact"/>
              <w:jc w:val="left"/>
            </w:pPr>
            <w:r>
              <w:rPr>
                <w:b/>
                <w:color w:val="FFFFFF"/>
                <w:sz w:val="18"/>
              </w:rPr>
              <w:t xml:space="preserve">Equity risk (if neglected)</w:t>
            </w:r>
          </w:p>
        </w:tc>
        <w:tc>
          <w:tcPr>
            <w:shd w:val="clear" w:color="auto" w:fill="1B3A6B"/>
            <w:tcW w:w="4187" w:type="dxa"/>
          </w:tcPr>
          <w:p>
            <w:pPr>
              <w:pStyle w:val="Compact"/>
              <w:jc w:val="left"/>
            </w:pPr>
            <w:r>
              <w:rPr>
                <w:b/>
                <w:color w:val="FFFFFF"/>
                <w:sz w:val="18"/>
              </w:rPr>
              <w:t xml:space="preserve">Equity opportunity (if designed well)</w:t>
            </w:r>
          </w:p>
        </w:tc>
      </w:tr>
      <w:tr>
        <w:trPr>
          <w:cantSplit/>
        </w:trPr>
        <w:tc>
          <w:tcPr>
            <w:tcW w:w="697" w:type="dxa"/>
          </w:tcPr>
          <w:p>
            <w:pPr>
              <w:pStyle w:val="Compact"/>
              <w:jc w:val="left"/>
            </w:pPr>
            <w:r>
              <w:rPr>
                <w:sz w:val="18"/>
              </w:rPr>
              <w:t xml:space="preserve">Policy</w:t>
            </w:r>
          </w:p>
        </w:tc>
        <w:tc>
          <w:tcPr>
            <w:tcW w:w="4187" w:type="dxa"/>
          </w:tcPr>
          <w:p>
            <w:pPr>
              <w:pStyle w:val="Compact"/>
              <w:jc w:val="left"/>
            </w:pPr>
            <w:r>
              <w:rPr>
                <w:sz w:val="18"/>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p>
        </w:tc>
        <w:tc>
          <w:tcPr>
            <w:tcW w:w="4187" w:type="dxa"/>
          </w:tcPr>
          <w:p>
            <w:pPr>
              <w:pStyle w:val="Compact"/>
              <w:jc w:val="left"/>
            </w:pPr>
            <w:r>
              <w:rPr>
                <w:sz w:val="18"/>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p>
        </w:tc>
      </w:tr>
      <w:tr>
        <w:trPr/>
        <w:tc>
          <w:tcPr>
            <w:tcW w:w="697" w:type="dxa"/>
          </w:tcPr>
          <w:p>
            <w:pPr>
              <w:pStyle w:val="Compact"/>
              <w:jc w:val="left"/>
            </w:pPr>
            <w:r>
              <w:rPr>
                <w:sz w:val="18"/>
              </w:rPr>
              <w:t xml:space="preserve">Technology</w:t>
            </w:r>
          </w:p>
        </w:tc>
        <w:tc>
          <w:tcPr>
            <w:tcW w:w="4187" w:type="dxa"/>
          </w:tcPr>
          <w:p>
            <w:pPr>
              <w:pStyle w:val="Compact"/>
              <w:jc w:val="left"/>
            </w:pPr>
            <w:r>
              <w:rPr>
                <w:sz w:val="18"/>
              </w:rPr>
              <w:t xml:space="preserve">Analytics platforms that measure average performance without disaggregating by race, income, or geography, hiding disparities in aggregate data. AI tools with biased training data that perform worse for minority populations or elderly rural patients.</w:t>
            </w:r>
          </w:p>
        </w:tc>
        <w:tc>
          <w:tcPr>
            <w:tcW w:w="4187" w:type="dxa"/>
          </w:tcPr>
          <w:p>
            <w:pPr>
              <w:pStyle w:val="Compact"/>
              <w:jc w:val="left"/>
            </w:pPr>
            <w:r>
              <w:rPr>
                <w:sz w:val="18"/>
              </w:rPr>
              <w:t xml:space="preserve">VHCURES county-level equity stratification; AI governance framework requiring bias testing across demographic subgroups; HIE connectivity requirements that extend to FQHCs and community-based providers serving underserved populations.</w:t>
            </w:r>
          </w:p>
        </w:tc>
      </w:tr>
      <w:tr>
        <w:trPr/>
        <w:tc>
          <w:tcPr>
            <w:tcW w:w="697" w:type="dxa"/>
          </w:tcPr>
          <w:p>
            <w:pPr>
              <w:pStyle w:val="Compact"/>
              <w:jc w:val="left"/>
            </w:pPr>
            <w:r>
              <w:rPr>
                <w:sz w:val="18"/>
              </w:rPr>
              <w:t xml:space="preserve">Economics</w:t>
            </w:r>
          </w:p>
        </w:tc>
        <w:tc>
          <w:tcPr>
            <w:tcW w:w="4187" w:type="dxa"/>
          </w:tcPr>
          <w:p>
            <w:pPr>
              <w:pStyle w:val="Compact"/>
              <w:jc w:val="left"/>
            </w:pPr>
            <w:r>
              <w:rPr>
                <w:sz w:val="18"/>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p>
        </w:tc>
        <w:tc>
          <w:tcPr>
            <w:tcW w:w="4187" w:type="dxa"/>
          </w:tcPr>
          <w:p>
            <w:pPr>
              <w:pStyle w:val="Compact"/>
              <w:jc w:val="left"/>
            </w:pPr>
            <w:r>
              <w:rPr>
                <w:sz w:val="18"/>
              </w:rPr>
              <w:t xml:space="preserve">AHEAD EAST Fund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p>
        </w:tc>
      </w:tr>
      <w:tr>
        <w:trPr/>
        <w:tc>
          <w:tcPr>
            <w:tcW w:w="697" w:type="dxa"/>
          </w:tcPr>
          <w:p>
            <w:pPr>
              <w:pStyle w:val="Compact"/>
              <w:jc w:val="left"/>
            </w:pPr>
            <w:r>
              <w:rPr>
                <w:sz w:val="18"/>
              </w:rPr>
              <w:t xml:space="preserve">Clinical</w:t>
            </w:r>
          </w:p>
        </w:tc>
        <w:tc>
          <w:tcPr>
            <w:tcW w:w="4187" w:type="dxa"/>
          </w:tcPr>
          <w:p>
            <w:pPr>
              <w:pStyle w:val="Compact"/>
              <w:jc w:val="left"/>
            </w:pPr>
            <w:r>
              <w:rPr>
                <w:sz w:val="18"/>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p>
        </w:tc>
        <w:tc>
          <w:tcPr>
            <w:tcW w:w="4187" w:type="dxa"/>
          </w:tcPr>
          <w:p>
            <w:pPr>
              <w:pStyle w:val="Compact"/>
              <w:jc w:val="left"/>
            </w:pPr>
            <w:r>
              <w:rPr>
                <w:sz w:val="18"/>
              </w:rPr>
              <w:t xml:space="preserve">Blueprint expansion mandate to all HSAs; CCBHC access policy (serve all regardless of insurance status or geography); CoCM deployment using telephone-based options for patients without broadband; CHW deployment from communities served.</w:t>
            </w:r>
          </w:p>
        </w:tc>
      </w:tr>
      <w:tr>
        <w:trPr/>
        <w:tc>
          <w:tcPr>
            <w:tcW w:w="697" w:type="dxa"/>
          </w:tcPr>
          <w:p>
            <w:pPr>
              <w:pStyle w:val="Compact"/>
              <w:jc w:val="left"/>
            </w:pPr>
            <w:r>
              <w:rPr>
                <w:sz w:val="18"/>
              </w:rPr>
              <w:t xml:space="preserve">Equity</w:t>
            </w:r>
          </w:p>
        </w:tc>
        <w:tc>
          <w:tcPr>
            <w:tcW w:w="4187" w:type="dxa"/>
          </w:tcPr>
          <w:p>
            <w:pPr>
              <w:pStyle w:val="Compact"/>
              <w:jc w:val="left"/>
            </w:pPr>
            <w:r>
              <w:rPr>
                <w:sz w:val="18"/>
              </w:rPr>
              <w:t xml:space="preserve">By definition, equity failures in every other pillar accumulate here. The equity pillar fails when geographic access barriers remain despite transformation, when racial disparities persist despite clinical quality improvement, and when SDOH investments are treated as optional rather than foundational.</w:t>
            </w:r>
          </w:p>
        </w:tc>
        <w:tc>
          <w:tcPr>
            <w:tcW w:w="4187" w:type="dxa"/>
          </w:tcPr>
          <w:p>
            <w:pPr>
              <w:pStyle w:val="Compact"/>
              <w:jc w:val="left"/>
            </w:pPr>
            <w:r>
              <w:rPr>
                <w:sz w:val="18"/>
              </w:rPr>
              <w:t xml:space="preserve">HSA-level equity monitoring with Northeast Kingdom as priority; SDOH integration across AHS programs; GLP-1 coverage expansion through BALANCE; community trust-building through CHW deployment and patient advisory councils.</w:t>
            </w:r>
          </w:p>
        </w:tc>
      </w:tr>
      <w:tr>
        <w:trPr>
          <w:cantSplit/>
        </w:trPr>
        <w:tc>
          <w:tcPr>
            <w:tcW w:w="697" w:type="dxa"/>
          </w:tcPr>
          <w:p>
            <w:pPr>
              <w:pStyle w:val="Compact"/>
              <w:jc w:val="left"/>
            </w:pPr>
            <w:r>
              <w:rPr>
                <w:sz w:val="18"/>
              </w:rPr>
              <w:t xml:space="preserve">Operations</w:t>
            </w:r>
          </w:p>
        </w:tc>
        <w:tc>
          <w:tcPr>
            <w:tcW w:w="4187" w:type="dxa"/>
          </w:tcPr>
          <w:p>
            <w:pPr>
              <w:pStyle w:val="Compact"/>
              <w:jc w:val="left"/>
            </w:pPr>
            <w:r>
              <w:rPr>
                <w:sz w:val="18"/>
              </w:rPr>
              <w:t xml:space="preserve">Hospital transformation plans that optimize for financial sustainability without equity impact analysis — e.g., closing inpatient services in rural communities without ensuring alternative access before closure.</w:t>
            </w:r>
          </w:p>
        </w:tc>
        <w:tc>
          <w:tcPr>
            <w:tcW w:w="4187" w:type="dxa"/>
          </w:tcPr>
          <w:p>
            <w:pPr>
              <w:pStyle w:val="Compact"/>
              <w:jc w:val="left"/>
            </w:pPr>
            <w:r>
              <w:rPr>
                <w:sz w:val="18"/>
              </w:rPr>
              <w:t xml:space="preserve">Equity impact assessment requirement for all hospital transformation plans; AHS HSA Coordinator model linking health and social services at community level; Northeast Kingdom equity constraint as a binding parameter on regionalization planning.</w:t>
            </w:r>
          </w:p>
        </w:tc>
      </w:tr>
    </w:tbl>
    <w:p>
      <w:pPr>
        <w:pStyle w:val="Caption"/>
        <w:spacing w:before="120"/>
      </w:pPr>
      <w:r>
        <w:rPr>
          <w:i/>
          <w:iCs/>
        </w:rPr>
        <w:t xml:space="preserve">Figure 10.5 — Equity as a cross-cutting dimension of all six pillars. Sources: Act 67 of 2025; Oliver Wyman Act 167 Report; six-pillar framework.</w:t>
      </w:r>
    </w:p>
    <w:p>
      <w:pPr>
        <w:pStyle w:val="Heading2"/>
        <w:pBdr>
          <w:top w:val="single" w:sz="6" w:space="10" w:color="C9D2DF"/>
        </w:pBdr>
      </w:pPr>
      <w:r>
        <w:rPr>
          <w:color w:val="161B22"/>
        </w:rPr>
        <w:t xml:space="preserve">10.8  </w:t>
      </w:r>
      <w:bookmarkStart w:id="1291" w:name="_Toc1290"/>
      <w:r>
        <w:rPr>
          <w:b/>
          <w:bCs/>
          <w:color w:val="161B22"/>
        </w:rPr>
        <w:t xml:space="preserve">Vermont’s Equity Accountability Framework</w:t>
      </w:r>
      <w:bookmarkEnd w:id="1291"/>
    </w:p>
    <w:p>
      <w:pPr>
        <w:pStyle w:val="FirstParagraph"/>
        <w:keepNext w:val="false"/>
      </w:pPr>
      <w: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pPr>
        <w:pStyle w:val="BodyText"/>
        <w:keepNext w:val="false"/>
      </w:pPr>
      <w:r>
        <w:t xml:space="preserve">The following framework represents the minimum equity accountability structure the Strategic Plan should establish:</w:t>
      </w:r>
    </w:p>
    <w:tbl>
      <w:tblPr>
        <w:tblStyle w:val="HTRTable"/>
        <w:tblLook w:firstRow="1" w:lastRow="0" w:firstColumn="0" w:lastColumn="0" w:noHBand="0" w:noVBand="1" w:val="0020"/>
        <w:tblW w:w="9072" w:type="dxa"/>
        <w:tblLayout w:type="fixed"/>
      </w:tblPr>
      <w:tblGrid>
        <w:gridCol w:w="1979"/>
        <w:gridCol w:w="2226"/>
        <w:gridCol w:w="2474"/>
        <w:gridCol w:w="2391"/>
      </w:tblGrid>
      <w:tr>
        <w:trPr>
          <w:tblHeader w:val="on"/>
          <w:cantSplit/>
        </w:trPr>
        <w:tc>
          <w:tcPr>
            <w:shd w:val="clear" w:color="auto" w:fill="1B3A6B"/>
            <w:tcW w:w="1979" w:type="dxa"/>
          </w:tcPr>
          <w:p>
            <w:pPr>
              <w:pStyle w:val="Compact"/>
              <w:jc w:val="left"/>
            </w:pPr>
            <w:r>
              <w:rPr>
                <w:b/>
                <w:color w:val="FFFFFF"/>
                <w:sz w:val="18"/>
              </w:rPr>
              <w:t xml:space="preserve">Indicator</w:t>
            </w:r>
          </w:p>
        </w:tc>
        <w:tc>
          <w:tcPr>
            <w:shd w:val="clear" w:color="auto" w:fill="1B3A6B"/>
            <w:tcW w:w="2226" w:type="dxa"/>
          </w:tcPr>
          <w:p>
            <w:pPr>
              <w:pStyle w:val="Compact"/>
              <w:jc w:val="left"/>
            </w:pPr>
            <w:r>
              <w:rPr>
                <w:b/>
                <w:color w:val="FFFFFF"/>
                <w:sz w:val="18"/>
              </w:rPr>
              <w:t xml:space="preserve">Stratification required</w:t>
            </w:r>
          </w:p>
        </w:tc>
        <w:tc>
          <w:tcPr>
            <w:shd w:val="clear" w:color="auto" w:fill="1B3A6B"/>
            <w:tcW w:w="2474" w:type="dxa"/>
          </w:tcPr>
          <w:p>
            <w:pPr>
              <w:pStyle w:val="Compact"/>
              <w:jc w:val="left"/>
            </w:pPr>
            <w:r>
              <w:rPr>
                <w:b/>
                <w:color w:val="FFFFFF"/>
                <w:sz w:val="18"/>
              </w:rPr>
              <w:t xml:space="preserve">2028 target direction</w:t>
            </w:r>
          </w:p>
        </w:tc>
        <w:tc>
          <w:tcPr>
            <w:shd w:val="clear" w:color="auto" w:fill="1B3A6B"/>
            <w:tcW w:w="2391" w:type="dxa"/>
          </w:tcPr>
          <w:p>
            <w:pPr>
              <w:pStyle w:val="Compact"/>
              <w:jc w:val="left"/>
            </w:pPr>
            <w:r>
              <w:rPr>
                <w:b/>
                <w:color w:val="FFFFFF"/>
                <w:sz w:val="18"/>
              </w:rPr>
              <w:t xml:space="preserve">Data source</w:t>
            </w:r>
          </w:p>
        </w:tc>
      </w:tr>
      <w:tr>
        <w:trPr>
          <w:cantSplit/>
        </w:trPr>
        <w:tc>
          <w:tcPr>
            <w:tcW w:w="1979" w:type="dxa"/>
          </w:tcPr>
          <w:p>
            <w:pPr>
              <w:pStyle w:val="Compact"/>
              <w:jc w:val="left"/>
            </w:pPr>
            <w:r>
              <w:rPr>
                <w:sz w:val="18"/>
              </w:rPr>
              <w:t xml:space="preserve">Uninsured rate</w:t>
            </w:r>
          </w:p>
        </w:tc>
        <w:tc>
          <w:tcPr>
            <w:tcW w:w="2226" w:type="dxa"/>
          </w:tcPr>
          <w:p>
            <w:pPr>
              <w:pStyle w:val="Compact"/>
              <w:jc w:val="left"/>
            </w:pPr>
            <w:r>
              <w:rPr>
                <w:sz w:val="18"/>
              </w:rPr>
              <w:t xml:space="preserve">By county; by age group (25-34 focus); by income level</w:t>
            </w:r>
          </w:p>
        </w:tc>
        <w:tc>
          <w:tcPr>
            <w:tcW w:w="2474" w:type="dxa"/>
          </w:tcPr>
          <w:p>
            <w:pPr>
              <w:pStyle w:val="Compact"/>
              <w:jc w:val="left"/>
            </w:pPr>
            <w:r>
              <w:rPr>
                <w:sz w:val="18"/>
              </w:rPr>
              <w:t xml:space="preserve">Essex County: reduce from 8% toward statewide 3% by 2030</w:t>
            </w:r>
          </w:p>
        </w:tc>
        <w:tc>
          <w:tcPr>
            <w:tcW w:w="2391" w:type="dxa"/>
          </w:tcPr>
          <w:p>
            <w:pPr>
              <w:pStyle w:val="Compact"/>
              <w:jc w:val="left"/>
            </w:pPr>
            <w:r>
              <w:rPr>
                <w:sz w:val="18"/>
              </w:rPr>
              <w:t xml:space="preserve">KFF; Vermont Department of Financial Regulation</w:t>
            </w:r>
          </w:p>
        </w:tc>
      </w:tr>
      <w:tr>
        <w:trPr/>
        <w:tc>
          <w:tcPr>
            <w:tcW w:w="1979" w:type="dxa"/>
          </w:tcPr>
          <w:p>
            <w:pPr>
              <w:pStyle w:val="Compact"/>
              <w:jc w:val="left"/>
            </w:pPr>
            <w:r>
              <w:rPr>
                <w:sz w:val="18"/>
              </w:rPr>
              <w:t xml:space="preserve">Primary care access (personal provider rate)</w:t>
            </w:r>
          </w:p>
        </w:tc>
        <w:tc>
          <w:tcPr>
            <w:tcW w:w="2226" w:type="dxa"/>
          </w:tcPr>
          <w:p>
            <w:pPr>
              <w:pStyle w:val="Compact"/>
              <w:jc w:val="left"/>
            </w:pPr>
            <w:r>
              <w:rPr>
                <w:sz w:val="18"/>
              </w:rPr>
              <w:t xml:space="preserve">By race/ethnicity; by county</w:t>
            </w:r>
          </w:p>
        </w:tc>
        <w:tc>
          <w:tcPr>
            <w:tcW w:w="2474" w:type="dxa"/>
          </w:tcPr>
          <w:p>
            <w:pPr>
              <w:pStyle w:val="Compact"/>
              <w:jc w:val="left"/>
            </w:pPr>
            <w:r>
              <w:rPr>
                <w:sz w:val="18"/>
              </w:rPr>
              <w:t xml:space="preserve">BIPOC adult rate: reduce gap from 79-81% toward 90% statewide average</w:t>
            </w:r>
          </w:p>
        </w:tc>
        <w:tc>
          <w:tcPr>
            <w:tcW w:w="2391" w:type="dxa"/>
          </w:tcPr>
          <w:p>
            <w:pPr>
              <w:pStyle w:val="Compact"/>
              <w:jc w:val="left"/>
            </w:pPr>
            <w:r>
              <w:rPr>
                <w:sz w:val="18"/>
              </w:rPr>
              <w:t xml:space="preserve">BRFSS; Blueprint attribution data</w:t>
            </w:r>
          </w:p>
        </w:tc>
      </w:tr>
      <w:tr>
        <w:trPr/>
        <w:tc>
          <w:tcPr>
            <w:tcW w:w="1979" w:type="dxa"/>
          </w:tcPr>
          <w:p>
            <w:pPr>
              <w:pStyle w:val="Compact"/>
              <w:jc w:val="left"/>
            </w:pPr>
            <w:r>
              <w:rPr>
                <w:sz w:val="18"/>
              </w:rPr>
              <w:t xml:space="preserve">Potentially avoidable ED visit rate</w:t>
            </w:r>
          </w:p>
        </w:tc>
        <w:tc>
          <w:tcPr>
            <w:tcW w:w="2226" w:type="dxa"/>
          </w:tcPr>
          <w:p>
            <w:pPr>
              <w:pStyle w:val="Compact"/>
              <w:jc w:val="left"/>
            </w:pPr>
            <w:r>
              <w:rPr>
                <w:sz w:val="18"/>
              </w:rPr>
              <w:t xml:space="preserve">By county; by income quintile</w:t>
            </w:r>
          </w:p>
        </w:tc>
        <w:tc>
          <w:tcPr>
            <w:tcW w:w="2474" w:type="dxa"/>
          </w:tcPr>
          <w:p>
            <w:pPr>
              <w:pStyle w:val="Compact"/>
              <w:jc w:val="left"/>
            </w:pPr>
            <w:r>
              <w:rPr>
                <w:sz w:val="18"/>
              </w:rPr>
              <w:t xml:space="preserve">Northeast Kingdom: reduce from current rate toward statewide 32.3% (itself a target for reduction)</w:t>
            </w:r>
          </w:p>
        </w:tc>
        <w:tc>
          <w:tcPr>
            <w:tcW w:w="2391" w:type="dxa"/>
          </w:tcPr>
          <w:p>
            <w:pPr>
              <w:pStyle w:val="Compact"/>
              <w:jc w:val="left"/>
            </w:pPr>
            <w:r>
              <w:rPr>
                <w:sz w:val="18"/>
              </w:rPr>
              <w:t xml:space="preserve">VHCURES/VUHDDS via AHS analytics vendor</w:t>
            </w:r>
          </w:p>
        </w:tc>
      </w:tr>
      <w:tr>
        <w:trPr/>
        <w:tc>
          <w:tcPr>
            <w:tcW w:w="1979" w:type="dxa"/>
          </w:tcPr>
          <w:p>
            <w:pPr>
              <w:pStyle w:val="Compact"/>
              <w:jc w:val="left"/>
            </w:pPr>
            <w:r>
              <w:rPr>
                <w:sz w:val="18"/>
              </w:rPr>
              <w:t xml:space="preserve">30-day follow-up after MH/SUD ED visit</w:t>
            </w:r>
          </w:p>
        </w:tc>
        <w:tc>
          <w:tcPr>
            <w:tcW w:w="2226" w:type="dxa"/>
          </w:tcPr>
          <w:p>
            <w:pPr>
              <w:pStyle w:val="Compact"/>
              <w:jc w:val="left"/>
            </w:pPr>
            <w:r>
              <w:rPr>
                <w:sz w:val="18"/>
              </w:rPr>
              <w:t xml:space="preserve">By county; by race/ethnicity; by insurance type</w:t>
            </w:r>
          </w:p>
        </w:tc>
        <w:tc>
          <w:tcPr>
            <w:tcW w:w="2474" w:type="dxa"/>
          </w:tcPr>
          <w:p>
            <w:pPr>
              <w:pStyle w:val="Compact"/>
              <w:jc w:val="left"/>
            </w:pPr>
            <w:r>
              <w:rPr>
                <w:sz w:val="18"/>
              </w:rPr>
              <w:t xml:space="preserve">Windham and Rutland counties: increase toward statewide 76%+ target</w:t>
            </w:r>
          </w:p>
        </w:tc>
        <w:tc>
          <w:tcPr>
            <w:tcW w:w="2391" w:type="dxa"/>
          </w:tcPr>
          <w:p>
            <w:pPr>
              <w:pStyle w:val="Compact"/>
              <w:jc w:val="left"/>
            </w:pPr>
            <w:r>
              <w:rPr>
                <w:sz w:val="18"/>
              </w:rPr>
              <w:t xml:space="preserve">Blueprint via VHCURES</w:t>
            </w:r>
          </w:p>
        </w:tc>
      </w:tr>
      <w:tr>
        <w:trPr/>
        <w:tc>
          <w:tcPr>
            <w:tcW w:w="1979" w:type="dxa"/>
          </w:tcPr>
          <w:p>
            <w:pPr>
              <w:pStyle w:val="Compact"/>
              <w:jc w:val="left"/>
            </w:pPr>
            <w:r>
              <w:rPr>
                <w:sz w:val="18"/>
              </w:rPr>
              <w:t xml:space="preserve">SDOH screening completion rate</w:t>
            </w:r>
          </w:p>
        </w:tc>
        <w:tc>
          <w:tcPr>
            <w:tcW w:w="2226" w:type="dxa"/>
          </w:tcPr>
          <w:p>
            <w:pPr>
              <w:pStyle w:val="Compact"/>
              <w:jc w:val="left"/>
            </w:pPr>
            <w:r>
              <w:rPr>
                <w:sz w:val="18"/>
              </w:rPr>
              <w:t xml:space="preserve">By HSA; by patient race/ethnicity</w:t>
            </w:r>
          </w:p>
        </w:tc>
        <w:tc>
          <w:tcPr>
            <w:tcW w:w="2474" w:type="dxa"/>
          </w:tcPr>
          <w:p>
            <w:pPr>
              <w:pStyle w:val="Compact"/>
              <w:jc w:val="left"/>
            </w:pPr>
            <w:r>
              <w:rPr>
                <w:sz w:val="18"/>
              </w:rPr>
              <w:t xml:space="preserve">Universal screening in all Blueprint PCMHs; document completion rate by population segment</w:t>
            </w:r>
          </w:p>
        </w:tc>
        <w:tc>
          <w:tcPr>
            <w:tcW w:w="2391" w:type="dxa"/>
          </w:tcPr>
          <w:p>
            <w:pPr>
              <w:pStyle w:val="Compact"/>
              <w:jc w:val="left"/>
            </w:pPr>
            <w:r>
              <w:rPr>
                <w:sz w:val="18"/>
              </w:rPr>
              <w:t xml:space="preserve">Blueprint program data</w:t>
            </w:r>
          </w:p>
        </w:tc>
      </w:tr>
      <w:tr>
        <w:trPr/>
        <w:tc>
          <w:tcPr>
            <w:tcW w:w="1979" w:type="dxa"/>
          </w:tcPr>
          <w:p>
            <w:pPr>
              <w:pStyle w:val="Compact"/>
              <w:jc w:val="left"/>
            </w:pPr>
            <w:r>
              <w:rPr>
                <w:sz w:val="18"/>
              </w:rPr>
              <w:t xml:space="preserve">GLP-1 access for Medicaid enrollees with obesity</w:t>
            </w:r>
          </w:p>
        </w:tc>
        <w:tc>
          <w:tcPr>
            <w:tcW w:w="2226" w:type="dxa"/>
          </w:tcPr>
          <w:p>
            <w:pPr>
              <w:pStyle w:val="Compact"/>
              <w:jc w:val="left"/>
            </w:pPr>
            <w:r>
              <w:rPr>
                <w:sz w:val="18"/>
              </w:rPr>
              <w:t xml:space="preserve">By income; by county</w:t>
            </w:r>
          </w:p>
        </w:tc>
        <w:tc>
          <w:tcPr>
            <w:tcW w:w="2474" w:type="dxa"/>
          </w:tcPr>
          <w:p>
            <w:pPr>
              <w:pStyle w:val="Compact"/>
              <w:jc w:val="left"/>
            </w:pPr>
            <w:r>
              <w:rPr>
                <w:sz w:val="18"/>
              </w:rPr>
              <w:t xml:space="preserve">BALANCE Model participation decision by June 2026; coverage effective if participating</w:t>
            </w:r>
          </w:p>
        </w:tc>
        <w:tc>
          <w:tcPr>
            <w:tcW w:w="2391" w:type="dxa"/>
          </w:tcPr>
          <w:p>
            <w:pPr>
              <w:pStyle w:val="Compact"/>
              <w:jc w:val="left"/>
            </w:pPr>
            <w:r>
              <w:rPr>
                <w:sz w:val="18"/>
              </w:rPr>
              <w:t xml:space="preserve">DVHA pharmacy claims via VHCURES</w:t>
            </w:r>
          </w:p>
        </w:tc>
      </w:tr>
      <w:tr>
        <w:trPr/>
        <w:tc>
          <w:tcPr>
            <w:tcW w:w="1979" w:type="dxa"/>
          </w:tcPr>
          <w:p>
            <w:pPr>
              <w:pStyle w:val="Compact"/>
              <w:jc w:val="left"/>
            </w:pPr>
            <w:r>
              <w:rPr>
                <w:sz w:val="18"/>
              </w:rPr>
              <w:t xml:space="preserve">Emergency access time (EMS response)</w:t>
            </w:r>
          </w:p>
        </w:tc>
        <w:tc>
          <w:tcPr>
            <w:tcW w:w="2226" w:type="dxa"/>
          </w:tcPr>
          <w:p>
            <w:pPr>
              <w:pStyle w:val="Compact"/>
              <w:jc w:val="left"/>
            </w:pPr>
            <w:r>
              <w:rPr>
                <w:sz w:val="18"/>
              </w:rPr>
              <w:t xml:space="preserve">By county; by time of day</w:t>
            </w:r>
          </w:p>
        </w:tc>
        <w:tc>
          <w:tcPr>
            <w:tcW w:w="2474" w:type="dxa"/>
          </w:tcPr>
          <w:p>
            <w:pPr>
              <w:pStyle w:val="Compact"/>
              <w:jc w:val="left"/>
            </w:pPr>
            <w:r>
              <w:rPr>
                <w:sz w:val="18"/>
              </w:rPr>
              <w:t xml:space="preserve">Northeast Kingdom: establish baseline; target improvement through EMS regionalization</w:t>
            </w:r>
          </w:p>
        </w:tc>
        <w:tc>
          <w:tcPr>
            <w:tcW w:w="2391" w:type="dxa"/>
          </w:tcPr>
          <w:p>
            <w:pPr>
              <w:pStyle w:val="Compact"/>
              <w:jc w:val="left"/>
            </w:pPr>
            <w:r>
              <w:rPr>
                <w:sz w:val="18"/>
              </w:rPr>
              <w:t xml:space="preserve">EMS dispatch data; RHT Program monitoring</w:t>
            </w:r>
          </w:p>
        </w:tc>
      </w:tr>
      <w:tr>
        <w:trPr>
          <w:cantSplit/>
        </w:trPr>
        <w:tc>
          <w:tcPr>
            <w:tcW w:w="1979" w:type="dxa"/>
          </w:tcPr>
          <w:p>
            <w:pPr>
              <w:pStyle w:val="Compact"/>
              <w:jc w:val="left"/>
            </w:pPr>
            <w:r>
              <w:rPr>
                <w:sz w:val="18"/>
              </w:rPr>
              <w:t xml:space="preserve">Cultural competency standard compliance</w:t>
            </w:r>
          </w:p>
        </w:tc>
        <w:tc>
          <w:tcPr>
            <w:tcW w:w="2226" w:type="dxa"/>
          </w:tcPr>
          <w:p>
            <w:pPr>
              <w:pStyle w:val="Compact"/>
              <w:jc w:val="left"/>
            </w:pPr>
            <w:r>
              <w:rPr>
                <w:sz w:val="18"/>
              </w:rPr>
              <w:t xml:space="preserve">By practice type; by HSA</w:t>
            </w:r>
          </w:p>
        </w:tc>
        <w:tc>
          <w:tcPr>
            <w:tcW w:w="2474" w:type="dxa"/>
          </w:tcPr>
          <w:p>
            <w:pPr>
              <w:pStyle w:val="Compact"/>
              <w:jc w:val="left"/>
            </w:pPr>
            <w:r>
              <w:rPr>
                <w:sz w:val="18"/>
              </w:rPr>
              <w:t xml:space="preserve">All Blueprint PCMHs: meet minimum cultural competency standards by 2027</w:t>
            </w:r>
          </w:p>
        </w:tc>
        <w:tc>
          <w:tcPr>
            <w:tcW w:w="2391" w:type="dxa"/>
          </w:tcPr>
          <w:p>
            <w:pPr>
              <w:pStyle w:val="Compact"/>
              <w:jc w:val="left"/>
            </w:pPr>
            <w:r>
              <w:rPr>
                <w:sz w:val="18"/>
              </w:rPr>
              <w:t xml:space="preserve">Blueprint quality measurement; VDH health equity reporting</w:t>
            </w:r>
          </w:p>
        </w:tc>
      </w:tr>
    </w:tbl>
    <w:p>
      <w:pPr>
        <w:pStyle w:val="Caption"/>
        <w:spacing w:before="120"/>
      </w:pPr>
      <w:r>
        <w:rPr>
          <w:i/>
          <w:iCs/>
        </w:rPr>
        <w:t xml:space="preserve">Figure 10.6 — Vermont equity accountability framework: indicators, stratifications, and targets. Sources: Act 167; Act 68; VDH Health Equity Data Report (January 2025); AHS Transformation Reports.</w:t>
      </w:r>
    </w:p>
    <w:p>
      <w:pPr>
        <w:pStyle w:val="BodyText"/>
      </w:pPr>
      <w: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pPr>
        <w:pStyle w:val="Heading2"/>
        <w:pBdr>
          <w:top w:val="single" w:sz="6" w:space="10" w:color="C9D2DF"/>
        </w:pBdr>
        <w:keepNext w:val="false"/>
      </w:pPr>
      <w:r>
        <w:rPr>
          <w:color w:val="161B22"/>
        </w:rPr>
        <w:t xml:space="preserve">10.9  </w:t>
      </w:r>
      <w:bookmarkStart w:id="1292" w:name="_Toc1291"/>
      <w:r>
        <w:rPr>
          <w:b/>
          <w:bCs/>
          <w:color w:val="161B22"/>
        </w:rPr>
        <w:t xml:space="preserve">Work This Chapter on the Platform</w:t>
      </w:r>
      <w:bookmarkEnd w:id="1292"/>
    </w:p>
    <w:p>
      <w:pPr>
        <w:pStyle w:val="FirstParagraph"/>
        <w:keepNext w:val="false"/>
      </w:pPr>
      <w:r>
        <w:t xml:space="preserve">Chapter 10’s equity argument — closing gaps rather than averaging them — is exactly what the Health Equity Studio measures.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tc>
          <w:tcPr>
            <w:tcW w:w="4062" w:type="dxa"/>
          </w:tcPr>
          <w:p>
            <w:pPr>
              <w:pStyle w:val="Compact"/>
              <w:jc w:val="left"/>
            </w:pPr>
            <w:r>
              <w:rPr>
                <w:sz w:val="18"/>
              </w:rPr>
              <w:t xml:space="preserve">Compute the HEROI composite across access, quality, outcome, SDOH burden, and trust</w:t>
            </w:r>
          </w:p>
        </w:tc>
        <w:tc>
          <w:tcPr>
            <w:tcW w:w="947" w:type="dxa"/>
          </w:tcPr>
          <w:p>
            <w:pPr>
              <w:pStyle w:val="Compact"/>
              <w:jc w:val="left"/>
            </w:pPr>
            <w:r>
              <w:rPr>
                <w:b/>
                <w:bCs/>
                <w:sz w:val="18"/>
              </w:rPr>
              <w:t xml:space="preserve">Health Equity Studio</w:t>
            </w:r>
            <w:r>
              <w:rPr>
                <w:sz w:val="18"/>
              </w:rPr>
              <w:t xml:space="preserve"> </w:t>
            </w:r>
            <w:r>
              <w:rPr>
                <w:sz w:val="18"/>
              </w:rPr>
              <w:t xml:space="preserve">—</w:t>
            </w:r>
            <w:r>
              <w:rPr>
                <w:sz w:val="18"/>
              </w:rPr>
              <w:t xml:space="preserve"> </w:t>
            </w:r>
            <w:r>
              <w:rPr>
                <w:rStyle w:val="VerbatimChar"/>
                <w:sz w:val="18"/>
              </w:rPr>
              <w:t xml:space="preserve">/research-lab/population-equity?tab=equity</w:t>
            </w:r>
          </w:p>
        </w:tc>
        <w:tc>
          <w:tcPr>
            <w:tcW w:w="4062" w:type="dxa"/>
          </w:tcPr>
          <w:p>
            <w:pPr>
              <w:pStyle w:val="Compact"/>
              <w:jc w:val="left"/>
            </w:pPr>
            <w:r>
              <w:rPr>
                <w:sz w:val="18"/>
              </w:rPr>
              <w:t xml:space="preserve">Whether an intervention closes the gap or just raises the average while the gap persists.</w:t>
            </w:r>
          </w:p>
        </w:tc>
      </w:tr>
      <w:tr>
        <w:trPr/>
        <w:tc>
          <w:tcPr>
            <w:tcW w:w="4062" w:type="dxa"/>
          </w:tcPr>
          <w:p>
            <w:pPr>
              <w:pStyle w:val="Compact"/>
              <w:jc w:val="left"/>
            </w:pPr>
            <w:r>
              <w:rPr>
                <w:sz w:val="18"/>
              </w:rPr>
              <w:t xml:space="preserve">Model disease progression and intervention ROI for a defined cohort</w:t>
            </w:r>
          </w:p>
        </w:tc>
        <w:tc>
          <w:tcPr>
            <w:tcW w:w="947" w:type="dxa"/>
          </w:tcPr>
          <w:p>
            <w:pPr>
              <w:pStyle w:val="Compact"/>
              <w:jc w:val="left"/>
            </w:pPr>
            <w:r>
              <w:rPr>
                <w:b/>
                <w:bCs/>
                <w:sz w:val="18"/>
              </w:rPr>
              <w:t xml:space="preserve">Population Health Modeler</w:t>
            </w:r>
            <w:r>
              <w:rPr>
                <w:sz w:val="18"/>
              </w:rPr>
              <w:t xml:space="preserve"> </w:t>
            </w:r>
            <w:r>
              <w:rPr>
                <w:sz w:val="18"/>
              </w:rPr>
              <w:t xml:space="preserve">—</w:t>
            </w:r>
            <w:r>
              <w:rPr>
                <w:sz w:val="18"/>
              </w:rPr>
              <w:t xml:space="preserve"> </w:t>
            </w:r>
            <w:r>
              <w:rPr>
                <w:rStyle w:val="VerbatimChar"/>
                <w:sz w:val="18"/>
              </w:rPr>
              <w:t xml:space="preserve">/research-lab/population-equity?tab=population</w:t>
            </w:r>
          </w:p>
        </w:tc>
        <w:tc>
          <w:tcPr>
            <w:tcW w:w="4062" w:type="dxa"/>
          </w:tcPr>
          <w:p>
            <w:pPr>
              <w:pStyle w:val="Compact"/>
              <w:jc w:val="left"/>
            </w:pPr>
            <w:r>
              <w:rPr>
                <w:sz w:val="18"/>
              </w:rPr>
              <w:t xml:space="preserve">How upstream SDOH investment changes 5–10 year outcomes for the highest-risk segment.</w:t>
            </w:r>
          </w:p>
        </w:tc>
      </w:tr>
    </w:tbl>
    <w:p>
      <w:pPr>
        <w:pStyle w:val="Caption"/>
        <w:spacing w:before="120"/>
      </w:pPr>
      <w:r>
        <w:rPr>
          <w:i/>
          <w:iCs/>
        </w:rPr>
        <w:t xml:space="preserve">Figure 10.H — Hands-on platform tools for the Equity Pillar.</w:t>
      </w:r>
    </w:p>
    <w:p>
      <w:pPr>
        <w:pStyle w:val="Heading2"/>
        <w:pBdr>
          <w:top w:val="single" w:sz="6" w:space="10" w:color="C9D2DF"/>
        </w:pBdr>
      </w:pPr>
      <w:r>
        <w:rPr>
          <w:color w:val="161B22"/>
        </w:rPr>
        <w:t xml:space="preserve">10.10  </w:t>
      </w:r>
      <w:bookmarkStart w:id="1293" w:name="_Toc1292"/>
      <w:r>
        <w:rPr>
          <w:b/>
          <w:bCs/>
          <w:color w:val="161B22"/>
        </w:rPr>
        <w:t xml:space="preserve">Implications for You</w:t>
      </w:r>
      <w:bookmarkEnd w:id="1293"/>
    </w:p>
    <w:p>
      <w:pPr>
        <w:pStyle w:val="FirstParagraph"/>
      </w:pPr>
      <w:r>
        <w:t xml:space="preserve">If you are a Vermont hospital executive: The equity data Vermont’s AHEAD performance measurement will produce is not just a compliance requirement — it is clinical intelligence. Knowing that your attributed population has an 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w:t>
      </w:r>
    </w:p>
    <w:p>
      <w:pPr>
        <w:pStyle w:val="BodyText"/>
      </w:pPr>
      <w: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w:t>
      </w:r>
    </w:p>
    <w:p>
      <w:pPr>
        <w:pStyle w:val="BodyText"/>
      </w:pPr>
      <w:r>
        <w:t xml:space="preserve">If you are a Vermont legislator: Vermont’s 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EAST Fund’s social determinants carve-out and the RHT Program’s community health investment capacity are the right vehicles. The legislature should require AHS to report annually on the equity metrics in the Statewide Strategic Plan and to explain specifically what is being done when metrics show gaps widening rather than closing.</w:t>
      </w:r>
    </w:p>
    <w:p>
      <w:pPr>
        <w:pStyle w:val="BodyText"/>
      </w:pPr>
      <w: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HEROI framework, the Health Equity Advisory Commission, the equity measurement requirements in AHEAD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w:t>
      </w:r>
    </w:p>
    <w:p>
      <w:pPr>
        <w:pStyle w:val="BodyText"/>
      </w:pPr>
      <w: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pPr>
        <w:pStyle w:val="Heading2"/>
        <w:pBdr>
          <w:top w:val="single" w:sz="6" w:space="10" w:color="C9D2DF"/>
        </w:pBdr>
      </w:pPr>
      <w:r>
        <w:rPr>
          <w:color w:val="161B22"/>
        </w:rPr>
        <w:t xml:space="preserve">10.11  </w:t>
      </w:r>
      <w:bookmarkStart w:id="1294" w:name="_Toc1293"/>
      <w:r>
        <w:rPr>
          <w:b/>
          <w:bCs/>
          <w:color w:val="161B22"/>
        </w:rPr>
        <w:t xml:space="preserve">Measuring Equity: HEROI, HEDIS Stratification, and VBC Safeguards</w:t>
      </w:r>
      <w:bookmarkEnd w:id="1294"/>
    </w:p>
    <w:p>
      <w:pPr>
        <w:pStyle w:val="Heading2"/>
        <w:pBdr>
          <w:top w:val="single" w:sz="6" w:space="10" w:color="C9D2DF"/>
        </w:pBdr>
      </w:pPr>
      <w:r>
        <w:rPr>
          <w:color w:val="161B22"/>
        </w:rPr>
        <w:t xml:space="preserve">10.12  </w:t>
      </w:r>
      <w:bookmarkStart w:id="1295" w:name="_Toc1294"/>
      <w:r>
        <w:rPr>
          <w:b/>
          <w:bCs/>
          <w:color w:val="161B22"/>
        </w:rPr>
        <w:t xml:space="preserve">From Identifying Disparities to Eliminating Them</w:t>
      </w:r>
      <w:bookmarkEnd w:id="1295"/>
    </w:p>
    <w:p>
      <w:pPr>
        <w:pStyle w:val="FirstParagraph"/>
      </w:pPr>
      <w:r>
        <w:t xml:space="preserve">Chapter 1 established the Vermont equity landscape — the geographic disparities that concentrate in the Northeast Kingdom, the racial and demographic disparities in coverage and access, the SDOH burden that compounds both, and the GLP-1 access crisis that represents the most consequential new equity issue in American healthcare. This chapter develops the analytical and operational toolkit for actually closing those gaps.</w:t>
      </w:r>
    </w:p>
    <w:p>
      <w:pPr>
        <w:pStyle w:val="BodyText"/>
      </w:pPr>
      <w: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pPr>
        <w:pStyle w:val="Heading2"/>
        <w:pBdr>
          <w:top w:val="single" w:sz="6" w:space="10" w:color="C9D2DF"/>
        </w:pBdr>
      </w:pPr>
      <w:r>
        <w:rPr>
          <w:color w:val="161B22"/>
        </w:rPr>
        <w:t xml:space="preserve">10.13  </w:t>
      </w:r>
      <w:bookmarkStart w:id="1296" w:name="_Toc1295"/>
      <w:r>
        <w:rPr>
          <w:b/>
          <w:bCs/>
          <w:color w:val="161B22"/>
        </w:rPr>
        <w:t xml:space="preserve">Stratified HEDIS Measurement — The Foundation of Equity Analytics</w:t>
      </w:r>
      <w:bookmarkEnd w:id="1296"/>
    </w:p>
    <w:p>
      <w:pPr>
        <w:pStyle w:val="FirstParagraph"/>
      </w:pPr>
      <w: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pPr>
        <w:pStyle w:val="Heading3"/>
        <w:keepNext w:val="false"/>
      </w:pPr>
      <w:r>
        <w:rPr>
          <w:color w:val="161B22"/>
        </w:rPr>
        <w:t xml:space="preserve">10.13.1  </w:t>
      </w:r>
      <w:bookmarkStart w:id="1297" w:name="_Toc1296"/>
      <w:r>
        <w:rPr>
          <w:b/>
          <w:bCs/>
          <w:color w:val="161B22"/>
        </w:rPr>
        <w:t xml:space="preserve">The NCQA HEDIS Stratification Framework</w:t>
      </w:r>
      <w:bookmarkEnd w:id="1297"/>
    </w:p>
    <w:p>
      <w:pPr>
        <w:pStyle w:val="FirstParagraph"/>
        <w:keepNext w:val="false"/>
      </w:pPr>
      <w:r>
        <w:t xml:space="preserve">The National Committee for Quality Assurance (NCQA) has developed HEDIS stratification standards that specify how plans and providers should measure and report quality performance by race, ethnicity, and other demographic dimensions. The Health Equity Studio implements the NCQA stratification methodology against VHCURES and Blueprint data for Vermont providers. The following framework organizes the HEDIS measures most relevant to Vermont’s equity priorities:</w:t>
      </w:r>
    </w:p>
    <w:tbl>
      <w:tblPr>
        <w:tblStyle w:val="HTRTable"/>
        <w:tblLook w:firstRow="1" w:lastRow="0" w:firstColumn="0" w:lastColumn="0" w:noHBand="0" w:noVBand="1" w:val="0020"/>
        <w:tblW w:w="9072" w:type="dxa"/>
        <w:tblLayout w:type="fixed"/>
      </w:tblPr>
      <w:tblGrid>
        <w:gridCol w:w="1369"/>
        <w:gridCol w:w="2567"/>
        <w:gridCol w:w="2567"/>
        <w:gridCol w:w="2567"/>
      </w:tblGrid>
      <w:tr>
        <w:trPr>
          <w:tblHeader w:val="on"/>
          <w:cantSplit/>
        </w:trPr>
        <w:tc>
          <w:tcPr>
            <w:shd w:val="clear" w:color="auto" w:fill="1B3A6B"/>
            <w:tcW w:w="1369" w:type="dxa"/>
          </w:tcPr>
          <w:p>
            <w:pPr>
              <w:pStyle w:val="Compact"/>
              <w:jc w:val="left"/>
            </w:pPr>
            <w:r>
              <w:rPr>
                <w:b/>
                <w:color w:val="FFFFFF"/>
                <w:sz w:val="18"/>
              </w:rPr>
              <w:t xml:space="preserve">HEDIS domain</w:t>
            </w:r>
          </w:p>
        </w:tc>
        <w:tc>
          <w:tcPr>
            <w:shd w:val="clear" w:color="auto" w:fill="1B3A6B"/>
            <w:tcW w:w="2567" w:type="dxa"/>
          </w:tcPr>
          <w:p>
            <w:pPr>
              <w:pStyle w:val="Compact"/>
              <w:jc w:val="left"/>
            </w:pPr>
            <w:r>
              <w:rPr>
                <w:b/>
                <w:color w:val="FFFFFF"/>
                <w:sz w:val="18"/>
              </w:rPr>
              <w:t xml:space="preserve">Key measures</w:t>
            </w:r>
          </w:p>
        </w:tc>
        <w:tc>
          <w:tcPr>
            <w:shd w:val="clear" w:color="auto" w:fill="1B3A6B"/>
            <w:tcW w:w="2567" w:type="dxa"/>
          </w:tcPr>
          <w:p>
            <w:pPr>
              <w:pStyle w:val="Compact"/>
              <w:jc w:val="left"/>
            </w:pPr>
            <w:r>
              <w:rPr>
                <w:b/>
                <w:color w:val="FFFFFF"/>
                <w:sz w:val="18"/>
              </w:rPr>
              <w:t xml:space="preserve">Vermont equity stratification priority</w:t>
            </w:r>
          </w:p>
        </w:tc>
        <w:tc>
          <w:tcPr>
            <w:shd w:val="clear" w:color="auto" w:fill="1B3A6B"/>
            <w:tcW w:w="2567" w:type="dxa"/>
          </w:tcPr>
          <w:p>
            <w:pPr>
              <w:pStyle w:val="Compact"/>
              <w:jc w:val="left"/>
            </w:pPr>
            <w:r>
              <w:rPr>
                <w:b/>
                <w:color w:val="FFFFFF"/>
                <w:sz w:val="18"/>
              </w:rPr>
              <w:t xml:space="preserve">Current Vermont data source</w:t>
            </w:r>
          </w:p>
        </w:tc>
      </w:tr>
      <w:tr>
        <w:trPr>
          <w:cantSplit/>
        </w:trPr>
        <w:tc>
          <w:tcPr>
            <w:tcW w:w="1369" w:type="dxa"/>
          </w:tcPr>
          <w:p>
            <w:pPr>
              <w:pStyle w:val="Compact"/>
              <w:jc w:val="left"/>
            </w:pPr>
            <w:r>
              <w:rPr>
                <w:sz w:val="18"/>
              </w:rPr>
              <w:t xml:space="preserve">Access and preventive care</w:t>
            </w:r>
          </w:p>
        </w:tc>
        <w:tc>
          <w:tcPr>
            <w:tcW w:w="2567" w:type="dxa"/>
          </w:tcPr>
          <w:p>
            <w:pPr>
              <w:pStyle w:val="Compact"/>
              <w:jc w:val="left"/>
            </w:pPr>
            <w:r>
              <w:rPr>
                <w:sz w:val="18"/>
              </w:rPr>
              <w:t xml:space="preserve">Adult BMI assessment; tobacco use screening and cessation; colorectal cancer screening; breast cancer screening; cervical cancer screening</w:t>
            </w:r>
          </w:p>
        </w:tc>
        <w:tc>
          <w:tcPr>
            <w:tcW w:w="2567" w:type="dxa"/>
          </w:tcPr>
          <w:p>
            <w:pPr>
              <w:pStyle w:val="Compact"/>
              <w:jc w:val="left"/>
            </w:pPr>
            <w:r>
              <w:rPr>
                <w:sz w:val="18"/>
              </w:rPr>
              <w:t xml:space="preserve">Geographic (Northeast Kingdom vs. Burlington); income (Medicaid vs. commercial); race/ethnicity (BIPOC vs. white Vermont adults)</w:t>
            </w:r>
          </w:p>
        </w:tc>
        <w:tc>
          <w:tcPr>
            <w:tcW w:w="2567" w:type="dxa"/>
          </w:tcPr>
          <w:p>
            <w:pPr>
              <w:pStyle w:val="Compact"/>
              <w:jc w:val="left"/>
            </w:pPr>
            <w:r>
              <w:rPr>
                <w:sz w:val="18"/>
              </w:rPr>
              <w:t xml:space="preserve">VHCURES claims; Blueprint clinical registry for PCMH-attributed patients</w:t>
            </w:r>
          </w:p>
        </w:tc>
      </w:tr>
      <w:tr>
        <w:trPr/>
        <w:tc>
          <w:tcPr>
            <w:tcW w:w="1369" w:type="dxa"/>
          </w:tcPr>
          <w:p>
            <w:pPr>
              <w:pStyle w:val="Compact"/>
              <w:jc w:val="left"/>
            </w:pPr>
            <w:r>
              <w:rPr>
                <w:sz w:val="18"/>
              </w:rPr>
              <w:t xml:space="preserve">Chronic disease management</w:t>
            </w:r>
          </w:p>
        </w:tc>
        <w:tc>
          <w:tcPr>
            <w:tcW w:w="2567" w:type="dxa"/>
          </w:tcPr>
          <w:p>
            <w:pPr>
              <w:pStyle w:val="Compact"/>
              <w:jc w:val="left"/>
            </w:pPr>
            <w:r>
              <w:rPr>
                <w:sz w:val="18"/>
              </w:rPr>
              <w:t xml:space="preserve">Hemoglobin A1c control for diabetics; blood pressure control for hypertensives; statin therapy for cardiovascular disease; medication adherence for chronic conditions</w:t>
            </w:r>
          </w:p>
        </w:tc>
        <w:tc>
          <w:tcPr>
            <w:tcW w:w="2567" w:type="dxa"/>
          </w:tcPr>
          <w:p>
            <w:pPr>
              <w:pStyle w:val="Compact"/>
              <w:jc w:val="left"/>
            </w:pPr>
            <w:r>
              <w:rPr>
                <w:sz w:val="18"/>
              </w:rPr>
              <w:t xml:space="preserve">Geographic; income; BIPOC adults (Black and AIAN adults disproportionately affected by poorly controlled diabetes and hypertension in Vermont data)</w:t>
            </w:r>
          </w:p>
        </w:tc>
        <w:tc>
          <w:tcPr>
            <w:tcW w:w="2567" w:type="dxa"/>
          </w:tcPr>
          <w:p>
            <w:pPr>
              <w:pStyle w:val="Compact"/>
              <w:jc w:val="left"/>
            </w:pPr>
            <w:r>
              <w:rPr>
                <w:sz w:val="18"/>
              </w:rPr>
              <w:t xml:space="preserve">Blueprint clinical registry (for PCMH-attributed patients); VHCURES pharmacy claims for medication adherence</w:t>
            </w:r>
          </w:p>
        </w:tc>
      </w:tr>
      <w:tr>
        <w:trPr/>
        <w:tc>
          <w:tcPr>
            <w:tcW w:w="1369" w:type="dxa"/>
          </w:tcPr>
          <w:p>
            <w:pPr>
              <w:pStyle w:val="Compact"/>
              <w:jc w:val="left"/>
            </w:pPr>
            <w:r>
              <w:rPr>
                <w:sz w:val="18"/>
              </w:rPr>
              <w:t xml:space="preserve">Behavioral health</w:t>
            </w:r>
          </w:p>
        </w:tc>
        <w:tc>
          <w:tcPr>
            <w:tcW w:w="2567" w:type="dxa"/>
          </w:tcPr>
          <w:p>
            <w:pPr>
              <w:pStyle w:val="Compact"/>
              <w:jc w:val="left"/>
            </w:pPr>
            <w:r>
              <w:rPr>
                <w:sz w:val="18"/>
              </w:rPr>
              <w:t xml:space="preserve">Follow-up after ED visit for mental illness (FUH); follow-up after ED visit for alcohol use (FUA); initiation and engagement of SUD treatment (IET); antidepressant medication management</w:t>
            </w:r>
          </w:p>
        </w:tc>
        <w:tc>
          <w:tcPr>
            <w:tcW w:w="2567" w:type="dxa"/>
          </w:tcPr>
          <w:p>
            <w:pPr>
              <w:pStyle w:val="Compact"/>
              <w:jc w:val="left"/>
            </w:pPr>
            <w:r>
              <w:rPr>
                <w:sz w:val="18"/>
              </w:rPr>
              <w:t xml:space="preserve">Geographic (Rutland and Windham counties have statistically higher MH crisis rates); age (15-44); LGBTQ+ Vermonters (documented higher MH burden)</w:t>
            </w:r>
          </w:p>
        </w:tc>
        <w:tc>
          <w:tcPr>
            <w:tcW w:w="2567" w:type="dxa"/>
          </w:tcPr>
          <w:p>
            <w:pPr>
              <w:pStyle w:val="Compact"/>
              <w:jc w:val="left"/>
            </w:pPr>
            <w:r>
              <w:rPr>
                <w:sz w:val="18"/>
              </w:rPr>
              <w:t xml:space="preserve">VHCURES; VDH ED surveillance data; Blueprint follow-up tracking</w:t>
            </w:r>
          </w:p>
        </w:tc>
      </w:tr>
      <w:tr>
        <w:trPr/>
        <w:tc>
          <w:tcPr>
            <w:tcW w:w="1369" w:type="dxa"/>
          </w:tcPr>
          <w:p>
            <w:pPr>
              <w:pStyle w:val="Compact"/>
              <w:jc w:val="left"/>
            </w:pPr>
            <w:r>
              <w:rPr>
                <w:sz w:val="18"/>
              </w:rPr>
              <w:t xml:space="preserve">Maternal and reproductive health</w:t>
            </w:r>
          </w:p>
        </w:tc>
        <w:tc>
          <w:tcPr>
            <w:tcW w:w="2567" w:type="dxa"/>
          </w:tcPr>
          <w:p>
            <w:pPr>
              <w:pStyle w:val="Compact"/>
              <w:jc w:val="left"/>
            </w:pPr>
            <w:r>
              <w:rPr>
                <w:sz w:val="18"/>
              </w:rPr>
              <w:t xml:space="preserve">Prenatal and postpartum care; well-child visits; adolescent well-care; prenatal depression screening</w:t>
            </w:r>
          </w:p>
        </w:tc>
        <w:tc>
          <w:tcPr>
            <w:tcW w:w="2567" w:type="dxa"/>
          </w:tcPr>
          <w:p>
            <w:pPr>
              <w:pStyle w:val="Compact"/>
              <w:jc w:val="left"/>
            </w:pPr>
            <w:r>
              <w:rPr>
                <w:sz w:val="18"/>
              </w:rPr>
              <w:t xml:space="preserve">Income; race/ethnicity (BIPOC maternal outcomes nationally and in Vermont below white outcomes); geographic (rural access barriers to OB care)</w:t>
            </w:r>
          </w:p>
        </w:tc>
        <w:tc>
          <w:tcPr>
            <w:tcW w:w="2567" w:type="dxa"/>
          </w:tcPr>
          <w:p>
            <w:pPr>
              <w:pStyle w:val="Compact"/>
              <w:jc w:val="left"/>
            </w:pPr>
            <w:r>
              <w:rPr>
                <w:sz w:val="18"/>
              </w:rPr>
              <w:t xml:space="preserve">VHCURES; Blueprint Women’s Health Initiative data</w:t>
            </w:r>
          </w:p>
        </w:tc>
      </w:tr>
      <w:tr>
        <w:trPr>
          <w:cantSplit/>
        </w:trPr>
        <w:tc>
          <w:tcPr>
            <w:tcW w:w="1369" w:type="dxa"/>
          </w:tcPr>
          <w:p>
            <w:pPr>
              <w:pStyle w:val="Compact"/>
              <w:jc w:val="left"/>
            </w:pPr>
            <w:r>
              <w:rPr>
                <w:sz w:val="18"/>
              </w:rPr>
              <w:t xml:space="preserve">Care coordination</w:t>
            </w:r>
          </w:p>
        </w:tc>
        <w:tc>
          <w:tcPr>
            <w:tcW w:w="2567" w:type="dxa"/>
          </w:tcPr>
          <w:p>
            <w:pPr>
              <w:pStyle w:val="Compact"/>
              <w:jc w:val="left"/>
            </w:pPr>
            <w:r>
              <w:rPr>
                <w:sz w:val="18"/>
              </w:rPr>
              <w:t xml:space="preserve">30-day readmission rate; transitions of care; medication reconciliation post-discharge</w:t>
            </w:r>
          </w:p>
        </w:tc>
        <w:tc>
          <w:tcPr>
            <w:tcW w:w="2567" w:type="dxa"/>
          </w:tcPr>
          <w:p>
            <w:pPr>
              <w:pStyle w:val="Compact"/>
              <w:jc w:val="left"/>
            </w:pPr>
            <w:r>
              <w:rPr>
                <w:sz w:val="18"/>
              </w:rPr>
              <w:t xml:space="preserve">Income (Medicaid patients have higher readmission rates nationally); geographic (distance from discharge follow-up resources)</w:t>
            </w:r>
          </w:p>
        </w:tc>
        <w:tc>
          <w:tcPr>
            <w:tcW w:w="2567" w:type="dxa"/>
          </w:tcPr>
          <w:p>
            <w:pPr>
              <w:pStyle w:val="Compact"/>
              <w:jc w:val="left"/>
            </w:pPr>
            <w:r>
              <w:rPr>
                <w:sz w:val="18"/>
              </w:rPr>
              <w:t xml:space="preserve">VHCURES; GMCB hospital discharge data (VUHDDS)</w:t>
            </w:r>
          </w:p>
        </w:tc>
      </w:tr>
    </w:tbl>
    <w:p>
      <w:pPr>
        <w:pStyle w:val="Caption"/>
        <w:spacing w:before="120"/>
      </w:pPr>
      <w:r>
        <w:rPr>
          <w:i/>
          <w:iCs/>
        </w:rPr>
        <w:t xml:space="preserve">Figure 10.7 — Vermont HEDIS equity stratification framework. Sources: NCQA HEDIS Technical Specifications; AHS Health Equity Data Report (January 2025); Blueprint for Health data.</w:t>
      </w:r>
    </w:p>
    <w:p>
      <w:pPr>
        <w:pStyle w:val="Heading2"/>
        <w:pBdr>
          <w:top w:val="single" w:sz="6" w:space="10" w:color="C9D2DF"/>
        </w:pBdr>
        <w:keepNext w:val="false"/>
      </w:pPr>
      <w:r>
        <w:rPr>
          <w:color w:val="161B22"/>
        </w:rPr>
        <w:t xml:space="preserve">10.14  </w:t>
      </w:r>
      <w:bookmarkStart w:id="1298" w:name="_Toc1297"/>
      <w:r>
        <w:rPr>
          <w:b/>
          <w:bCs/>
          <w:color w:val="161B22"/>
        </w:rPr>
        <w:t xml:space="preserve">Equity Pillar Implementation Matrix</w:t>
      </w:r>
      <w:bookmarkEnd w:id="1298"/>
    </w:p>
    <w:p>
      <w:pPr>
        <w:pStyle w:val="FirstParagraph"/>
        <w:keepNext w:val="false"/>
      </w:pPr>
      <w:r>
        <w:t xml:space="preserve">The following matrix provides implementation guidance for the key Equity pillar investments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HEROI scoring and equity measurement infrastructure</w:t>
            </w:r>
          </w:p>
        </w:tc>
        <w:tc>
          <w:tcPr>
            <w:tcW w:w="1222" w:type="dxa"/>
          </w:tcPr>
          <w:p>
            <w:pPr>
              <w:pStyle w:val="Compact"/>
              <w:jc w:val="left"/>
            </w:pPr>
            <w:r>
              <w:rPr>
                <w:sz w:val="18"/>
              </w:rPr>
              <w:t xml:space="preserve">$30K-$80K setup; $20K/yr</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12 months (risk avoidance)</w:t>
            </w:r>
          </w:p>
        </w:tc>
        <w:tc>
          <w:tcPr>
            <w:tcW w:w="2820" w:type="dxa"/>
          </w:tcPr>
          <w:p>
            <w:pPr>
              <w:pStyle w:val="Compact"/>
              <w:jc w:val="left"/>
            </w:pPr>
            <w:r>
              <w:rPr>
                <w:sz w:val="18"/>
              </w:rPr>
              <w:t xml:space="preserve">Vermont HEROI: 14 HSA-level equity scores; GMCB reporting requirement</w:t>
            </w:r>
          </w:p>
        </w:tc>
      </w:tr>
      <w:tr>
        <w:trPr/>
        <w:tc>
          <w:tcPr>
            <w:tcW w:w="2726" w:type="dxa"/>
          </w:tcPr>
          <w:p>
            <w:pPr>
              <w:pStyle w:val="Compact"/>
              <w:jc w:val="left"/>
            </w:pPr>
            <w:r>
              <w:rPr>
                <w:sz w:val="18"/>
              </w:rPr>
              <w:t xml:space="preserve">HRSN universal screening at Blueprint practices</w:t>
            </w:r>
          </w:p>
        </w:tc>
        <w:tc>
          <w:tcPr>
            <w:tcW w:w="1222" w:type="dxa"/>
          </w:tcPr>
          <w:p>
            <w:pPr>
              <w:pStyle w:val="Compact"/>
              <w:jc w:val="left"/>
            </w:pPr>
            <w:r>
              <w:rPr>
                <w:sz w:val="18"/>
              </w:rPr>
              <w:t xml:space="preserve">$10K-$30K per practice/yr</w:t>
            </w:r>
          </w:p>
        </w:tc>
        <w:tc>
          <w:tcPr>
            <w:tcW w:w="987" w:type="dxa"/>
          </w:tcPr>
          <w:p>
            <w:pPr>
              <w:pStyle w:val="Compact"/>
              <w:jc w:val="left"/>
            </w:pPr>
            <w:r>
              <w:rPr>
                <w:sz w:val="18"/>
              </w:rPr>
              <w:t xml:space="preserve">1-3 months</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Vermont: 91% statewide access vs 79-81% BIPOC — HRSN closes referral gap</w:t>
            </w:r>
          </w:p>
        </w:tc>
      </w:tr>
      <w:tr>
        <w:trPr/>
        <w:tc>
          <w:tcPr>
            <w:tcW w:w="2726" w:type="dxa"/>
          </w:tcPr>
          <w:p>
            <w:pPr>
              <w:pStyle w:val="Compact"/>
              <w:jc w:val="left"/>
            </w:pPr>
            <w:r>
              <w:rPr>
                <w:sz w:val="18"/>
              </w:rPr>
              <w:t xml:space="preserve">Social risk adjustment methodology design</w:t>
            </w:r>
          </w:p>
        </w:tc>
        <w:tc>
          <w:tcPr>
            <w:tcW w:w="1222" w:type="dxa"/>
          </w:tcPr>
          <w:p>
            <w:pPr>
              <w:pStyle w:val="Compact"/>
              <w:jc w:val="left"/>
            </w:pPr>
            <w:r>
              <w:rPr>
                <w:sz w:val="18"/>
              </w:rPr>
              <w:t xml:space="preserve">$100K-$300K state cost</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Prerequisite for fair budgets</w:t>
            </w:r>
          </w:p>
        </w:tc>
        <w:tc>
          <w:tcPr>
            <w:tcW w:w="2820" w:type="dxa"/>
          </w:tcPr>
          <w:p>
            <w:pPr>
              <w:pStyle w:val="Compact"/>
              <w:jc w:val="left"/>
            </w:pPr>
            <w:r>
              <w:rPr>
                <w:sz w:val="18"/>
              </w:rPr>
              <w:t xml:space="preserve">Vermont AHEAD: active SRA design question as of early 2026</w:t>
            </w:r>
          </w:p>
        </w:tc>
      </w:tr>
      <w:tr>
        <w:trPr/>
        <w:tc>
          <w:tcPr>
            <w:tcW w:w="2726" w:type="dxa"/>
          </w:tcPr>
          <w:p>
            <w:pPr>
              <w:pStyle w:val="Compact"/>
              <w:jc w:val="left"/>
            </w:pPr>
            <w:r>
              <w:rPr>
                <w:sz w:val="18"/>
              </w:rPr>
              <w:t xml:space="preserve">SDOH data integration (claims + AHS program data)</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18-24 months</w:t>
            </w:r>
          </w:p>
        </w:tc>
        <w:tc>
          <w:tcPr>
            <w:tcW w:w="1316" w:type="dxa"/>
          </w:tcPr>
          <w:p>
            <w:pPr>
              <w:pStyle w:val="Compact"/>
              <w:jc w:val="left"/>
            </w:pPr>
            <w:r>
              <w:rPr>
                <w:sz w:val="18"/>
              </w:rPr>
              <w:t xml:space="preserve">24-36 months</w:t>
            </w:r>
          </w:p>
        </w:tc>
        <w:tc>
          <w:tcPr>
            <w:tcW w:w="2820" w:type="dxa"/>
          </w:tcPr>
          <w:p>
            <w:pPr>
              <w:pStyle w:val="Compact"/>
              <w:jc w:val="left"/>
            </w:pPr>
            <w:r>
              <w:rPr>
                <w:sz w:val="18"/>
              </w:rPr>
              <w:t xml:space="preserve">Vermont CIN: housing, food, transportation linkage to VHCURES</w:t>
            </w:r>
          </w:p>
        </w:tc>
      </w:tr>
      <w:tr>
        <w:trPr/>
        <w:tc>
          <w:tcPr>
            <w:tcW w:w="2726" w:type="dxa"/>
          </w:tcPr>
          <w:p>
            <w:pPr>
              <w:pStyle w:val="Compact"/>
              <w:jc w:val="left"/>
            </w:pPr>
            <w:r>
              <w:rPr>
                <w:sz w:val="18"/>
              </w:rPr>
              <w:t xml:space="preserve">Health equity impact assessment process</w:t>
            </w:r>
          </w:p>
        </w:tc>
        <w:tc>
          <w:tcPr>
            <w:tcW w:w="1222" w:type="dxa"/>
          </w:tcPr>
          <w:p>
            <w:pPr>
              <w:pStyle w:val="Compact"/>
              <w:jc w:val="left"/>
            </w:pPr>
            <w:r>
              <w:rPr>
                <w:sz w:val="18"/>
              </w:rPr>
              <w:t xml:space="preserve">$25K-$50K one-time</w:t>
            </w:r>
          </w:p>
        </w:tc>
        <w:tc>
          <w:tcPr>
            <w:tcW w:w="987" w:type="dxa"/>
          </w:tcPr>
          <w:p>
            <w:pPr>
              <w:pStyle w:val="Compact"/>
              <w:jc w:val="left"/>
            </w:pPr>
            <w:r>
              <w:rPr>
                <w:sz w:val="18"/>
              </w:rPr>
              <w:t xml:space="preserve">3 months</w:t>
            </w:r>
          </w:p>
        </w:tc>
        <w:tc>
          <w:tcPr>
            <w:tcW w:w="1316" w:type="dxa"/>
          </w:tcPr>
          <w:p>
            <w:pPr>
              <w:pStyle w:val="Compact"/>
              <w:jc w:val="left"/>
            </w:pPr>
            <w:r>
              <w:rPr>
                <w:sz w:val="18"/>
              </w:rPr>
              <w:t xml:space="preserve">Immediate: redesign cost avoidance</w:t>
            </w:r>
          </w:p>
        </w:tc>
        <w:tc>
          <w:tcPr>
            <w:tcW w:w="2820" w:type="dxa"/>
          </w:tcPr>
          <w:p>
            <w:pPr>
              <w:pStyle w:val="Compact"/>
              <w:jc w:val="left"/>
            </w:pPr>
            <w:r>
              <w:rPr>
                <w:sz w:val="18"/>
              </w:rPr>
              <w:t xml:space="preserve">Act 68 HCAC consultation requirement; equity-as-design-constraint</w:t>
            </w:r>
          </w:p>
        </w:tc>
      </w:tr>
      <w:tr>
        <w:trPr>
          <w:cantSplit/>
        </w:trPr>
        <w:tc>
          <w:tcPr>
            <w:tcW w:w="2726" w:type="dxa"/>
          </w:tcPr>
          <w:p>
            <w:pPr>
              <w:pStyle w:val="Compact"/>
              <w:jc w:val="left"/>
            </w:pPr>
            <w:r>
              <w:rPr>
                <w:sz w:val="18"/>
              </w:rPr>
              <w:t xml:space="preserve">Race/ethnicity data quality improvement (VHCURES)</w:t>
            </w:r>
          </w:p>
        </w:tc>
        <w:tc>
          <w:tcPr>
            <w:tcW w:w="1222" w:type="dxa"/>
          </w:tcPr>
          <w:p>
            <w:pPr>
              <w:pStyle w:val="Compact"/>
              <w:jc w:val="left"/>
            </w:pPr>
            <w:r>
              <w:rPr>
                <w:sz w:val="18"/>
              </w:rPr>
              <w:t xml:space="preserve">$20K-$60K annually</w:t>
            </w:r>
          </w:p>
        </w:tc>
        <w:tc>
          <w:tcPr>
            <w:tcW w:w="987" w:type="dxa"/>
          </w:tcPr>
          <w:p>
            <w:pPr>
              <w:pStyle w:val="Compact"/>
              <w:jc w:val="left"/>
            </w:pPr>
            <w:r>
              <w:rPr>
                <w:sz w:val="18"/>
              </w:rPr>
              <w:t xml:space="preserve">6 months</w:t>
            </w:r>
          </w:p>
        </w:tc>
        <w:tc>
          <w:tcPr>
            <w:tcW w:w="1316" w:type="dxa"/>
          </w:tcPr>
          <w:p>
            <w:pPr>
              <w:pStyle w:val="Compact"/>
              <w:jc w:val="left"/>
            </w:pPr>
            <w:r>
              <w:rPr>
                <w:sz w:val="18"/>
              </w:rPr>
              <w:t xml:space="preserve">12 months</w:t>
            </w:r>
          </w:p>
        </w:tc>
        <w:tc>
          <w:tcPr>
            <w:tcW w:w="2820" w:type="dxa"/>
          </w:tcPr>
          <w:p>
            <w:pPr>
              <w:pStyle w:val="Compact"/>
              <w:jc w:val="left"/>
            </w:pPr>
            <w:r>
              <w:rPr>
                <w:sz w:val="18"/>
              </w:rPr>
              <w:t xml:space="preserve">Vermont VHCURES: incomplete race/ethnicity fields documented in VDH 2025</w:t>
            </w:r>
          </w:p>
        </w:tc>
      </w:tr>
    </w:tbl>
    <w:p>
      <w:pPr>
        <w:pStyle w:val="Caption"/>
        <w:spacing w:before="120"/>
      </w:pPr>
      <w:r>
        <w:rPr>
          <w:i/>
          <w:iCs/>
        </w:rPr>
        <w:t xml:space="preserve">Figure 10.8 — Equity pillar implementation matrix. Sources: Vermont Department of Health Health Equity Data Report (January 2025); Act 68 of 2025.</w:t>
      </w:r>
    </w:p>
    <w:p>
      <w:pPr>
        <w:pStyle w:val="Heading3"/>
      </w:pPr>
      <w:r>
        <w:rPr>
          <w:color w:val="161B22"/>
        </w:rPr>
        <w:t xml:space="preserve">10.14.1  </w:t>
      </w:r>
      <w:bookmarkStart w:id="1299" w:name="_Toc1298"/>
      <w:r>
        <w:rPr>
          <w:b/>
          <w:bCs/>
          <w:color w:val="161B22"/>
        </w:rPr>
        <w:t xml:space="preserve">The Data Collection Challenge — Getting Demographic Data Right</w:t>
      </w:r>
      <w:bookmarkEnd w:id="1299"/>
    </w:p>
    <w:p>
      <w:pPr>
        <w:pStyle w:val="FirstParagraph"/>
      </w:pPr>
      <w: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pPr>
        <w:pStyle w:val="BodyText"/>
      </w:pPr>
      <w: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pPr>
        <w:pStyle w:val="Heading2"/>
        <w:pBdr>
          <w:top w:val="single" w:sz="6" w:space="10" w:color="C9D2DF"/>
        </w:pBdr>
      </w:pPr>
      <w:r>
        <w:rPr>
          <w:color w:val="161B22"/>
        </w:rPr>
        <w:t xml:space="preserve">10.15  </w:t>
      </w:r>
      <w:bookmarkStart w:id="1300" w:name="_Toc1299"/>
      <w:r>
        <w:rPr>
          <w:b/>
          <w:bCs/>
          <w:color w:val="161B22"/>
        </w:rPr>
        <w:t xml:space="preserve">The HEROI Framework — A Composite Equity Score</w:t>
      </w:r>
      <w:bookmarkEnd w:id="1300"/>
    </w:p>
    <w:p>
      <w:pPr>
        <w:pStyle w:val="Heading3"/>
      </w:pPr>
      <w:r>
        <w:rPr>
          <w:color w:val="161B22"/>
        </w:rPr>
        <w:t xml:space="preserve">10.15.1  </w:t>
      </w:r>
      <w:bookmarkStart w:id="1301" w:name="_Toc1300"/>
      <w:r>
        <w:rPr>
          <w:b/>
          <w:bCs/>
          <w:color w:val="161B22"/>
        </w:rPr>
        <w:t xml:space="preserve">HEROI Composite Score — Five Dimensions</w:t>
      </w:r>
      <w:bookmarkEnd w:id="1301"/>
    </w:p>
    <w:p>
      <w:pPr>
        <w:pStyle w:val="Compact"/>
        <w:numPr>
          <w:ilvl w:val="0"/>
          <w:numId w:val="1025"/>
        </w:numPr>
        <w:keepLines w:val="true"/>
        <w:keepNext w:val="true"/>
      </w:pPr>
      <w:r>
        <w:t xml:space="preserve">Access Equity (25%) — gap in primary, specialty, and emergency care utilization by subpopulation.</w:t>
      </w:r>
    </w:p>
    <w:p>
      <w:pPr>
        <w:pStyle w:val="Compact"/>
        <w:numPr>
          <w:ilvl w:val="0"/>
          <w:numId w:val="1025"/>
        </w:numPr>
        <w:keepLines w:val="true"/>
        <w:keepNext w:val="true"/>
      </w:pPr>
      <w:r>
        <w:t xml:space="preserve">Quality Equity (25%) — HEDIS performance gap across top 10 chronic disease measures.</w:t>
      </w:r>
    </w:p>
    <w:p>
      <w:pPr>
        <w:pStyle w:val="Compact"/>
        <w:numPr>
          <w:ilvl w:val="0"/>
          <w:numId w:val="1025"/>
        </w:numPr>
        <w:keepLines w:val="true"/>
        <w:keepNext w:val="true"/>
      </w:pPr>
      <w:r>
        <w:t xml:space="preserve">Outcome Equity (25%) — avoidable hospitalizations, ED visits, readmissions by demographic segment.</w:t>
      </w:r>
    </w:p>
    <w:p>
      <w:pPr>
        <w:pStyle w:val="Compact"/>
        <w:numPr>
          <w:ilvl w:val="0"/>
          <w:numId w:val="1025"/>
        </w:numPr>
        <w:keepLines w:val="true"/>
        <w:keepNext w:val="true"/>
      </w:pPr>
      <w:r>
        <w:t xml:space="preserve">SDOH Burden (15%) — HRSN screening completion and community resource referral rates.</w:t>
      </w:r>
    </w:p>
    <w:p>
      <w:pPr>
        <w:pStyle w:val="Compact"/>
        <w:numPr>
          <w:ilvl w:val="0"/>
          <w:numId w:val="1025"/>
        </w:numPr>
        <w:keepLines w:val="true"/>
        <w:keepNext w:val="true"/>
      </w:pPr>
      <w:r>
        <w:t xml:space="preserve">Trust and Engagement (10%) — CAHPS patient experience scores stratified by race and income.</w:t>
      </w:r>
    </w:p>
    <w:p>
      <w:pPr>
        <w:pStyle w:val="Compact"/>
        <w:numPr>
          <w:ilvl w:val="0"/>
          <w:numId w:val="1025"/>
        </w:numPr>
        <w:keepLines w:val="true"/>
      </w:pPr>
      <w:r>
        <w:t xml:space="preserve">Score 80+: equity achieved. 60-80: material disparities. Below 60: comprehensive redesign needed.</w:t>
      </w:r>
    </w:p>
    <w:p>
      <w:pPr>
        <w:pStyle w:val="FirstParagraph"/>
      </w:pPr>
      <w: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pPr>
        <w:pStyle w:val="Heading3"/>
      </w:pPr>
      <w:r>
        <w:rPr>
          <w:color w:val="161B22"/>
        </w:rPr>
        <w:t xml:space="preserve">10.15.2  </w:t>
      </w:r>
      <w:bookmarkStart w:id="1302" w:name="_Toc1301"/>
      <w:r>
        <w:rPr>
          <w:b/>
          <w:bCs/>
          <w:color w:val="161B22"/>
        </w:rPr>
        <w:t xml:space="preserve">HEROI Components</w:t>
      </w:r>
      <w:bookmarkEnd w:id="1302"/>
    </w:p>
    <w:p>
      <w:pPr>
        <w:pStyle w:val="FirstParagraph"/>
      </w:pPr>
      <w:r>
        <w:t xml:space="preserve">The HEROI composite score is calculated across five equity dimensions, each weighted by its relative health impact and the strength of evidence for interventions that can address it:</w:t>
      </w:r>
    </w:p>
    <w:p>
      <w:pPr>
        <w:pStyle w:val="Compact"/>
        <w:numPr>
          <w:ilvl w:val="0"/>
          <w:numId w:val="1026"/>
        </w:numPr>
        <w:keepLines w:val="true"/>
        <w:keepNext w:val="true"/>
      </w:pPr>
      <w: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pPr>
        <w:pStyle w:val="Compact"/>
        <w:numPr>
          <w:ilvl w:val="0"/>
          <w:numId w:val="1026"/>
        </w:numPr>
        <w:keepLines w:val="true"/>
        <w:keepNext w:val="true"/>
      </w:pPr>
      <w: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pPr>
        <w:pStyle w:val="Compact"/>
        <w:numPr>
          <w:ilvl w:val="0"/>
          <w:numId w:val="1026"/>
        </w:numPr>
        <w:keepLines w:val="true"/>
        <w:keepNext w:val="true"/>
      </w:pPr>
      <w: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pPr>
        <w:pStyle w:val="Compact"/>
        <w:numPr>
          <w:ilvl w:val="0"/>
          <w:numId w:val="1026"/>
        </w:numPr>
        <w:keepLines w:val="true"/>
        <w:keepNext w:val="true"/>
      </w:pPr>
      <w: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pPr>
        <w:pStyle w:val="Compact"/>
        <w:numPr>
          <w:ilvl w:val="0"/>
          <w:numId w:val="1026"/>
        </w:numPr>
        <w:keepLines w:val="true"/>
      </w:pPr>
      <w: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pPr>
        <w:pStyle w:val="FirstParagraph"/>
      </w:pPr>
      <w:r>
        <w:t xml:space="preserve">A HEROI score of 80+ indicates an organization achieving equity across all five dimensions. A score of 60-80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pPr>
        <w:pStyle w:val="Heading2"/>
        <w:pBdr>
          <w:top w:val="single" w:sz="6" w:space="10" w:color="C9D2DF"/>
        </w:pBdr>
      </w:pPr>
      <w:r>
        <w:rPr>
          <w:color w:val="161B22"/>
        </w:rPr>
        <w:t xml:space="preserve">10.16  </w:t>
      </w:r>
      <w:bookmarkStart w:id="1303" w:name="_Toc1302"/>
      <w:r>
        <w:rPr>
          <w:b/>
          <w:bCs/>
          <w:color w:val="161B22"/>
        </w:rPr>
        <w:t xml:space="preserve">Root Cause Analytics — Matching Interventions to Causes</w:t>
      </w:r>
      <w:bookmarkEnd w:id="1303"/>
    </w:p>
    <w:p>
      <w:pPr>
        <w:pStyle w:val="FirstParagraph"/>
      </w:pPr>
      <w: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pPr>
        <w:pStyle w:val="Heading3"/>
      </w:pPr>
      <w:r>
        <w:rPr>
          <w:color w:val="161B22"/>
        </w:rPr>
        <w:t xml:space="preserve">10.16.1  </w:t>
      </w:r>
      <w:bookmarkStart w:id="1304" w:name="_Toc1303"/>
      <w:r>
        <w:rPr>
          <w:b/>
          <w:bCs/>
          <w:color w:val="161B22"/>
        </w:rPr>
        <w:t xml:space="preserve">The Disparity Decomposition Method</w:t>
      </w:r>
      <w:bookmarkEnd w:id="1304"/>
    </w:p>
    <w:p>
      <w:pPr>
        <w:pStyle w:val="FirstParagraph"/>
      </w:pPr>
      <w: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pPr>
        <w:pStyle w:val="BodyText"/>
      </w:pPr>
      <w: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pPr>
        <w:pStyle w:val="BodyText"/>
      </w:pPr>
      <w: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pPr>
        <w:pStyle w:val="Heading3"/>
        <w:keepNext w:val="false"/>
      </w:pPr>
      <w:r>
        <w:rPr>
          <w:color w:val="161B22"/>
        </w:rPr>
        <w:t xml:space="preserve">10.16.2  </w:t>
      </w:r>
      <w:bookmarkStart w:id="1305" w:name="_Toc1304"/>
      <w:r>
        <w:rPr>
          <w:b/>
          <w:bCs/>
          <w:color w:val="161B22"/>
        </w:rPr>
        <w:t xml:space="preserve">The Five-Step Disparity Closure Process</w:t>
      </w:r>
      <w:bookmarkEnd w:id="1305"/>
    </w:p>
    <w:p>
      <w:pPr>
        <w:pStyle w:val="FirstParagraph"/>
        <w:keepNext w:val="false"/>
      </w:pPr>
      <w:r>
        <w:t xml:space="preserve">The Health Equity Studio implements the following five-step disparity closure process for client organizations:</w:t>
      </w:r>
    </w:p>
    <w:tbl>
      <w:tblPr>
        <w:tblStyle w:val="HTRTable"/>
        <w:tblLook w:firstRow="1" w:lastRow="0" w:firstColumn="0" w:lastColumn="0" w:noHBand="0" w:noVBand="1" w:val="0020"/>
        <w:tblW w:w="9072" w:type="dxa"/>
        <w:tblLayout w:type="fixed"/>
      </w:tblPr>
      <w:tblGrid>
        <w:gridCol w:w="1694"/>
        <w:gridCol w:w="2990"/>
        <w:gridCol w:w="1395"/>
        <w:gridCol w:w="2990"/>
      </w:tblGrid>
      <w:tr>
        <w:trPr>
          <w:tblHeader w:val="on"/>
          <w:cantSplit/>
        </w:trPr>
        <w:tc>
          <w:tcPr>
            <w:shd w:val="clear" w:color="auto" w:fill="1B3A6B"/>
            <w:tcW w:w="1694" w:type="dxa"/>
          </w:tcPr>
          <w:p>
            <w:pPr>
              <w:pStyle w:val="Compact"/>
              <w:jc w:val="left"/>
            </w:pPr>
            <w:r>
              <w:rPr>
                <w:b/>
                <w:color w:val="FFFFFF"/>
                <w:sz w:val="18"/>
              </w:rPr>
              <w:t xml:space="preserve">Step</w:t>
            </w:r>
          </w:p>
        </w:tc>
        <w:tc>
          <w:tcPr>
            <w:shd w:val="clear" w:color="auto" w:fill="1B3A6B"/>
            <w:tcW w:w="2990" w:type="dxa"/>
          </w:tcPr>
          <w:p>
            <w:pPr>
              <w:pStyle w:val="Compact"/>
              <w:jc w:val="left"/>
            </w:pPr>
            <w:r>
              <w:rPr>
                <w:b/>
                <w:color w:val="FFFFFF"/>
                <w:sz w:val="18"/>
              </w:rPr>
              <w:t xml:space="preserve">Action</w:t>
            </w:r>
          </w:p>
        </w:tc>
        <w:tc>
          <w:tcPr>
            <w:shd w:val="clear" w:color="auto" w:fill="1B3A6B"/>
            <w:tcW w:w="1395" w:type="dxa"/>
          </w:tcPr>
          <w:p>
            <w:pPr>
              <w:pStyle w:val="Compact"/>
              <w:jc w:val="left"/>
            </w:pPr>
            <w:r>
              <w:rPr>
                <w:b/>
                <w:color w:val="FFFFFF"/>
                <w:sz w:val="18"/>
              </w:rPr>
              <w:t xml:space="preserve">Time investment</w:t>
            </w:r>
          </w:p>
        </w:tc>
        <w:tc>
          <w:tcPr>
            <w:shd w:val="clear" w:color="auto" w:fill="1B3A6B"/>
            <w:tcW w:w="2990" w:type="dxa"/>
          </w:tcPr>
          <w:p>
            <w:pPr>
              <w:pStyle w:val="Compact"/>
              <w:jc w:val="left"/>
            </w:pPr>
            <w:r>
              <w:rPr>
                <w:b/>
                <w:color w:val="FFFFFF"/>
                <w:sz w:val="18"/>
              </w:rPr>
              <w:t xml:space="preserve">Vermont application</w:t>
            </w:r>
          </w:p>
        </w:tc>
      </w:tr>
      <w:tr>
        <w:trPr>
          <w:cantSplit/>
        </w:trPr>
        <w:tc>
          <w:tcPr>
            <w:tcW w:w="1694" w:type="dxa"/>
          </w:tcPr>
          <w:p>
            <w:pPr>
              <w:pStyle w:val="Compact"/>
              <w:jc w:val="left"/>
            </w:pPr>
            <w:r>
              <w:rPr>
                <w:sz w:val="18"/>
              </w:rPr>
              <w:t xml:space="preserve">1. Baseline stratification</w:t>
            </w:r>
          </w:p>
        </w:tc>
        <w:tc>
          <w:tcPr>
            <w:tcW w:w="2990" w:type="dxa"/>
          </w:tcPr>
          <w:p>
            <w:pPr>
              <w:pStyle w:val="Compact"/>
              <w:jc w:val="left"/>
            </w:pPr>
            <w:r>
              <w:rPr>
                <w:sz w:val="18"/>
              </w:rPr>
              <w:t xml:space="preserve">Calculate current HEROI score and identify the three largest measured disparities across all five equity dimensions</w:t>
            </w:r>
          </w:p>
        </w:tc>
        <w:tc>
          <w:tcPr>
            <w:tcW w:w="1395" w:type="dxa"/>
          </w:tcPr>
          <w:p>
            <w:pPr>
              <w:pStyle w:val="Compact"/>
              <w:jc w:val="left"/>
            </w:pPr>
            <w:r>
              <w:rPr>
                <w:sz w:val="18"/>
              </w:rPr>
              <w:t xml:space="preserve">2-4 weeks with adequate data</w:t>
            </w:r>
          </w:p>
        </w:tc>
        <w:tc>
          <w:tcPr>
            <w:tcW w:w="2990" w:type="dxa"/>
          </w:tcPr>
          <w:p>
            <w:pPr>
              <w:pStyle w:val="Compact"/>
              <w:jc w:val="left"/>
            </w:pPr>
            <w:r>
              <w:rPr>
                <w:sz w:val="18"/>
              </w:rPr>
              <w:t xml:space="preserve">VHCURES stratification analysis; Blueprint equity dashboard; VDH BRFSS county-level analysis for Northeast Kingdom vs. state average gaps</w:t>
            </w:r>
          </w:p>
        </w:tc>
      </w:tr>
      <w:tr>
        <w:trPr/>
        <w:tc>
          <w:tcPr>
            <w:tcW w:w="1694" w:type="dxa"/>
          </w:tcPr>
          <w:p>
            <w:pPr>
              <w:pStyle w:val="Compact"/>
              <w:jc w:val="left"/>
            </w:pPr>
            <w:r>
              <w:rPr>
                <w:sz w:val="18"/>
              </w:rPr>
              <w:t xml:space="preserve">2. Root cause attribution</w:t>
            </w:r>
          </w:p>
        </w:tc>
        <w:tc>
          <w:tcPr>
            <w:tcW w:w="2990" w:type="dxa"/>
          </w:tcPr>
          <w:p>
            <w:pPr>
              <w:pStyle w:val="Compact"/>
              <w:jc w:val="left"/>
            </w:pPr>
            <w:r>
              <w:rPr>
                <w:sz w:val="18"/>
              </w:rPr>
              <w:t xml:space="preserve">For each identified disparity, apply decomposition analysis to estimate the proportional contribution of each root cause category (access, social needs, clinical variation, coverage, trust)</w:t>
            </w:r>
          </w:p>
        </w:tc>
        <w:tc>
          <w:tcPr>
            <w:tcW w:w="1395" w:type="dxa"/>
          </w:tcPr>
          <w:p>
            <w:pPr>
              <w:pStyle w:val="Compact"/>
              <w:jc w:val="left"/>
            </w:pPr>
            <w:r>
              <w:rPr>
                <w:sz w:val="18"/>
              </w:rPr>
              <w:t xml:space="preserve">4-6 weeks</w:t>
            </w:r>
          </w:p>
        </w:tc>
        <w:tc>
          <w:tcPr>
            <w:tcW w:w="2990" w:type="dxa"/>
          </w:tcPr>
          <w:p>
            <w:pPr>
              <w:pStyle w:val="Compact"/>
              <w:jc w:val="left"/>
            </w:pPr>
            <w:r>
              <w:rPr>
                <w:sz w:val="18"/>
              </w:rPr>
              <w:t xml:space="preserve">Survey BIPOC patients and Northeast Kingdom residents to supplement claims-based decomposition; conduct focus groups with CHT staff about observed barriers</w:t>
            </w:r>
          </w:p>
        </w:tc>
      </w:tr>
      <w:tr>
        <w:trPr/>
        <w:tc>
          <w:tcPr>
            <w:tcW w:w="1694" w:type="dxa"/>
          </w:tcPr>
          <w:p>
            <w:pPr>
              <w:pStyle w:val="Compact"/>
              <w:jc w:val="left"/>
            </w:pPr>
            <w:r>
              <w:rPr>
                <w:sz w:val="18"/>
              </w:rPr>
              <w:t xml:space="preserve">3. Intervention portfolio design</w:t>
            </w:r>
          </w:p>
        </w:tc>
        <w:tc>
          <w:tcPr>
            <w:tcW w:w="2990" w:type="dxa"/>
          </w:tcPr>
          <w:p>
            <w:pPr>
              <w:pStyle w:val="Compact"/>
              <w:jc w:val="left"/>
            </w:pPr>
            <w:r>
              <w:rPr>
                <w:sz w:val="18"/>
              </w:rPr>
              <w:t xml:space="preserve">For each major root cause, select evidence-based interventions matched to root cause type and population. Match investment size to root cause contribution (don’t fund transportation programs for a disparity primarily driven by clinical variation).</w:t>
            </w:r>
          </w:p>
        </w:tc>
        <w:tc>
          <w:tcPr>
            <w:tcW w:w="1395" w:type="dxa"/>
          </w:tcPr>
          <w:p>
            <w:pPr>
              <w:pStyle w:val="Compact"/>
              <w:jc w:val="left"/>
            </w:pPr>
            <w:r>
              <w:rPr>
                <w:sz w:val="18"/>
              </w:rPr>
              <w:t xml:space="preserve">2-4 weeks</w:t>
            </w:r>
          </w:p>
        </w:tc>
        <w:tc>
          <w:tcPr>
            <w:tcW w:w="2990" w:type="dxa"/>
          </w:tcPr>
          <w:p>
            <w:pPr>
              <w:pStyle w:val="Compact"/>
              <w:jc w:val="left"/>
            </w:pPr>
            <w:r>
              <w:rPr>
                <w:sz w:val="18"/>
              </w:rPr>
              <w:t xml:space="preserve">Vermont-specific: CCBHC for trust/access; CHW deployment for social needs; AI governance for clinical variation; BALANCE for coverage; HEART program for LGBTQ+ trust</w:t>
            </w:r>
          </w:p>
        </w:tc>
      </w:tr>
      <w:tr>
        <w:trPr/>
        <w:tc>
          <w:tcPr>
            <w:tcW w:w="1694" w:type="dxa"/>
          </w:tcPr>
          <w:p>
            <w:pPr>
              <w:pStyle w:val="Compact"/>
              <w:jc w:val="left"/>
            </w:pPr>
            <w:r>
              <w:rPr>
                <w:sz w:val="18"/>
              </w:rPr>
              <w:t xml:space="preserve">4. Implementation with equity lens</w:t>
            </w:r>
          </w:p>
        </w:tc>
        <w:tc>
          <w:tcPr>
            <w:tcW w:w="2990" w:type="dxa"/>
          </w:tcPr>
          <w:p>
            <w:pPr>
              <w:pStyle w:val="Compact"/>
              <w:jc w:val="left"/>
            </w:pPr>
            <w:r>
              <w:rPr>
                <w:sz w:val="18"/>
              </w:rPr>
              <w:t xml:space="preserve">Execute interventions with explicit equity targets: not</w:t>
            </w:r>
            <w:r>
              <w:rPr>
                <w:sz w:val="18"/>
              </w:rPr>
              <w:t xml:space="preserve"> </w:t>
            </w:r>
            <w:r>
              <w:rPr>
                <w:sz w:val="18"/>
              </w:rPr>
              <w:t xml:space="preserve">‘increase primary care access’</w:t>
            </w:r>
            <w:r>
              <w:rPr>
                <w:sz w:val="18"/>
              </w:rPr>
              <w:t xml:space="preserve"> </w:t>
            </w:r>
            <w:r>
              <w:rPr>
                <w:sz w:val="18"/>
              </w:rPr>
              <w:t xml:space="preserve">but</w:t>
            </w:r>
            <w:r>
              <w:rPr>
                <w:sz w:val="18"/>
              </w:rPr>
              <w:t xml:space="preserve"> </w:t>
            </w:r>
            <w:r>
              <w:rPr>
                <w:sz w:val="18"/>
              </w:rPr>
              <w:t xml:space="preserve">‘increase Northeast Kingdom Medicaid patient primary care visit rate from 72% to 80% within 18 months’</w:t>
            </w:r>
          </w:p>
        </w:tc>
        <w:tc>
          <w:tcPr>
            <w:tcW w:w="1395" w:type="dxa"/>
          </w:tcPr>
          <w:p>
            <w:pPr>
              <w:pStyle w:val="Compact"/>
              <w:jc w:val="left"/>
            </w:pPr>
            <w:r>
              <w:rPr>
                <w:sz w:val="18"/>
              </w:rPr>
              <w:t xml:space="preserve">Ongoing</w:t>
            </w:r>
          </w:p>
        </w:tc>
        <w:tc>
          <w:tcPr>
            <w:tcW w:w="2990" w:type="dxa"/>
          </w:tcPr>
          <w:p>
            <w:pPr>
              <w:pStyle w:val="Compact"/>
              <w:jc w:val="left"/>
            </w:pPr>
            <w:r>
              <w:rPr>
                <w:sz w:val="18"/>
              </w:rPr>
              <w:t xml:space="preserve">Blueprint field staff set equity targets by HSA; AHS HSA Coordinators track progress; GMCB analytics vendor enables real-time monitoring</w:t>
            </w:r>
          </w:p>
        </w:tc>
      </w:tr>
      <w:tr>
        <w:trPr>
          <w:cantSplit/>
        </w:trPr>
        <w:tc>
          <w:tcPr>
            <w:tcW w:w="1694" w:type="dxa"/>
          </w:tcPr>
          <w:p>
            <w:pPr>
              <w:pStyle w:val="Compact"/>
              <w:jc w:val="left"/>
            </w:pPr>
            <w:r>
              <w:rPr>
                <w:sz w:val="18"/>
              </w:rPr>
              <w:t xml:space="preserve">5. Accountability and iteration</w:t>
            </w:r>
          </w:p>
        </w:tc>
        <w:tc>
          <w:tcPr>
            <w:tcW w:w="2990" w:type="dxa"/>
          </w:tcPr>
          <w:p>
            <w:pPr>
              <w:pStyle w:val="Compact"/>
              <w:jc w:val="left"/>
            </w:pPr>
            <w:r>
              <w:rPr>
                <w:sz w:val="18"/>
              </w:rPr>
              <w:t xml:space="preserve">Report disparity metrics alongside average metrics in all quality reporting. If a disparity is widening despite intervention, re-examine root cause attribution and intervention design.</w:t>
            </w:r>
          </w:p>
        </w:tc>
        <w:tc>
          <w:tcPr>
            <w:tcW w:w="1395" w:type="dxa"/>
          </w:tcPr>
          <w:p>
            <w:pPr>
              <w:pStyle w:val="Compact"/>
              <w:jc w:val="left"/>
            </w:pPr>
            <w:r>
              <w:rPr>
                <w:sz w:val="18"/>
              </w:rPr>
              <w:t xml:space="preserve">Quarterly reporting cycle</w:t>
            </w:r>
          </w:p>
        </w:tc>
        <w:tc>
          <w:tcPr>
            <w:tcW w:w="2990" w:type="dxa"/>
          </w:tcPr>
          <w:p>
            <w:pPr>
              <w:pStyle w:val="Compact"/>
              <w:jc w:val="left"/>
            </w:pPr>
            <w:r>
              <w:rPr>
                <w:sz w:val="18"/>
              </w:rPr>
              <w:t xml:space="preserve">AHS monthly transformation reports to include disparity-stratified metrics; HEROI score incorporated into AHEAD quality reporting for Vermont</w:t>
            </w:r>
          </w:p>
        </w:tc>
      </w:tr>
    </w:tbl>
    <w:p>
      <w:pPr>
        <w:pStyle w:val="Caption"/>
        <w:spacing w:before="120"/>
      </w:pPr>
      <w:r>
        <w:rPr>
          <w:i/>
          <w:iCs/>
        </w:rPr>
        <w:t xml:space="preserve">Figure 10.9 — Five-step disparity closure process with Vermont applications. Source: HTR’s Health Equity Studio methodology.</w:t>
      </w:r>
    </w:p>
    <w:p>
      <w:pPr>
        <w:pStyle w:val="Heading2"/>
        <w:pBdr>
          <w:top w:val="single" w:sz="6" w:space="10" w:color="C9D2DF"/>
        </w:pBdr>
      </w:pPr>
      <w:r>
        <w:rPr>
          <w:color w:val="161B22"/>
        </w:rPr>
        <w:t xml:space="preserve">10.17  </w:t>
      </w:r>
      <w:bookmarkStart w:id="1306" w:name="_Toc1305"/>
      <w:r>
        <w:rPr>
          <w:b/>
          <w:bCs/>
          <w:color w:val="161B22"/>
        </w:rPr>
        <w:t xml:space="preserve">Equity in VBC Contracting — Protecting Against Unintended Consequences</w:t>
      </w:r>
      <w:bookmarkEnd w:id="1306"/>
    </w:p>
    <w:p>
      <w:pPr>
        <w:pStyle w:val="FirstParagraph"/>
      </w:pPr>
      <w: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pPr>
        <w:pStyle w:val="Heading3"/>
      </w:pPr>
      <w:r>
        <w:rPr>
          <w:color w:val="161B22"/>
        </w:rPr>
        <w:t xml:space="preserve">10.17.1  </w:t>
      </w:r>
      <w:bookmarkStart w:id="1307" w:name="_Toc1306"/>
      <w:r>
        <w:rPr>
          <w:b/>
          <w:bCs/>
          <w:color w:val="161B22"/>
        </w:rPr>
        <w:t xml:space="preserve">Social Risk Adjustment — The Equity Design Requirement for VBC Contracts</w:t>
      </w:r>
      <w:bookmarkEnd w:id="1307"/>
    </w:p>
    <w:p>
      <w:pPr>
        <w:pStyle w:val="FirstParagraph"/>
      </w:pPr>
      <w: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pPr>
        <w:pStyle w:val="BodyText"/>
      </w:pPr>
      <w:r>
        <w:t xml:space="preserve">CMS has incorporated social risk adjustment into ACO REACH through Comprehensive and Professional Direct Contracting model designs that include social risk stratification. Vermont’s AHEAD global budget design must incorporate social risk adjustment at the hospital level — ensuring that hospitals serving the Northeast Kingdom’s high-SDOH populations are not penalized relative to Burlington-area hospitals with more favorable social risk profiles. This is an active design question in Vermont’s AHEAD implementation that AHS and GMCB must resolve explicitly.</w:t>
      </w:r>
    </w:p>
    <w:p>
      <w:pPr>
        <w:pStyle w:val="Heading3"/>
      </w:pPr>
      <w:r>
        <w:rPr>
          <w:color w:val="161B22"/>
        </w:rPr>
        <w:t xml:space="preserve">10.17.2  </w:t>
      </w:r>
      <w:bookmarkStart w:id="1308" w:name="_Toc1307"/>
      <w:r>
        <w:rPr>
          <w:b/>
          <w:bCs/>
          <w:color w:val="161B22"/>
        </w:rPr>
        <w:t xml:space="preserve">The VBC Equity Audit</w:t>
      </w:r>
      <w:bookmarkEnd w:id="1308"/>
    </w:p>
    <w:p>
      <w:pPr>
        <w:pStyle w:val="FirstParagraph"/>
      </w:pPr>
      <w:r>
        <w:t xml:space="preserve">Every VBC contract should undergo an equity audit before and after signing, examining whether the contract design creates incentives that could worsen disparities. The VBC Equity Audit checklist covers eight categories:</w:t>
      </w:r>
    </w:p>
    <w:p>
      <w:pPr>
        <w:pStyle w:val="Compact"/>
        <w:numPr>
          <w:ilvl w:val="0"/>
          <w:numId w:val="1027"/>
        </w:numPr>
        <w:keepLines w:val="true"/>
        <w:keepNext w:val="true"/>
      </w:pPr>
      <w:r>
        <w:t xml:space="preserve">Attribution equity: Does the attribution methodology systematically exclude high-SDOH patients who lack a qualifying primary care visit?</w:t>
      </w:r>
    </w:p>
    <w:p>
      <w:pPr>
        <w:pStyle w:val="Compact"/>
        <w:numPr>
          <w:ilvl w:val="0"/>
          <w:numId w:val="1027"/>
        </w:numPr>
        <w:keepLines w:val="true"/>
        <w:keepNext w:val="true"/>
      </w:pPr>
      <w:r>
        <w:t xml:space="preserve">Social risk adjustment: Is the benchmark adjusted for the social risk profile of the attributed population?</w:t>
      </w:r>
    </w:p>
    <w:p>
      <w:pPr>
        <w:pStyle w:val="Compact"/>
        <w:numPr>
          <w:ilvl w:val="0"/>
          <w:numId w:val="1027"/>
        </w:numPr>
        <w:keepLines w:val="true"/>
      </w:pPr>
      <w:r>
        <w:t xml:space="preserve">Quality measure equity: Are quality measures stratified by race/ethnicity and income, with performance reported and rewarded based on equity improvement, not just average improvement?</w:t>
      </w:r>
    </w:p>
    <w:p>
      <w:pPr>
        <w:pStyle w:val="Compact"/>
        <w:numPr>
          <w:ilvl w:val="0"/>
          <w:numId w:val="1027"/>
        </w:numPr>
        <w:keepLines w:val="true"/>
      </w:pPr>
      <w:r>
        <w:t xml:space="preserve">SDOH investment incentives: Does the contract provide financial credit for investments in SDOH programs that reduce long-term utilization?</w:t>
      </w:r>
    </w:p>
    <w:p>
      <w:pPr>
        <w:pStyle w:val="Compact"/>
        <w:numPr>
          <w:ilvl w:val="0"/>
          <w:numId w:val="1027"/>
        </w:numPr>
        <w:keepLines w:val="true"/>
      </w:pPr>
      <w:r>
        <w:t xml:space="preserve">Care management intensity: Are care management resources allocated proportionate to SDOH burden and disparity level, not just clinical risk?</w:t>
      </w:r>
    </w:p>
    <w:p>
      <w:pPr>
        <w:pStyle w:val="Compact"/>
        <w:numPr>
          <w:ilvl w:val="0"/>
          <w:numId w:val="1027"/>
        </w:numPr>
        <w:keepLines w:val="true"/>
      </w:pPr>
      <w:r>
        <w:t xml:space="preserve">Beneficiary protections: Are there protections against provider avoidance of high-complexity, high-SDOH patients?</w:t>
      </w:r>
    </w:p>
    <w:p>
      <w:pPr>
        <w:pStyle w:val="Compact"/>
        <w:numPr>
          <w:ilvl w:val="0"/>
          <w:numId w:val="1027"/>
        </w:numPr>
        <w:keepLines w:val="true"/>
      </w:pPr>
      <w:r>
        <w:t xml:space="preserve">Community benefit requirements: For global budgets, are there explicit requirements for community health investment, including SDOH programs?</w:t>
      </w:r>
    </w:p>
    <w:p>
      <w:pPr>
        <w:pStyle w:val="Compact"/>
        <w:numPr>
          <w:ilvl w:val="0"/>
          <w:numId w:val="1027"/>
        </w:numPr>
        <w:keepLines w:val="true"/>
      </w:pPr>
      <w:r>
        <w:t xml:space="preserve">Equity performance reporting: Is equity performance reported publicly, with minimum standards below which the organization cannot be considered performing?</w:t>
      </w:r>
    </w:p>
    <w:p>
      <w:pPr>
        <w:pStyle w:val="Heading2"/>
        <w:pBdr>
          <w:top w:val="single" w:sz="6" w:space="10" w:color="C9D2DF"/>
        </w:pBdr>
      </w:pPr>
      <w:r>
        <w:rPr>
          <w:color w:val="161B22"/>
        </w:rPr>
        <w:t xml:space="preserve">10.18  </w:t>
      </w:r>
      <w:bookmarkStart w:id="1309" w:name="_Toc1308"/>
      <w:r>
        <w:rPr>
          <w:b/>
          <w:bCs/>
          <w:color w:val="161B22"/>
        </w:rPr>
        <w:t xml:space="preserve">Vermont’s Population Health Equity Analytics Architecture</w:t>
      </w:r>
      <w:bookmarkEnd w:id="1309"/>
    </w:p>
    <w:p>
      <w:pPr>
        <w:pStyle w:val="FirstParagraph"/>
        <w:keepNext w:val="false"/>
      </w:pPr>
      <w: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pPr>
        <w:pStyle w:val="BodyText"/>
        <w:keepNext w:val="false"/>
      </w:pPr>
      <w: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HTRTable"/>
        <w:tblLook w:firstRow="1" w:lastRow="0" w:firstColumn="0" w:lastColumn="0" w:noHBand="0" w:noVBand="1" w:val="0020"/>
        <w:tblW w:w="9072" w:type="dxa"/>
        <w:tblLayout w:type="fixed"/>
      </w:tblPr>
      <w:tblGrid>
        <w:gridCol w:w="4032"/>
        <w:gridCol w:w="5040"/>
      </w:tblGrid>
      <w:tr>
        <w:trPr>
          <w:tblHeader w:val="on"/>
          <w:cantSplit/>
        </w:trPr>
        <w:tc>
          <w:tcPr>
            <w:shd w:val="clear" w:color="auto" w:fill="1B3A6B"/>
            <w:tcW w:w="4032" w:type="dxa"/>
          </w:tcPr>
          <w:p>
            <w:pPr>
              <w:pStyle w:val="Compact"/>
              <w:jc w:val="left"/>
            </w:pPr>
            <w:r>
              <w:rPr>
                <w:b/>
                <w:color w:val="FFFFFF"/>
                <w:sz w:val="18"/>
              </w:rPr>
              <w:t xml:space="preserve">Equity dimension</w:t>
            </w:r>
          </w:p>
        </w:tc>
        <w:tc>
          <w:tcPr>
            <w:shd w:val="clear" w:color="auto" w:fill="1B3A6B"/>
            <w:tcW w:w="5040" w:type="dxa"/>
          </w:tcPr>
          <w:p>
            <w:pPr>
              <w:pStyle w:val="Compact"/>
              <w:jc w:val="left"/>
            </w:pPr>
            <w:r>
              <w:rPr>
                <w:b/>
                <w:color w:val="FFFFFF"/>
                <w:sz w:val="18"/>
              </w:rPr>
              <w:t xml:space="preserve">Best current data source in Vermont</w:t>
            </w:r>
          </w:p>
        </w:tc>
      </w:tr>
      <w:tr>
        <w:trPr>
          <w:cantSplit/>
        </w:trPr>
        <w:tc>
          <w:tcPr>
            <w:tcW w:w="4032" w:type="dxa"/>
          </w:tcPr>
          <w:p>
            <w:pPr>
              <w:pStyle w:val="Compact"/>
              <w:jc w:val="left"/>
            </w:pPr>
            <w:r>
              <w:rPr>
                <w:sz w:val="18"/>
              </w:rPr>
              <w:t xml:space="preserve">Geographic access disparities (HSA-level)</w:t>
            </w:r>
          </w:p>
        </w:tc>
        <w:tc>
          <w:tcPr>
            <w:tcW w:w="5040" w:type="dxa"/>
          </w:tcPr>
          <w:p>
            <w:pPr>
              <w:pStyle w:val="Compact"/>
              <w:jc w:val="left"/>
            </w:pPr>
            <w:r>
              <w:rPr>
                <w:sz w:val="18"/>
              </w:rPr>
              <w:t xml:space="preserve">VHCURES county-level utilization; GMCB hospital market share data; Blueprint practice location mapping</w:t>
            </w:r>
          </w:p>
        </w:tc>
      </w:tr>
      <w:tr>
        <w:trPr/>
        <w:tc>
          <w:tcPr>
            <w:tcW w:w="4032" w:type="dxa"/>
          </w:tcPr>
          <w:p>
            <w:pPr>
              <w:pStyle w:val="Compact"/>
              <w:jc w:val="left"/>
            </w:pPr>
            <w:r>
              <w:rPr>
                <w:sz w:val="18"/>
              </w:rPr>
              <w:t xml:space="preserve">Insurance coverage disparities</w:t>
            </w:r>
          </w:p>
        </w:tc>
        <w:tc>
          <w:tcPr>
            <w:tcW w:w="5040" w:type="dxa"/>
          </w:tcPr>
          <w:p>
            <w:pPr>
              <w:pStyle w:val="Compact"/>
              <w:jc w:val="left"/>
            </w:pPr>
            <w:r>
              <w:rPr>
                <w:sz w:val="18"/>
              </w:rPr>
              <w:t xml:space="preserve">KFF/ACS coverage estimates; BRFSS insurance status by demographic group; DVHA Medicaid enrollment data</w:t>
            </w:r>
          </w:p>
        </w:tc>
      </w:tr>
      <w:tr>
        <w:trPr/>
        <w:tc>
          <w:tcPr>
            <w:tcW w:w="4032" w:type="dxa"/>
          </w:tcPr>
          <w:p>
            <w:pPr>
              <w:pStyle w:val="Compact"/>
              <w:jc w:val="left"/>
            </w:pPr>
            <w:r>
              <w:rPr>
                <w:sz w:val="18"/>
              </w:rPr>
              <w:t xml:space="preserve">Primary care access disparities (race/ethnicity)</w:t>
            </w:r>
          </w:p>
        </w:tc>
        <w:tc>
          <w:tcPr>
            <w:tcW w:w="5040" w:type="dxa"/>
          </w:tcPr>
          <w:p>
            <w:pPr>
              <w:pStyle w:val="Compact"/>
              <w:jc w:val="left"/>
            </w:pPr>
            <w:r>
              <w:rPr>
                <w:sz w:val="18"/>
              </w:rPr>
              <w:t xml:space="preserve">VDH BRFSS survey (limited by small BIPOC sample size); Blueprint provider relationship data for attributed population</w:t>
            </w:r>
          </w:p>
        </w:tc>
      </w:tr>
      <w:tr>
        <w:trPr/>
        <w:tc>
          <w:tcPr>
            <w:tcW w:w="4032" w:type="dxa"/>
          </w:tcPr>
          <w:p>
            <w:pPr>
              <w:pStyle w:val="Compact"/>
              <w:jc w:val="left"/>
            </w:pPr>
            <w:r>
              <w:rPr>
                <w:sz w:val="18"/>
              </w:rPr>
              <w:t xml:space="preserve">Chronic disease control disparities</w:t>
            </w:r>
          </w:p>
        </w:tc>
        <w:tc>
          <w:tcPr>
            <w:tcW w:w="5040" w:type="dxa"/>
          </w:tcPr>
          <w:p>
            <w:pPr>
              <w:pStyle w:val="Compact"/>
              <w:jc w:val="left"/>
            </w:pPr>
            <w:r>
              <w:rPr>
                <w:sz w:val="18"/>
              </w:rPr>
              <w:t xml:space="preserve">Blueprint PCMH clinical registry (most complete, but only covers PCMH-attributed patients); BRFSS self-reported chronic disease by demographic group</w:t>
            </w:r>
          </w:p>
        </w:tc>
      </w:tr>
      <w:tr>
        <w:trPr/>
        <w:tc>
          <w:tcPr>
            <w:tcW w:w="4032" w:type="dxa"/>
          </w:tcPr>
          <w:p>
            <w:pPr>
              <w:pStyle w:val="Compact"/>
              <w:jc w:val="left"/>
            </w:pPr>
            <w:r>
              <w:rPr>
                <w:sz w:val="18"/>
              </w:rPr>
              <w:t xml:space="preserve">Behavioral health disparities (geographic)</w:t>
            </w:r>
          </w:p>
        </w:tc>
        <w:tc>
          <w:tcPr>
            <w:tcW w:w="5040" w:type="dxa"/>
          </w:tcPr>
          <w:p>
            <w:pPr>
              <w:pStyle w:val="Compact"/>
              <w:jc w:val="left"/>
            </w:pPr>
            <w:r>
              <w:rPr>
                <w:sz w:val="18"/>
              </w:rPr>
              <w:t xml:space="preserve">AHS ED surveillance data (suicide, SH, OD rates by county — available and stratified)</w:t>
            </w:r>
          </w:p>
        </w:tc>
      </w:tr>
      <w:tr>
        <w:trPr/>
        <w:tc>
          <w:tcPr>
            <w:tcW w:w="4032" w:type="dxa"/>
          </w:tcPr>
          <w:p>
            <w:pPr>
              <w:pStyle w:val="Compact"/>
              <w:jc w:val="left"/>
            </w:pPr>
            <w:r>
              <w:rPr>
                <w:sz w:val="18"/>
              </w:rPr>
              <w:t xml:space="preserve">SDOH burden distribution</w:t>
            </w:r>
          </w:p>
        </w:tc>
        <w:tc>
          <w:tcPr>
            <w:tcW w:w="5040" w:type="dxa"/>
          </w:tcPr>
          <w:p>
            <w:pPr>
              <w:pStyle w:val="Compact"/>
              <w:jc w:val="left"/>
            </w:pPr>
            <w:r>
              <w:rPr>
                <w:sz w:val="18"/>
              </w:rPr>
              <w:t xml:space="preserve">Blueprint HRSN screening data (incomplete — not all practices at full adoption); VDH community vulnerability index; USDA food access data by census tract</w:t>
            </w:r>
          </w:p>
        </w:tc>
      </w:tr>
      <w:tr>
        <w:trPr/>
        <w:tc>
          <w:tcPr>
            <w:tcW w:w="4032" w:type="dxa"/>
          </w:tcPr>
          <w:p>
            <w:pPr>
              <w:pStyle w:val="Compact"/>
              <w:jc w:val="left"/>
            </w:pPr>
            <w:r>
              <w:rPr>
                <w:sz w:val="18"/>
              </w:rPr>
              <w:t xml:space="preserve">Clinical practice variation by demographic</w:t>
            </w:r>
          </w:p>
        </w:tc>
        <w:tc>
          <w:tcPr>
            <w:tcW w:w="5040" w:type="dxa"/>
          </w:tcPr>
          <w:p>
            <w:pPr>
              <w:pStyle w:val="Compact"/>
              <w:jc w:val="left"/>
            </w:pPr>
            <w:r>
              <w:rPr>
                <w:sz w:val="18"/>
              </w:rPr>
              <w:t xml:space="preserve">VHCURES claims (limited demographic data); VDH health equity data — requires improved race/ethnicity data collection in clinical settings</w:t>
            </w:r>
          </w:p>
        </w:tc>
      </w:tr>
      <w:tr>
        <w:trPr>
          <w:cantSplit/>
        </w:trPr>
        <w:tc>
          <w:tcPr>
            <w:tcW w:w="4032" w:type="dxa"/>
          </w:tcPr>
          <w:p>
            <w:pPr>
              <w:pStyle w:val="Compact"/>
              <w:jc w:val="left"/>
            </w:pPr>
            <w:r>
              <w:rPr>
                <w:sz w:val="18"/>
              </w:rPr>
              <w:t xml:space="preserve">Trust and patient experience</w:t>
            </w:r>
          </w:p>
        </w:tc>
        <w:tc>
          <w:tcPr>
            <w:tcW w:w="5040" w:type="dxa"/>
          </w:tcPr>
          <w:p>
            <w:pPr>
              <w:pStyle w:val="Compact"/>
              <w:jc w:val="left"/>
            </w:pPr>
            <w:r>
              <w:rPr>
                <w:sz w:val="18"/>
              </w:rPr>
              <w:t xml:space="preserve">CAHPS survey data from Blueprint PCMH practices (available but limited demographic stratification)</w:t>
            </w:r>
          </w:p>
        </w:tc>
      </w:tr>
    </w:tbl>
    <w:p>
      <w:pPr>
        <w:pStyle w:val="Caption"/>
        <w:spacing w:before="120"/>
      </w:pPr>
      <w:r>
        <w:rPr>
          <w:i/>
          <w:iCs/>
        </w:rPr>
        <w:t xml:space="preserve">Figure 10.10 — Vermont equity analytics: current data sources by equity dimension. Sources: GMCB; VDH; Blueprint for Health; DVHA; AHS.</w:t>
      </w:r>
    </w:p>
    <w:p>
      <w:pPr>
        <w:pStyle w:val="Heading2"/>
        <w:pBdr>
          <w:top w:val="single" w:sz="6" w:space="10" w:color="C9D2DF"/>
        </w:pBdr>
      </w:pPr>
      <w:r>
        <w:rPr>
          <w:color w:val="161B22"/>
        </w:rPr>
        <w:t xml:space="preserve">10.19  </w:t>
      </w:r>
      <w:bookmarkStart w:id="1310" w:name="_Toc1309"/>
      <w:r>
        <w:rPr>
          <w:b/>
          <w:bCs/>
          <w:color w:val="161B22"/>
        </w:rPr>
        <w:t xml:space="preserve">Implications for You — Equity Measurement</w:t>
      </w:r>
      <w:bookmarkEnd w:id="1310"/>
    </w:p>
    <w:p>
      <w:pPr>
        <w:pStyle w:val="FirstParagraph"/>
      </w:pPr>
      <w:r>
        <w:t xml:space="preserve">If you are a Vermont hospital executive: HEDIS equity measurement is coming whether you prepare for it or not. AHEAD’s performance measurement framework includes equity metrics — stratified HEDIS measures by race, income, and geography — and Vermont’s global budget methodology will incorporate equity performance. The hospitals that invest now in stratified quality measurement — understanding their quality gaps by population subgroup rather than just their overall rates — will be able to demonstrate equity improvement in their first AHEAD performance year. Those that have not tracked stratified data will be explaining gaps they did not know existed.</w:t>
      </w:r>
    </w:p>
    <w:p>
      <w:pPr>
        <w:pStyle w:val="BodyText"/>
      </w:pPr>
      <w:r>
        <w:t xml:space="preserve">If you are an AHS or GMCB official: Vermont’s HEROI scoring framework is a policy innovation worth protecting. It is the only state-level tool that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pPr>
        <w:pStyle w:val="BodyText"/>
      </w:pPr>
      <w:r>
        <w:t xml:space="preserve">If you are a Vermont legislator: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EAST Fund’s social determinants investment can be coordinated with non-healthcare state programs in ways that produce more durable equity improvement than healthcare investment alone.</w:t>
      </w:r>
    </w:p>
    <w:p>
      <w:pPr>
        <w:pStyle w:val="BodyText"/>
      </w:pPr>
      <w:r>
        <w:t xml:space="preserve">If you are a national health policy professional: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pPr>
        <w:pStyle w:val="Heading2"/>
        <w:pBdr>
          <w:top w:val="single" w:sz="6" w:space="10" w:color="C9D2DF"/>
        </w:pBdr>
      </w:pPr>
      <w:r>
        <w:rPr>
          <w:color w:val="161B22"/>
        </w:rPr>
        <w:t xml:space="preserve">10.20  </w:t>
      </w:r>
      <w:bookmarkStart w:id="1311" w:name="_Toc1310"/>
      <w:r>
        <w:rPr>
          <w:b/>
          <w:bCs/>
          <w:color w:val="161B22"/>
        </w:rPr>
        <w:t xml:space="preserve">Key Concepts in This Chapter</w:t>
      </w:r>
      <w:bookmarkEnd w:id="1311"/>
    </w:p>
    <w:p>
      <w:pPr>
        <w:pStyle w:val="FirstParagraph"/>
        <w:spacing w:before="160" w:after="120"/>
      </w:pPr>
      <w:r>
        <w:rPr>
          <w:rFonts w:ascii="Calibri" w:hAnsi="Calibri"/>
          <w:b/>
          <w:bCs/>
          <w:color w:val="2E74B5"/>
          <w:sz w:val="20"/>
        </w:rPr>
        <w:t xml:space="preserve">Disparity root cause taxonomy</w:t>
      </w:r>
      <w:r>
        <w:rPr>
          <w:rFonts w:ascii="Calibri" w:hAnsi="Calibri"/>
          <w:color w:val="000000"/>
          <w:sz w:val="18"/>
        </w:rPr>
        <w:br/>
      </w:r>
      <w:r>
        <w:rPr>
          <w:rFonts w:ascii="Calibri" w:hAnsi="Calibri"/>
          <w:color w:val="000000"/>
          <w:sz w:val="18"/>
        </w:rPr>
        <w:t xml:space="preserve">The six-pillar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p>
    <w:p>
      <w:pPr>
        <w:pStyle w:val="BodyText"/>
        <w:spacing w:before="160" w:after="120"/>
      </w:pPr>
      <w:r>
        <w:rPr>
          <w:rFonts w:ascii="Calibri" w:hAnsi="Calibri"/>
          <w:b/>
          <w:bCs/>
          <w:color w:val="2E74B5"/>
          <w:sz w:val="20"/>
        </w:rPr>
        <w:t xml:space="preserve">GLP-1 agonists</w:t>
      </w:r>
      <w:r>
        <w:rPr>
          <w:rFonts w:ascii="Calibri" w:hAnsi="Calibri"/>
          <w:color w:val="000000"/>
          <w:sz w:val="18"/>
        </w:rPr>
        <w:br/>
      </w:r>
      <w:r>
        <w:rPr>
          <w:rFonts w:ascii="Calibri" w:hAnsi="Calibri"/>
          <w:color w:val="000000"/>
          <w:sz w:val="18"/>
        </w:rPr>
        <w:t xml:space="preserve">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p>
    <w:p>
      <w:pPr>
        <w:pStyle w:val="BodyText"/>
        <w:spacing w:before="160" w:after="120"/>
      </w:pPr>
      <w:r>
        <w:rPr>
          <w:rFonts w:ascii="Calibri" w:hAnsi="Calibri"/>
          <w:b/>
          <w:bCs/>
          <w:color w:val="2E74B5"/>
          <w:sz w:val="20"/>
        </w:rPr>
        <w:t xml:space="preserve">BALANCE Model</w:t>
      </w:r>
      <w:r>
        <w:rPr>
          <w:rFonts w:ascii="Calibri" w:hAnsi="Calibri"/>
          <w:color w:val="000000"/>
          <w:sz w:val="18"/>
        </w:rPr>
        <w:br/>
      </w:r>
      <w:r>
        <w:rPr>
          <w:rFonts w:ascii="Calibri" w:hAnsi="Calibri"/>
          <w:color w:val="000000"/>
          <w:sz w:val="18"/>
        </w:rPr>
        <w:t xml:space="preserve">CMS’s December 2025 voluntary model enabling state Medicaid agencies and Medicare Part D plans to cover GLP-1 medications for obesity by negotiating prices with manufacturers. Medicaid launch as early as May 2026; Medicare Part D in January 2028. Voluntary for manufacturers, states, and plans.</w:t>
      </w:r>
    </w:p>
    <w:p>
      <w:pPr>
        <w:pStyle w:val="BodyText"/>
        <w:spacing w:before="160" w:after="120"/>
      </w:pPr>
      <w:r>
        <w:rPr>
          <w:rFonts w:ascii="Calibri" w:hAnsi="Calibri"/>
          <w:b/>
          <w:bCs/>
          <w:color w:val="2E74B5"/>
          <w:sz w:val="20"/>
        </w:rPr>
        <w:t xml:space="preserve">Geographic equity</w:t>
      </w:r>
      <w:r>
        <w:rPr>
          <w:rFonts w:ascii="Calibri" w:hAnsi="Calibri"/>
          <w:color w:val="000000"/>
          <w:sz w:val="18"/>
        </w:rPr>
        <w:br/>
      </w:r>
      <w:r>
        <w:rPr>
          <w:rFonts w:ascii="Calibri" w:hAnsi="Calibri"/>
          <w:color w:val="000000"/>
          <w:sz w:val="18"/>
        </w:rPr>
        <w:t xml:space="preserve">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p>
    <w:p>
      <w:pPr>
        <w:pStyle w:val="BodyText"/>
        <w:spacing w:before="160" w:after="120"/>
      </w:pPr>
      <w:r>
        <w:rPr>
          <w:rFonts w:ascii="Calibri" w:hAnsi="Calibri"/>
          <w:b/>
          <w:bCs/>
          <w:color w:val="2E74B5"/>
          <w:sz w:val="20"/>
        </w:rPr>
        <w:t xml:space="preserve">SDOH (Social Determinants of Health)</w:t>
      </w:r>
      <w:r>
        <w:rPr>
          <w:rFonts w:ascii="Calibri" w:hAnsi="Calibri"/>
          <w:color w:val="000000"/>
          <w:sz w:val="18"/>
        </w:rPr>
        <w:br/>
      </w:r>
      <w:r>
        <w:rPr>
          <w:rFonts w:ascii="Calibri" w:hAnsi="Calibri"/>
          <w:color w:val="000000"/>
          <w:sz w:val="18"/>
        </w:rPr>
        <w:t xml:space="preserve">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p>
    <w:p>
      <w:pPr>
        <w:pStyle w:val="BodyText"/>
        <w:spacing w:before="160" w:after="120"/>
      </w:pPr>
      <w:r>
        <w:rPr>
          <w:rFonts w:ascii="Calibri" w:hAnsi="Calibri"/>
          <w:b/>
          <w:bCs/>
          <w:color w:val="2E74B5"/>
          <w:sz w:val="20"/>
        </w:rPr>
        <w:t xml:space="preserve">Health Equity Advisory Commission</w:t>
      </w:r>
      <w:r>
        <w:rPr>
          <w:rFonts w:ascii="Calibri" w:hAnsi="Calibri"/>
          <w:color w:val="000000"/>
          <w:sz w:val="18"/>
        </w:rPr>
        <w:br/>
      </w:r>
      <w:r>
        <w:rPr>
          <w:rFonts w:ascii="Calibri" w:hAnsi="Calibri"/>
          <w:color w:val="000000"/>
          <w:sz w:val="18"/>
        </w:rPr>
        <w:t xml:space="preserve">Vermont’s standing advisory body on health equity policy. Required by Act 68 to be consulted by the Health Care Delivery Advisory Committee, embedding equity oversight in transformation governance.</w:t>
      </w:r>
    </w:p>
    <w:p>
      <w:pPr>
        <w:pStyle w:val="BodyText"/>
        <w:spacing w:before="160" w:after="120"/>
      </w:pPr>
      <w:r>
        <w:rPr>
          <w:rFonts w:ascii="Calibri" w:hAnsi="Calibri"/>
          <w:b/>
          <w:bCs/>
          <w:color w:val="2E74B5"/>
          <w:sz w:val="20"/>
        </w:rPr>
        <w:t xml:space="preserve">Northeast Kingdom</w:t>
      </w:r>
      <w:r>
        <w:rPr>
          <w:rFonts w:ascii="Calibri" w:hAnsi="Calibri"/>
          <w:color w:val="000000"/>
          <w:sz w:val="18"/>
        </w:rPr>
        <w:br/>
      </w:r>
      <w:r>
        <w:rPr>
          <w:rFonts w:ascii="Calibri" w:hAnsi="Calibri"/>
          <w:color w:val="000000"/>
          <w:sz w:val="18"/>
        </w:rPr>
        <w:t xml:space="preserve">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p>
    <w:p>
      <w:pPr>
        <w:pStyle w:val="BodyText"/>
        <w:spacing w:before="160" w:after="120"/>
      </w:pPr>
      <w:r>
        <w:rPr>
          <w:rFonts w:ascii="Calibri" w:hAnsi="Calibri"/>
          <w:b/>
          <w:bCs/>
          <w:color w:val="2E74B5"/>
          <w:sz w:val="20"/>
        </w:rPr>
        <w:t xml:space="preserve">HRSN (Health-Related Social Needs) screening</w:t>
      </w:r>
      <w:r>
        <w:rPr>
          <w:rFonts w:ascii="Calibri" w:hAnsi="Calibri"/>
          <w:color w:val="000000"/>
          <w:sz w:val="18"/>
        </w:rPr>
        <w:br/>
      </w:r>
      <w:r>
        <w:rPr>
          <w:rFonts w:ascii="Calibri" w:hAnsi="Calibri"/>
          <w:color w:val="000000"/>
          <w:sz w:val="18"/>
        </w:rPr>
        <w:t xml:space="preserve">Universal screening for social needs at primary care visits using validated tools, with warm handoffs to Community Health Teams for navigation. Operational throughout Vermont’s Blueprint PCMH network; generates SDOH data that feeds equity monitoring when linked to VHCURES.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p>
    <w:p>
      <w:r>
        <w:br w:type="page"/>
      </w:r>
    </w:p>
    <w:p>
      <w:pPr>
        <w:pStyle w:val="Heading1"/>
      </w:pPr>
      <w:bookmarkStart w:id="1312" w:name="_Toc1311"/>
      <w:r>
        <w:rPr>
          <w:b/>
          <w:bCs/>
          <w:color w:val="161B22"/>
        </w:rPr>
        <w:t xml:space="preserve">Chapter 11: The Operations Pillar — Executing Hospital System Transformation</w:t>
      </w:r>
      <w:bookmarkEnd w:id="1312"/>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$1,303 per-discharge administrative cost gap versus the national benchmark is not a compliance problem — it is the primary financial opportunity available to hospitals that must operate within a global budget.</w:t>
      </w:r>
    </w:p>
    <w:p>
      <w:pPr>
        <w:pStyle w:val="BodyText"/>
      </w:pPr>
      <w:r>
        <w:t xml:space="preserve">Operations is the pillar where a transformation plan either becomes real or stays a document — and it is also the pillar most often under-resourced, because it produces no new policy, technology, or care model of its own. It simply has to make the other five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pPr>
        <w:pStyle w:val="BodyText"/>
      </w:pPr>
      <w:r>
        <w:rPr>
          <w:i/>
          <w:iCs/>
        </w:rPr>
        <w:t xml:space="preserve">Every chapter before this one is about ideas. This chapter is about execution — the 14-hospital process, RHRC methodology, workforce constraints, and the mechanics of regionalization.</w:t>
      </w:r>
    </w:p>
    <w:p>
      <w:pPr>
        <w:pStyle w:val="Heading2"/>
        <w:pBdr>
          <w:top w:val="single" w:sz="6" w:space="10" w:color="C9D2DF"/>
        </w:pBdr>
      </w:pPr>
      <w:r>
        <w:rPr>
          <w:color w:val="161B22"/>
        </w:rPr>
        <w:t xml:space="preserve">11.1  </w:t>
      </w:r>
      <w:bookmarkStart w:id="1313" w:name="_Toc1312"/>
      <w:r>
        <w:rPr>
          <w:b/>
          <w:bCs/>
          <w:color w:val="161B22"/>
        </w:rPr>
        <w:t xml:space="preserve">The Operations Pillar: Where Strategy Meets Reality</w:t>
      </w:r>
      <w:bookmarkEnd w:id="1313"/>
    </w:p>
    <w:p>
      <w:pPr>
        <w:pStyle w:val="FirstParagraph"/>
      </w:pPr>
      <w: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pPr>
        <w:pStyle w:val="BodyText"/>
      </w:pPr>
      <w:r>
        <w:t xml:space="preserve">Vermont’s operations challenge is unusual in its specificity and urgency. AHS has statutory deadlines — hospital transformation plans by early 2026, RBP by FY2027, global budgets by FY2028, the Statewide Strategic Plan by December 2028. It has a constrained budget ($4.2M in appropriated state funds, plus $195M in RHT Program capital and $1.2M in AHEAD cooperative agreement funds). It has a newly contracted operational partner in the Rural Health Redesign Center. And it has 14 hospitals in wildly different financial and operational conditions, ranging from a large academic medical center at the center of the state’s economy to 19-bed critical access hospitals in the Northeast Kingdom where any service reduction has immediate community consequences.</w:t>
      </w:r>
    </w:p>
    <w:p>
      <w:pPr>
        <w:pStyle w:val="BodyText"/>
      </w:pPr>
      <w: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pPr>
        <w:pStyle w:val="Heading2"/>
        <w:pBdr>
          <w:top w:val="single" w:sz="6" w:space="10" w:color="C9D2DF"/>
        </w:pBdr>
      </w:pPr>
      <w:r>
        <w:rPr>
          <w:color w:val="161B22"/>
        </w:rPr>
        <w:t xml:space="preserve">11.2  </w:t>
      </w:r>
      <w:bookmarkStart w:id="1314" w:name="_Toc1313"/>
      <w:r>
        <w:rPr>
          <w:b/>
          <w:bCs/>
          <w:color w:val="161B22"/>
        </w:rPr>
        <w:t xml:space="preserve">The Vermont Transformation Operating Model</w:t>
      </w:r>
      <w:bookmarkEnd w:id="1314"/>
    </w:p>
    <w:p>
      <w:pPr>
        <w:pStyle w:val="FirstParagraph"/>
      </w:pPr>
      <w:r>
        <w:t xml:space="preserve">Vermont’s health system transformation is not being executed by a single authority acting on a blank canvas. It is being coordinated by AHS across a network of 14 independent (all non-profit) hospitals,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pPr>
        <w:pStyle w:val="Heading3"/>
        <w:keepNext w:val="false"/>
      </w:pPr>
      <w:r>
        <w:rPr>
          <w:color w:val="161B22"/>
        </w:rPr>
        <w:t xml:space="preserve">11.2.1  </w:t>
      </w:r>
      <w:bookmarkStart w:id="1315" w:name="_Toc1314"/>
      <w:r>
        <w:rPr>
          <w:b/>
          <w:bCs/>
          <w:color w:val="161B22"/>
        </w:rPr>
        <w:t xml:space="preserve">The Institutional Architecture</w:t>
      </w:r>
      <w:bookmarkEnd w:id="1315"/>
    </w:p>
    <w:p>
      <w:pPr>
        <w:pStyle w:val="FirstParagraph"/>
        <w:keepNext w:val="false"/>
      </w:pPr>
      <w:r>
        <w:t xml:space="preserve">Act 68 established a four-actor governance architecture for Vermont’s transformation that is worth understanding precisely:</w:t>
      </w:r>
    </w:p>
    <w:tbl>
      <w:tblPr>
        <w:tblStyle w:val="HTRTable"/>
        <w:tblLook w:firstRow="1" w:lastRow="0" w:firstColumn="0" w:lastColumn="0" w:noHBand="0" w:noVBand="1" w:val="0020"/>
        <w:tblW w:w="9072" w:type="dxa"/>
        <w:tblLayout w:type="fixed"/>
      </w:tblPr>
      <w:tblGrid>
        <w:gridCol w:w="1716"/>
        <w:gridCol w:w="2451"/>
        <w:gridCol w:w="2451"/>
        <w:gridCol w:w="2451"/>
      </w:tblGrid>
      <w:tr>
        <w:trPr>
          <w:tblHeader w:val="on"/>
          <w:cantSplit/>
        </w:trPr>
        <w:tc>
          <w:tcPr>
            <w:shd w:val="clear" w:color="auto" w:fill="1B3A6B"/>
            <w:tcW w:w="1716" w:type="dxa"/>
          </w:tcPr>
          <w:p>
            <w:pPr>
              <w:pStyle w:val="Compact"/>
              <w:jc w:val="left"/>
            </w:pPr>
            <w:r>
              <w:rPr>
                <w:b/>
                <w:color w:val="FFFFFF"/>
                <w:sz w:val="18"/>
              </w:rPr>
              <w:t xml:space="preserve">Actor</w:t>
            </w:r>
          </w:p>
        </w:tc>
        <w:tc>
          <w:tcPr>
            <w:shd w:val="clear" w:color="auto" w:fill="1B3A6B"/>
            <w:tcW w:w="2451" w:type="dxa"/>
          </w:tcPr>
          <w:p>
            <w:pPr>
              <w:pStyle w:val="Compact"/>
              <w:jc w:val="left"/>
            </w:pPr>
            <w:r>
              <w:rPr>
                <w:b/>
                <w:color w:val="FFFFFF"/>
                <w:sz w:val="18"/>
              </w:rPr>
              <w:t xml:space="preserve">Statutory Role</w:t>
            </w:r>
          </w:p>
        </w:tc>
        <w:tc>
          <w:tcPr>
            <w:shd w:val="clear" w:color="auto" w:fill="1B3A6B"/>
            <w:tcW w:w="2451" w:type="dxa"/>
          </w:tcPr>
          <w:p>
            <w:pPr>
              <w:pStyle w:val="Compact"/>
              <w:jc w:val="left"/>
            </w:pPr>
            <w:r>
              <w:rPr>
                <w:b/>
                <w:color w:val="FFFFFF"/>
                <w:sz w:val="18"/>
              </w:rPr>
              <w:t xml:space="preserve">Key Authority</w:t>
            </w:r>
          </w:p>
        </w:tc>
        <w:tc>
          <w:tcPr>
            <w:shd w:val="clear" w:color="auto" w:fill="1B3A6B"/>
            <w:tcW w:w="2451" w:type="dxa"/>
          </w:tcPr>
          <w:p>
            <w:pPr>
              <w:pStyle w:val="Compact"/>
              <w:jc w:val="left"/>
            </w:pPr>
            <w:r>
              <w:rPr>
                <w:b/>
                <w:color w:val="FFFFFF"/>
                <w:sz w:val="18"/>
              </w:rPr>
              <w:t xml:space="preserve">Current Capacity</w:t>
            </w:r>
          </w:p>
        </w:tc>
      </w:tr>
      <w:tr>
        <w:trPr>
          <w:cantSplit/>
        </w:trPr>
        <w:tc>
          <w:tcPr>
            <w:tcW w:w="1716" w:type="dxa"/>
          </w:tcPr>
          <w:p>
            <w:pPr>
              <w:pStyle w:val="Compact"/>
              <w:jc w:val="left"/>
            </w:pPr>
            <w:r>
              <w:rPr>
                <w:sz w:val="18"/>
              </w:rPr>
              <w:t xml:space="preserve">Agency of Human Services (AHS)</w:t>
            </w:r>
          </w:p>
        </w:tc>
        <w:tc>
          <w:tcPr>
            <w:tcW w:w="2451" w:type="dxa"/>
          </w:tcPr>
          <w:p>
            <w:pPr>
              <w:pStyle w:val="Compact"/>
              <w:jc w:val="left"/>
            </w:pPr>
            <w:r>
              <w:rPr>
                <w:sz w:val="18"/>
              </w:rPr>
              <w:t xml:space="preserve">Lead transformation authority; develops and implements the Statewide Health Care Delivery Strategic Plan; provides technical assistance to hospitals</w:t>
            </w:r>
          </w:p>
        </w:tc>
        <w:tc>
          <w:tcPr>
            <w:tcW w:w="2451" w:type="dxa"/>
          </w:tcPr>
          <w:p>
            <w:pPr>
              <w:pStyle w:val="Compact"/>
              <w:jc w:val="left"/>
            </w:pPr>
            <w:r>
              <w:rPr>
                <w:sz w:val="18"/>
              </w:rPr>
              <w:t xml:space="preserve">Directs transformation planning; awards transformation grants; sets SDOH investment priorities; manages RHRC and other contractors</w:t>
            </w:r>
          </w:p>
        </w:tc>
        <w:tc>
          <w:tcPr>
            <w:tcW w:w="2451" w:type="dxa"/>
          </w:tcPr>
          <w:p>
            <w:pPr>
              <w:pStyle w:val="Compact"/>
              <w:jc w:val="left"/>
            </w:pPr>
            <w:r>
              <w:rPr>
                <w:sz w:val="18"/>
              </w:rPr>
              <w:t xml:space="preserve">Health Care Reform Office (recently reorganized); contracted RHRC through October 2025; hiring additional staff with RHT Program funds</w:t>
            </w:r>
          </w:p>
        </w:tc>
      </w:tr>
      <w:tr>
        <w:trPr/>
        <w:tc>
          <w:tcPr>
            <w:tcW w:w="1716" w:type="dxa"/>
          </w:tcPr>
          <w:p>
            <w:pPr>
              <w:pStyle w:val="Compact"/>
              <w:jc w:val="left"/>
            </w:pPr>
            <w:r>
              <w:rPr>
                <w:sz w:val="18"/>
              </w:rPr>
              <w:t xml:space="preserve">Green Mountain Care Board (GMCB)</w:t>
            </w:r>
          </w:p>
        </w:tc>
        <w:tc>
          <w:tcPr>
            <w:tcW w:w="2451" w:type="dxa"/>
          </w:tcPr>
          <w:p>
            <w:pPr>
              <w:pStyle w:val="Compact"/>
              <w:jc w:val="left"/>
            </w:pPr>
            <w:r>
              <w:rPr>
                <w:sz w:val="18"/>
              </w:rPr>
              <w:t xml:space="preserve">Regulatory authority; implements RBP and global budgets; reviews and approves hospital budgets; monitors quality and price</w:t>
            </w:r>
          </w:p>
        </w:tc>
        <w:tc>
          <w:tcPr>
            <w:tcW w:w="2451" w:type="dxa"/>
          </w:tcPr>
          <w:p>
            <w:pPr>
              <w:pStyle w:val="Compact"/>
              <w:jc w:val="left"/>
            </w:pPr>
            <w:r>
              <w:rPr>
                <w:sz w:val="18"/>
              </w:rPr>
              <w:t xml:space="preserve">Sets hospital rates; approves/denies hospital budget requests; enforces Act 68 spending reduction requirements; issues CON decisions</w:t>
            </w:r>
          </w:p>
        </w:tc>
        <w:tc>
          <w:tcPr>
            <w:tcW w:w="2451" w:type="dxa"/>
          </w:tcPr>
          <w:p>
            <w:pPr>
              <w:pStyle w:val="Compact"/>
              <w:jc w:val="left"/>
            </w:pPr>
            <w:r>
              <w:rPr>
                <w:sz w:val="18"/>
              </w:rPr>
              <w:t xml:space="preserve">Added 3 new permanent positions (Act 68 authorization); hired Affordability and Pricing Project Director; procuring RBP vendor (early 2026)</w:t>
            </w:r>
          </w:p>
        </w:tc>
      </w:tr>
      <w:tr>
        <w:trPr/>
        <w:tc>
          <w:tcPr>
            <w:tcW w:w="1716" w:type="dxa"/>
          </w:tcPr>
          <w:p>
            <w:pPr>
              <w:pStyle w:val="Compact"/>
              <w:jc w:val="left"/>
            </w:pPr>
            <w:r>
              <w:rPr>
                <w:sz w:val="18"/>
              </w:rPr>
              <w:t xml:space="preserve">Department of Vermont Health Access (DVHA)</w:t>
            </w:r>
          </w:p>
        </w:tc>
        <w:tc>
          <w:tcPr>
            <w:tcW w:w="2451" w:type="dxa"/>
          </w:tcPr>
          <w:p>
            <w:pPr>
              <w:pStyle w:val="Compact"/>
              <w:jc w:val="left"/>
            </w:pPr>
            <w:r>
              <w:rPr>
                <w:sz w:val="18"/>
              </w:rPr>
              <w:t xml:space="preserve">Medicaid authority; manages Medicaid global budget under AHEAD alignment; oversees Blueprint for Health and OneCare wind-down</w:t>
            </w:r>
          </w:p>
        </w:tc>
        <w:tc>
          <w:tcPr>
            <w:tcW w:w="2451" w:type="dxa"/>
          </w:tcPr>
          <w:p>
            <w:pPr>
              <w:pStyle w:val="Compact"/>
              <w:jc w:val="left"/>
            </w:pPr>
            <w:r>
              <w:rPr>
                <w:sz w:val="18"/>
              </w:rPr>
              <w:t xml:space="preserve">Medicaid contract terms; Blueprint for Health funding; Medicaid global budget design under AHEAD</w:t>
            </w:r>
          </w:p>
        </w:tc>
        <w:tc>
          <w:tcPr>
            <w:tcW w:w="2451" w:type="dxa"/>
          </w:tcPr>
          <w:p>
            <w:pPr>
              <w:pStyle w:val="Compact"/>
              <w:jc w:val="left"/>
            </w:pPr>
            <w:r>
              <w:rPr>
                <w:sz w:val="18"/>
              </w:rPr>
              <w:t xml:space="preserve">Managing AHEAD Medicaid alignment; Blueprint for Health expansion; post-OneCare transition</w:t>
            </w:r>
          </w:p>
        </w:tc>
      </w:tr>
      <w:tr>
        <w:trPr>
          <w:cantSplit/>
        </w:trPr>
        <w:tc>
          <w:tcPr>
            <w:tcW w:w="1716" w:type="dxa"/>
          </w:tcPr>
          <w:p>
            <w:pPr>
              <w:pStyle w:val="Compact"/>
              <w:jc w:val="left"/>
            </w:pPr>
            <w:r>
              <w:rPr>
                <w:sz w:val="18"/>
              </w:rPr>
              <w:t xml:space="preserve">Health Care Delivery Advisory Committee</w:t>
            </w:r>
          </w:p>
        </w:tc>
        <w:tc>
          <w:tcPr>
            <w:tcW w:w="2451" w:type="dxa"/>
          </w:tcPr>
          <w:p>
            <w:pPr>
              <w:pStyle w:val="Compact"/>
              <w:jc w:val="left"/>
            </w:pPr>
            <w:r>
              <w:rPr>
                <w:sz w:val="18"/>
              </w:rPr>
              <w:t xml:space="preserve">Provides accountability oversight; sets affordability benchmarks; advises on evaluation process for the health care delivery system</w:t>
            </w:r>
          </w:p>
        </w:tc>
        <w:tc>
          <w:tcPr>
            <w:tcW w:w="2451" w:type="dxa"/>
          </w:tcPr>
          <w:p>
            <w:pPr>
              <w:pStyle w:val="Compact"/>
              <w:jc w:val="left"/>
            </w:pPr>
            <w:r>
              <w:rPr>
                <w:sz w:val="18"/>
              </w:rPr>
              <w:t xml:space="preserve">Advisory authority; stakeholder input; ongoing monitoring of strategic plan progress</w:t>
            </w:r>
          </w:p>
        </w:tc>
        <w:tc>
          <w:tcPr>
            <w:tcW w:w="2451" w:type="dxa"/>
          </w:tcPr>
          <w:p>
            <w:pPr>
              <w:pStyle w:val="Compact"/>
              <w:jc w:val="left"/>
            </w:pPr>
            <w:r>
              <w:rPr>
                <w:sz w:val="18"/>
              </w:rPr>
              <w:t xml:space="preserve">Newly established under Act 68; initial composition and operating procedures being developed</w:t>
            </w:r>
          </w:p>
        </w:tc>
      </w:tr>
    </w:tbl>
    <w:p>
      <w:pPr>
        <w:pStyle w:val="Caption"/>
        <w:spacing w:before="120"/>
      </w:pPr>
      <w:r>
        <w:rPr>
          <w:i/>
          <w:iCs/>
        </w:rPr>
        <w:t xml:space="preserve">Figure 11.1 — Vermont health system transformation governance architecture under Act 68. Sources: Act 68 of 2025; AHS Legislative Presentation (January 2025).</w:t>
      </w:r>
    </w:p>
    <w:p>
      <w:pPr>
        <w:pStyle w:val="BodyText"/>
      </w:pPr>
      <w: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to add a Division of Planning and Effectiveness and to clarify the AHS-GMCB role division is partly a response to this tension.</w:t>
      </w:r>
    </w:p>
    <w:p>
      <w:pPr>
        <w:pStyle w:val="Heading3"/>
        <w:keepNext w:val="false"/>
      </w:pPr>
      <w:r>
        <w:rPr>
          <w:color w:val="161B22"/>
        </w:rPr>
        <w:t xml:space="preserve">11.2.2  </w:t>
      </w:r>
      <w:bookmarkStart w:id="1316" w:name="_Toc1315"/>
      <w:r>
        <w:rPr>
          <w:b/>
          <w:bCs/>
          <w:color w:val="161B22"/>
        </w:rPr>
        <w:t xml:space="preserve">The Transformation Planning Sequence</w:t>
      </w:r>
      <w:bookmarkEnd w:id="1316"/>
    </w:p>
    <w:p>
      <w:pPr>
        <w:pStyle w:val="FirstParagraph"/>
        <w:keepNext w:val="false"/>
      </w:pPr>
      <w: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tbl>
      <w:tblPr>
        <w:tblStyle w:val="HTRTable"/>
        <w:tblLook w:firstRow="1" w:lastRow="0" w:firstColumn="0" w:lastColumn="0" w:noHBand="0" w:noVBand="1" w:val="0020"/>
        <w:tblW w:w="9072" w:type="dxa"/>
        <w:tblLayout w:type="fixed"/>
      </w:tblPr>
      <w:tblGrid>
        <w:gridCol w:w="2183"/>
        <w:gridCol w:w="2910"/>
        <w:gridCol w:w="1067"/>
        <w:gridCol w:w="2910"/>
      </w:tblGrid>
      <w:tr>
        <w:trPr>
          <w:tblHeader w:val="on"/>
          <w:cantSplit/>
        </w:trPr>
        <w:tc>
          <w:tcPr>
            <w:shd w:val="clear" w:color="auto" w:fill="1B3A6B"/>
            <w:tcW w:w="2183" w:type="dxa"/>
          </w:tcPr>
          <w:p>
            <w:pPr>
              <w:pStyle w:val="Compact"/>
              <w:jc w:val="left"/>
            </w:pPr>
            <w:r>
              <w:rPr>
                <w:b/>
                <w:color w:val="FFFFFF"/>
                <w:sz w:val="18"/>
              </w:rPr>
              <w:t xml:space="preserve">Phase</w:t>
            </w:r>
          </w:p>
        </w:tc>
        <w:tc>
          <w:tcPr>
            <w:shd w:val="clear" w:color="auto" w:fill="1B3A6B"/>
            <w:tcW w:w="2910" w:type="dxa"/>
          </w:tcPr>
          <w:p>
            <w:pPr>
              <w:pStyle w:val="Compact"/>
              <w:jc w:val="left"/>
            </w:pPr>
            <w:r>
              <w:rPr>
                <w:b/>
                <w:color w:val="FFFFFF"/>
                <w:sz w:val="18"/>
              </w:rPr>
              <w:t xml:space="preserve">Content</w:t>
            </w:r>
          </w:p>
        </w:tc>
        <w:tc>
          <w:tcPr>
            <w:shd w:val="clear" w:color="auto" w:fill="1B3A6B"/>
            <w:tcW w:w="1067" w:type="dxa"/>
          </w:tcPr>
          <w:p>
            <w:pPr>
              <w:pStyle w:val="Compact"/>
              <w:jc w:val="left"/>
            </w:pPr>
            <w:r>
              <w:rPr>
                <w:b/>
                <w:color w:val="FFFFFF"/>
                <w:sz w:val="18"/>
              </w:rPr>
              <w:t xml:space="preserve">Timing</w:t>
            </w:r>
          </w:p>
        </w:tc>
        <w:tc>
          <w:tcPr>
            <w:shd w:val="clear" w:color="auto" w:fill="1B3A6B"/>
            <w:tcW w:w="2910" w:type="dxa"/>
          </w:tcPr>
          <w:p>
            <w:pPr>
              <w:pStyle w:val="Compact"/>
              <w:jc w:val="left"/>
            </w:pPr>
            <w:r>
              <w:rPr>
                <w:b/>
                <w:color w:val="FFFFFF"/>
                <w:sz w:val="18"/>
              </w:rPr>
              <w:t xml:space="preserve">AHS role</w:t>
            </w:r>
          </w:p>
        </w:tc>
      </w:tr>
      <w:tr>
        <w:trPr>
          <w:cantSplit/>
        </w:trPr>
        <w:tc>
          <w:tcPr>
            <w:tcW w:w="2183" w:type="dxa"/>
          </w:tcPr>
          <w:p>
            <w:pPr>
              <w:pStyle w:val="Compact"/>
              <w:jc w:val="left"/>
            </w:pPr>
            <w:r>
              <w:rPr>
                <w:sz w:val="18"/>
              </w:rPr>
              <w:t xml:space="preserve">1. Data review and baseline</w:t>
            </w:r>
          </w:p>
        </w:tc>
        <w:tc>
          <w:tcPr>
            <w:tcW w:w="2910" w:type="dxa"/>
          </w:tcPr>
          <w:p>
            <w:pPr>
              <w:pStyle w:val="Compact"/>
              <w:jc w:val="left"/>
            </w:pPr>
            <w:r>
              <w:rPr>
                <w:sz w:val="18"/>
              </w:rPr>
              <w:t xml:space="preserve">RHRC meets individually with each hospital to review hospital-specific financial and operational data: cost per adjusted discharge, operating margin, payer mix, service line volumes, workforce indicators, and comparison against national and Vermont peers</w:t>
            </w:r>
          </w:p>
        </w:tc>
        <w:tc>
          <w:tcPr>
            <w:tcW w:w="1067" w:type="dxa"/>
          </w:tcPr>
          <w:p>
            <w:pPr>
              <w:pStyle w:val="Compact"/>
              <w:jc w:val="left"/>
            </w:pPr>
            <w:r>
              <w:rPr>
                <w:sz w:val="18"/>
              </w:rPr>
              <w:t xml:space="preserve">May–June 2025</w:t>
            </w:r>
          </w:p>
        </w:tc>
        <w:tc>
          <w:tcPr>
            <w:tcW w:w="2910" w:type="dxa"/>
          </w:tcPr>
          <w:p>
            <w:pPr>
              <w:pStyle w:val="Compact"/>
              <w:jc w:val="left"/>
            </w:pPr>
            <w:r>
              <w:rPr>
                <w:sz w:val="18"/>
              </w:rPr>
              <w:t xml:space="preserve">RHRC provides technical assistance; AHS reviews data with hospitals; GMCB provides benchmark data</w:t>
            </w:r>
          </w:p>
        </w:tc>
      </w:tr>
      <w:tr>
        <w:trPr/>
        <w:tc>
          <w:tcPr>
            <w:tcW w:w="2183" w:type="dxa"/>
          </w:tcPr>
          <w:p>
            <w:pPr>
              <w:pStyle w:val="Compact"/>
              <w:jc w:val="left"/>
            </w:pPr>
            <w:r>
              <w:rPr>
                <w:sz w:val="18"/>
              </w:rPr>
              <w:t xml:space="preserve">2. Statewide and regional convenings</w:t>
            </w:r>
          </w:p>
        </w:tc>
        <w:tc>
          <w:tcPr>
            <w:tcW w:w="2910" w:type="dxa"/>
          </w:tcPr>
          <w:p>
            <w:pPr>
              <w:pStyle w:val="Compact"/>
              <w:jc w:val="left"/>
            </w:pPr>
            <w:r>
              <w:rPr>
                <w:sz w:val="18"/>
              </w:rPr>
              <w:t xml:space="preserve">All 14 hospitals participate in statewide planning conversations; then organized into regional groups for more detailed discussion of shared opportunities: transfer coordination, shared clinical networks, service alignment, administrative consolidation</w:t>
            </w:r>
          </w:p>
        </w:tc>
        <w:tc>
          <w:tcPr>
            <w:tcW w:w="1067" w:type="dxa"/>
          </w:tcPr>
          <w:p>
            <w:pPr>
              <w:pStyle w:val="Compact"/>
              <w:jc w:val="left"/>
            </w:pPr>
            <w:r>
              <w:rPr>
                <w:sz w:val="18"/>
              </w:rPr>
              <w:t xml:space="preserve">Summer–Fall 2025</w:t>
            </w:r>
          </w:p>
        </w:tc>
        <w:tc>
          <w:tcPr>
            <w:tcW w:w="2910" w:type="dxa"/>
          </w:tcPr>
          <w:p>
            <w:pPr>
              <w:pStyle w:val="Compact"/>
              <w:jc w:val="left"/>
            </w:pPr>
            <w:r>
              <w:rPr>
                <w:sz w:val="18"/>
              </w:rPr>
              <w:t xml:space="preserve">AHS and Blueprint for Health convene; regional groups self-organize around specific opportunity areas</w:t>
            </w:r>
          </w:p>
        </w:tc>
      </w:tr>
      <w:tr>
        <w:trPr/>
        <w:tc>
          <w:tcPr>
            <w:tcW w:w="2183" w:type="dxa"/>
          </w:tcPr>
          <w:p>
            <w:pPr>
              <w:pStyle w:val="Compact"/>
              <w:jc w:val="left"/>
            </w:pPr>
            <w:r>
              <w:rPr>
                <w:sz w:val="18"/>
              </w:rPr>
              <w:t xml:space="preserve">3. Draft Care Transformation Strategy Outline</w:t>
            </w:r>
          </w:p>
        </w:tc>
        <w:tc>
          <w:tcPr>
            <w:tcW w:w="2910" w:type="dxa"/>
          </w:tcPr>
          <w:p>
            <w:pPr>
              <w:pStyle w:val="Compact"/>
              <w:jc w:val="left"/>
            </w:pPr>
            <w:r>
              <w:rPr>
                <w:sz w:val="18"/>
              </w:rPr>
              <w:t xml:space="preserve">Each hospital develops a written outline of its proposed transformation strategy, mapping short-term (within 1 year), medium-term (1-3 years), and long-term actions to Act 167 outcome objectives</w:t>
            </w:r>
          </w:p>
        </w:tc>
        <w:tc>
          <w:tcPr>
            <w:tcW w:w="1067" w:type="dxa"/>
          </w:tcPr>
          <w:p>
            <w:pPr>
              <w:pStyle w:val="Compact"/>
              <w:jc w:val="left"/>
            </w:pPr>
            <w:r>
              <w:rPr>
                <w:sz w:val="18"/>
              </w:rPr>
              <w:t xml:space="preserve">Fall 2025</w:t>
            </w:r>
          </w:p>
        </w:tc>
        <w:tc>
          <w:tcPr>
            <w:tcW w:w="2910" w:type="dxa"/>
          </w:tcPr>
          <w:p>
            <w:pPr>
              <w:pStyle w:val="Compact"/>
              <w:jc w:val="left"/>
            </w:pPr>
            <w:r>
              <w:rPr>
                <w:sz w:val="18"/>
              </w:rPr>
              <w:t xml:space="preserve">AHS reviews outlines; provides feedback; all eligible hospitals submitted applications for Act 68 transformation grants</w:t>
            </w:r>
          </w:p>
        </w:tc>
      </w:tr>
      <w:tr>
        <w:trPr/>
        <w:tc>
          <w:tcPr>
            <w:tcW w:w="2183" w:type="dxa"/>
          </w:tcPr>
          <w:p>
            <w:pPr>
              <w:pStyle w:val="Compact"/>
              <w:jc w:val="left"/>
            </w:pPr>
            <w:r>
              <w:rPr>
                <w:sz w:val="18"/>
              </w:rPr>
              <w:t xml:space="preserve">4. Draft Transformation Plan</w:t>
            </w:r>
          </w:p>
        </w:tc>
        <w:tc>
          <w:tcPr>
            <w:tcW w:w="2910" w:type="dxa"/>
          </w:tcPr>
          <w:p>
            <w:pPr>
              <w:pStyle w:val="Compact"/>
              <w:jc w:val="left"/>
            </w:pPr>
            <w:r>
              <w:rPr>
                <w:sz w:val="18"/>
              </w:rPr>
              <w:t xml:space="preserve">Full transformation plan with specific action steps, associated costs, timelines, service line analysis, staffing models, and shared service opportunities. Aligned with regional and statewide planning.</w:t>
            </w:r>
          </w:p>
        </w:tc>
        <w:tc>
          <w:tcPr>
            <w:tcW w:w="1067" w:type="dxa"/>
          </w:tcPr>
          <w:p>
            <w:pPr>
              <w:pStyle w:val="Compact"/>
              <w:jc w:val="left"/>
            </w:pPr>
            <w:r>
              <w:rPr>
                <w:sz w:val="18"/>
              </w:rPr>
              <w:t xml:space="preserve">Winter 2025–2026</w:t>
            </w:r>
          </w:p>
        </w:tc>
        <w:tc>
          <w:tcPr>
            <w:tcW w:w="2910" w:type="dxa"/>
          </w:tcPr>
          <w:p>
            <w:pPr>
              <w:pStyle w:val="Compact"/>
              <w:jc w:val="left"/>
            </w:pPr>
            <w:r>
              <w:rPr>
                <w:sz w:val="18"/>
              </w:rPr>
              <w:t xml:space="preserve">AHS reviews and approves each draft; GMCB provides analytical support; analytics vendor (being procured) enables cost modeling</w:t>
            </w:r>
          </w:p>
        </w:tc>
      </w:tr>
      <w:tr>
        <w:trPr>
          <w:cantSplit/>
        </w:trPr>
        <w:tc>
          <w:tcPr>
            <w:tcW w:w="2183" w:type="dxa"/>
          </w:tcPr>
          <w:p>
            <w:pPr>
              <w:pStyle w:val="Compact"/>
              <w:jc w:val="left"/>
            </w:pPr>
            <w:r>
              <w:rPr>
                <w:sz w:val="18"/>
              </w:rPr>
              <w:t xml:space="preserve">5. Final Transformation Plan</w:t>
            </w:r>
          </w:p>
        </w:tc>
        <w:tc>
          <w:tcPr>
            <w:tcW w:w="2910" w:type="dxa"/>
          </w:tcPr>
          <w:p>
            <w:pPr>
              <w:pStyle w:val="Compact"/>
              <w:jc w:val="left"/>
            </w:pPr>
            <w:r>
              <w:rPr>
                <w:sz w:val="18"/>
              </w:rPr>
              <w:t xml:space="preserve">Approved final plan; AHS integrates hospital plans into statewide picture; plans inform AHS’s Statewide Strategic Plan development for December 2028 delivery</w:t>
            </w:r>
          </w:p>
        </w:tc>
        <w:tc>
          <w:tcPr>
            <w:tcW w:w="1067" w:type="dxa"/>
          </w:tcPr>
          <w:p>
            <w:pPr>
              <w:pStyle w:val="Compact"/>
              <w:jc w:val="left"/>
            </w:pPr>
            <w:r>
              <w:rPr>
                <w:sz w:val="18"/>
              </w:rPr>
              <w:t xml:space="preserve">Early 2026 and ongoing</w:t>
            </w:r>
          </w:p>
        </w:tc>
        <w:tc>
          <w:tcPr>
            <w:tcW w:w="2910" w:type="dxa"/>
          </w:tcPr>
          <w:p>
            <w:pPr>
              <w:pStyle w:val="Compact"/>
              <w:jc w:val="left"/>
            </w:pPr>
            <w:r>
              <w:rPr>
                <w:sz w:val="18"/>
              </w:rPr>
              <w:t xml:space="preserve">AHS integrates across 14 plans; identifies statewide priorities; allocates RHT Program capital to support implementation</w:t>
            </w:r>
          </w:p>
        </w:tc>
      </w:tr>
    </w:tbl>
    <w:p>
      <w:pPr>
        <w:pStyle w:val="Caption"/>
        <w:keepNext/>
        <w:spacing w:before="120"/>
      </w:pPr>
      <w:r>
        <w:rPr>
          <w:i/>
          <w:iCs/>
        </w:rPr>
        <w:t xml:space="preserve">Figure 11.2 — Vermont hospital transformation planning sequence. Sources: AHS Health Care Transformation website; AHS November 2025 Act 68 Report; AHS January 2025 Legislative Presentation.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p>
        </w:tc>
      </w:tr>
    </w:tbl>
    <w:p>
      <w:pPr>
        <w:spacing w:after="120"/>
      </w:pPr>
    </w:p>
    <w:p>
      <w:pPr>
        <w:pStyle w:val="PullQuote"/>
      </w:pPr>
      <w:r>
        <w:rPr>
          <w:rFonts w:ascii="Garamond" w:hAnsi="Garamond"/>
          <w:i/>
          <w:color w:val="1A1A1A"/>
          <w:sz w:val="22"/>
        </w:rPr>
        <w:t xml:space="preserve">“Transformation work is ongoing and evolving. Based on hospital feedback and changes in state and federal policy, AHS is continuing to adapt our approach to ensure planning is coordinated, responsive, and effective.”</w:t>
      </w:r>
    </w:p>
    <w:p>
      <w:pPr>
        <w:pStyle w:val="QuoteAttr"/>
      </w:pPr>
      <w:r>
        <w:rPr>
          <w:rFonts w:ascii="Garamond" w:hAnsi="Garamond"/>
          <w:b w:val="0"/>
          <w:i w:val="0"/>
          <w:color w:val="333333"/>
          <w:sz w:val="19"/>
        </w:rPr>
        <w:t xml:space="preserve">— Vermont Agency of Human Services, Health Care Transformation website, 2026</w:t>
      </w:r>
    </w:p>
    <w:p>
      <w:pPr>
        <w:pStyle w:val="Heading2"/>
        <w:pBdr>
          <w:top w:val="single" w:sz="6" w:space="10" w:color="C9D2DF"/>
        </w:pBdr>
      </w:pPr>
      <w:r>
        <w:rPr>
          <w:color w:val="161B22"/>
        </w:rPr>
        <w:t xml:space="preserve">11.3  </w:t>
      </w:r>
      <w:bookmarkStart w:id="1317" w:name="_Toc1316"/>
      <w:r>
        <w:rPr>
          <w:b/>
          <w:bCs/>
          <w:color w:val="161B22"/>
        </w:rPr>
        <w:t xml:space="preserve">The RHRC Methodology — Technical Assistance for Rural Hospital Transformation</w:t>
      </w:r>
      <w:bookmarkEnd w:id="1317"/>
    </w:p>
    <w:p>
      <w:pPr>
        <w:pStyle w:val="FirstParagraph"/>
      </w:pPr>
      <w:r>
        <w:t xml:space="preserve">The Rural Health Redesign Center (RHRC) was AHS’s primary operational contractor for hospital transformation planning from spring 2025 through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pPr>
        <w:pStyle w:val="Heading3"/>
      </w:pPr>
      <w:r>
        <w:rPr>
          <w:color w:val="161B22"/>
        </w:rPr>
        <w:t xml:space="preserve">11.3.1  </w:t>
      </w:r>
      <w:bookmarkStart w:id="1318" w:name="_Toc1317"/>
      <w:r>
        <w:rPr>
          <w:b/>
          <w:bCs/>
          <w:color w:val="161B22"/>
        </w:rPr>
        <w:t xml:space="preserve">What RHRC Did</w:t>
      </w:r>
      <w:bookmarkEnd w:id="1318"/>
    </w:p>
    <w:p>
      <w:pPr>
        <w:pStyle w:val="FirstParagraph"/>
      </w:pPr>
      <w:r>
        <w:t xml:space="preserve">RHRC’s engagement combined three functions that are usually performed separately: financial and operational assessment, change management support, and transformation plan development. The combination was deliberate — Oliver Wyman’s experience had shown that hospitals can absorb financial analysis without changing behavior, can engage in planning processes that produce documents rather than action, and can participate in change management programs without addressing their fundamental financial unsustainability. RHRC’s model integrated all three.</w:t>
      </w:r>
    </w:p>
    <w:p>
      <w:pPr>
        <w:pStyle w:val="Heading3"/>
      </w:pPr>
      <w:r>
        <w:rPr>
          <w:color w:val="161B22"/>
        </w:rPr>
        <w:t xml:space="preserve">11.3.2  </w:t>
      </w:r>
      <w:bookmarkStart w:id="1319" w:name="_Toc1318"/>
      <w:r>
        <w:rPr>
          <w:b/>
          <w:bCs/>
          <w:color w:val="161B22"/>
        </w:rPr>
        <w:t xml:space="preserve">RHRC’s Four Workstreams at Each Hospital</w:t>
      </w:r>
      <w:bookmarkEnd w:id="1319"/>
    </w:p>
    <w:p>
      <w:pPr>
        <w:pStyle w:val="FirstParagraph"/>
      </w:pPr>
      <w:r>
        <w:t xml:space="preserve">RHRC worked with each of Vermont’s 14 hospitals through four parallel workstreams, adapted to each hospital’s specific position and needs:</w:t>
      </w:r>
    </w:p>
    <w:p>
      <w:pPr>
        <w:pStyle w:val="Compact"/>
        <w:numPr>
          <w:ilvl w:val="0"/>
          <w:numId w:val="1028"/>
        </w:numPr>
        <w:keepLines w:val="true"/>
        <w:keepNext w:val="true"/>
      </w:pPr>
      <w: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pPr>
        <w:pStyle w:val="Compact"/>
        <w:numPr>
          <w:ilvl w:val="0"/>
          <w:numId w:val="1028"/>
        </w:numPr>
        <w:keepLines w:val="true"/>
        <w:keepNext w:val="true"/>
      </w:pPr>
      <w: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pPr>
        <w:pStyle w:val="Compact"/>
        <w:numPr>
          <w:ilvl w:val="0"/>
          <w:numId w:val="1028"/>
        </w:numPr>
        <w:keepLines w:val="true"/>
        <w:keepNext w:val="true"/>
      </w:pPr>
      <w: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pPr>
        <w:pStyle w:val="Compact"/>
        <w:numPr>
          <w:ilvl w:val="0"/>
          <w:numId w:val="1028"/>
        </w:numPr>
        <w:keepLines w:val="true"/>
        <w:keepNext w:val="true"/>
      </w:pPr>
      <w: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pPr>
        <w:pStyle w:val="Compact"/>
        <w:numPr>
          <w:ilvl w:val="0"/>
          <w:numId w:val="1028"/>
        </w:numPr>
        <w:keepLines w:val="true"/>
      </w:pPr>
      <w:r>
        <w:t xml:space="preserve">The RHRC contract concluded in October 2025 — a planned conclusion, not a termination. AHS designed the engagement as a time-limited capacity-building investment, not an ongoing dependency. The explicit goal was for hospitals to develop the internal planning capability and the collaborative relationships needed to continue transformation work independently, with AHS providing ongoing oversight, grant funding, and analytical support rather than direct technical assistance.</w:t>
      </w:r>
    </w:p>
    <w:p>
      <w:pPr>
        <w:pStyle w:val="FirstParagraph"/>
      </w:pPr>
      <w: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pPr>
        <w:pStyle w:val="Heading3"/>
      </w:pPr>
      <w:r>
        <w:rPr>
          <w:color w:val="161B22"/>
        </w:rPr>
        <w:t xml:space="preserve">11.3.3  </w:t>
      </w:r>
      <w:bookmarkStart w:id="1320" w:name="_Toc1319"/>
      <w:r>
        <w:rPr>
          <w:b/>
          <w:bCs/>
          <w:color w:val="161B22"/>
        </w:rPr>
        <w:t xml:space="preserve">The Analytics Gap and Its Resolution</w:t>
      </w:r>
      <w:bookmarkEnd w:id="1320"/>
    </w:p>
    <w:p>
      <w:pPr>
        <w:pStyle w:val="FirstParagraph"/>
      </w:pPr>
      <w:r>
        <w:t xml:space="preserve">The November 2025 AHS transformation report identified one critical operational gap in the current system: the absence of an analytics platform capable of evaluating hospital transformation proposals quantitatively, modeling the cost and quality implications of different service configurations, and assessing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pPr>
        <w:pStyle w:val="BodyText"/>
        <w:keepNext w:val="false"/>
      </w:pPr>
      <w:r>
        <w:t xml:space="preserve">AHS responded to this gap by procuring an analytics vendor in partnership with GMCB — a joint procurement that reflects the appropriate division of labor: GMCB brings regulatory data and rate-setting expertise; AHS brings population health and SDOH context.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December 2028.</w:t>
      </w:r>
    </w:p>
    <w:p>
      <w:pPr>
        <w:pStyle w:val="Heading2"/>
        <w:pBdr>
          <w:top w:val="single" w:sz="6" w:space="10" w:color="C9D2DF"/>
        </w:pBdr>
        <w:keepNext w:val="false"/>
      </w:pPr>
      <w:r>
        <w:rPr>
          <w:color w:val="161B22"/>
        </w:rPr>
        <w:t xml:space="preserve">11.4  </w:t>
      </w:r>
      <w:bookmarkStart w:id="1321" w:name="_Toc1320"/>
      <w:r>
        <w:rPr>
          <w:b/>
          <w:bCs/>
          <w:color w:val="161B22"/>
        </w:rPr>
        <w:t xml:space="preserve">The Vermont Hospital Performance Dashboard — Where Each Hospital Stands</w:t>
      </w:r>
      <w:bookmarkEnd w:id="1321"/>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32.3%</w:t>
            </w:r>
          </w:p>
          <w:p>
            <w:pPr>
              <w:jc w:val="center"/>
              <w:spacing w:after="40"/>
            </w:pPr>
            <w:r>
              <w:rPr>
                <w:rFonts w:ascii="Calibri" w:hAnsi="Calibri"/>
                <w:b/>
                <w:sz w:val="16"/>
                <w:color w:val="1B3A6B"/>
              </w:rPr>
              <w:t>Potentially Avoidable ED Visits</w:t>
            </w:r>
          </w:p>
        </w:tc>
        <w:tc>
          <w:tcPr>
            <w:tcW w:w="2268" w:type="dxa"/>
            <w:shd w:val="clear" w:color="auto" w:fill="E8F0FB"/>
            <w:vAlign w:val="center"/>
          </w:tcPr>
          <w:p>
            <w:pPr>
              <w:jc w:val="center"/>
              <w:spacing w:after="20" w:before="40"/>
            </w:pPr>
            <w:r>
              <w:rPr>
                <w:rFonts w:ascii="Calibri" w:hAnsi="Calibri"/>
                <w:b/>
                <w:sz w:val="16"/>
                <w:color w:val="1B3A6B"/>
              </w:rPr>
              <w:t>14.8%</w:t>
            </w:r>
          </w:p>
          <w:p>
            <w:pPr>
              <w:jc w:val="center"/>
              <w:spacing w:after="40"/>
            </w:pPr>
            <w:r>
              <w:rPr>
                <w:rFonts w:ascii="Calibri" w:hAnsi="Calibri"/>
                <w:b/>
                <w:sz w:val="16"/>
                <w:color w:val="1B3A6B"/>
              </w:rPr>
              <w:t>30-Day Readmission Rate</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c>
          <w:tcPr>
            <w:tcW w:w="2268" w:type="dxa"/>
            <w:shd w:val="clear" w:color="auto" w:fill="E8F0FB"/>
            <w:vAlign w:val="center"/>
          </w:tcPr>
          <w:p>
            <w:pPr>
              <w:jc w:val="center"/>
              <w:spacing w:after="20" w:before="40"/>
            </w:pPr>
            <w:r>
              <w:rPr>
                <w:rFonts w:ascii="Calibri" w:hAnsi="Calibri"/>
                <w:b/>
                <w:sz w:val="16"/>
                <w:color w:val="1B3A6B"/>
              </w:rPr>
              <w:t>59%</w:t>
            </w:r>
          </w:p>
          <w:p>
            <w:pPr>
              <w:jc w:val="center"/>
              <w:spacing w:after="40"/>
            </w:pPr>
            <w:r>
              <w:rPr>
                <w:rFonts w:ascii="Calibri" w:hAnsi="Calibri"/>
                <w:b/>
                <w:sz w:val="16"/>
                <w:color w:val="1B3A6B"/>
              </w:rPr>
              <w:t>Primary Care Accepting New Medicaid</w:t>
            </w:r>
          </w:p>
        </w:tc>
      </w:tr>
    </w:tbl>
    <w:p>
      <w:pPr>
        <w:spacing w:after="120"/>
        <w:keepNext w:val="false"/>
      </w:pPr>
    </w:p>
    <w:p>
      <w:pPr>
        <w:pStyle w:val="BodyText"/>
        <w:keepNext w:val="false"/>
      </w:pPr>
      <w:r>
        <w:t xml:space="preserve">AHS’s November 2025 transformation report established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HTRTable"/>
        <w:tblLook w:firstRow="1" w:lastRow="0" w:firstColumn="0" w:lastColumn="0" w:noHBand="0" w:noVBand="1" w:val="0020"/>
        <w:tblW w:w="9072" w:type="dxa"/>
        <w:tblLayout w:type="fixed"/>
      </w:tblPr>
      <w:tblGrid>
        <w:gridCol w:w="3556"/>
        <w:gridCol w:w="612"/>
        <w:gridCol w:w="1409"/>
        <w:gridCol w:w="1716"/>
        <w:gridCol w:w="1777"/>
      </w:tblGrid>
      <w:tr>
        <w:trPr>
          <w:tblHeader w:val="on"/>
          <w:cantSplit/>
        </w:trPr>
        <w:tc>
          <w:tcPr>
            <w:shd w:val="clear" w:color="auto" w:fill="1B3A6B"/>
            <w:tcW w:w="3556" w:type="dxa"/>
          </w:tcPr>
          <w:p>
            <w:pPr>
              <w:pStyle w:val="Compact"/>
              <w:jc w:val="left"/>
            </w:pPr>
            <w:r>
              <w:rPr>
                <w:b/>
                <w:color w:val="FFFFFF"/>
                <w:sz w:val="18"/>
              </w:rPr>
              <w:t xml:space="preserve">Measure</w:t>
            </w:r>
          </w:p>
        </w:tc>
        <w:tc>
          <w:tcPr>
            <w:shd w:val="clear" w:color="auto" w:fill="1B3A6B"/>
            <w:tcW w:w="612" w:type="dxa"/>
          </w:tcPr>
          <w:p>
            <w:pPr>
              <w:pStyle w:val="Compact"/>
              <w:jc w:val="left"/>
            </w:pPr>
            <w:r>
              <w:rPr>
                <w:b/>
                <w:color w:val="FFFFFF"/>
                <w:sz w:val="18"/>
              </w:rPr>
              <w:t xml:space="preserve">VT Current</w:t>
            </w:r>
          </w:p>
        </w:tc>
        <w:tc>
          <w:tcPr>
            <w:shd w:val="clear" w:color="auto" w:fill="1B3A6B"/>
            <w:tcW w:w="1409" w:type="dxa"/>
          </w:tcPr>
          <w:p>
            <w:pPr>
              <w:pStyle w:val="Compact"/>
              <w:jc w:val="left"/>
            </w:pPr>
            <w:r>
              <w:rPr>
                <w:b/>
                <w:color w:val="FFFFFF"/>
                <w:sz w:val="18"/>
              </w:rPr>
              <w:t xml:space="preserve">Benchmark (75th pctile)</w:t>
            </w:r>
          </w:p>
        </w:tc>
        <w:tc>
          <w:tcPr>
            <w:shd w:val="clear" w:color="auto" w:fill="1B3A6B"/>
            <w:tcW w:w="1716" w:type="dxa"/>
          </w:tcPr>
          <w:p>
            <w:pPr>
              <w:pStyle w:val="Compact"/>
              <w:jc w:val="left"/>
            </w:pPr>
            <w:r>
              <w:rPr>
                <w:b/>
                <w:color w:val="FFFFFF"/>
                <w:sz w:val="18"/>
              </w:rPr>
              <w:t xml:space="preserve">Gap</w:t>
            </w:r>
          </w:p>
        </w:tc>
        <w:tc>
          <w:tcPr>
            <w:shd w:val="clear" w:color="auto" w:fill="1B3A6B"/>
            <w:tcW w:w="1777" w:type="dxa"/>
          </w:tcPr>
          <w:p>
            <w:pPr>
              <w:pStyle w:val="Compact"/>
              <w:jc w:val="left"/>
            </w:pPr>
            <w:r>
              <w:rPr>
                <w:b/>
                <w:color w:val="FFFFFF"/>
                <w:sz w:val="18"/>
              </w:rPr>
              <w:t xml:space="preserve">Act 167 Goal</w:t>
            </w:r>
          </w:p>
        </w:tc>
      </w:tr>
      <w:tr>
        <w:trPr>
          <w:cantSplit/>
        </w:trPr>
        <w:tc>
          <w:tcPr>
            <w:tcW w:w="3556" w:type="dxa"/>
          </w:tcPr>
          <w:p>
            <w:pPr>
              <w:pStyle w:val="Compact"/>
              <w:jc w:val="left"/>
            </w:pPr>
            <w:r>
              <w:rPr>
                <w:sz w:val="18"/>
              </w:rPr>
              <w:t xml:space="preserve">30-Day all-cause readmission rate</w:t>
            </w:r>
          </w:p>
        </w:tc>
        <w:tc>
          <w:tcPr>
            <w:tcW w:w="612" w:type="dxa"/>
          </w:tcPr>
          <w:p>
            <w:pPr>
              <w:pStyle w:val="Compact"/>
              <w:jc w:val="left"/>
            </w:pPr>
            <w:r>
              <w:rPr>
                <w:sz w:val="18"/>
              </w:rPr>
              <w:t xml:space="preserve">14.8%</w:t>
            </w:r>
          </w:p>
        </w:tc>
        <w:tc>
          <w:tcPr>
            <w:tcW w:w="1409" w:type="dxa"/>
          </w:tcPr>
          <w:p>
            <w:pPr>
              <w:pStyle w:val="Compact"/>
              <w:jc w:val="left"/>
            </w:pPr>
            <w:r>
              <w:rPr>
                <w:sz w:val="18"/>
              </w:rPr>
              <w:t xml:space="preserve">14.5%</w:t>
            </w:r>
          </w:p>
        </w:tc>
        <w:tc>
          <w:tcPr>
            <w:tcW w:w="1716" w:type="dxa"/>
          </w:tcPr>
          <w:p>
            <w:pPr>
              <w:pStyle w:val="Compact"/>
              <w:jc w:val="left"/>
            </w:pPr>
            <w:r>
              <w:rPr>
                <w:sz w:val="18"/>
              </w:rPr>
              <w:t xml:space="preserve">+0.3% (within range)</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Potentially avoidable ED visits as % of all ED visits</w:t>
            </w:r>
          </w:p>
        </w:tc>
        <w:tc>
          <w:tcPr>
            <w:tcW w:w="612" w:type="dxa"/>
          </w:tcPr>
          <w:p>
            <w:pPr>
              <w:pStyle w:val="Compact"/>
              <w:jc w:val="left"/>
            </w:pPr>
            <w:r>
              <w:rPr>
                <w:sz w:val="18"/>
              </w:rPr>
              <w:t xml:space="preserve">32.3%</w:t>
            </w:r>
          </w:p>
        </w:tc>
        <w:tc>
          <w:tcPr>
            <w:tcW w:w="1409" w:type="dxa"/>
          </w:tcPr>
          <w:p>
            <w:pPr>
              <w:pStyle w:val="Compact"/>
              <w:jc w:val="left"/>
            </w:pPr>
            <w:r>
              <w:rPr>
                <w:sz w:val="18"/>
              </w:rPr>
              <w:t xml:space="preserve">No benchmark set yet</w:t>
            </w:r>
          </w:p>
        </w:tc>
        <w:tc>
          <w:tcPr>
            <w:tcW w:w="1716" w:type="dxa"/>
          </w:tcPr>
          <w:p>
            <w:pPr>
              <w:pStyle w:val="Compact"/>
              <w:jc w:val="left"/>
            </w:pPr>
            <w:r>
              <w:rPr>
                <w:sz w:val="18"/>
              </w:rPr>
              <w:t xml:space="preserve">Significant opportunity</w:t>
            </w:r>
          </w:p>
        </w:tc>
        <w:tc>
          <w:tcPr>
            <w:tcW w:w="1777" w:type="dxa"/>
          </w:tcPr>
          <w:p>
            <w:pPr>
              <w:pStyle w:val="Compact"/>
              <w:jc w:val="left"/>
            </w:pPr>
            <w:r>
              <w:rPr>
                <w:sz w:val="18"/>
              </w:rPr>
              <w:t xml:space="preserve">Reduce inefficiencies; access</w:t>
            </w:r>
          </w:p>
        </w:tc>
      </w:tr>
      <w:tr>
        <w:trPr/>
        <w:tc>
          <w:tcPr>
            <w:tcW w:w="3556" w:type="dxa"/>
          </w:tcPr>
          <w:p>
            <w:pPr>
              <w:pStyle w:val="Compact"/>
              <w:jc w:val="left"/>
            </w:pPr>
            <w:r>
              <w:rPr>
                <w:sz w:val="18"/>
              </w:rPr>
              <w:t xml:space="preserve">Operating profit per adjusted discharge — PPS hospitals</w:t>
            </w:r>
          </w:p>
        </w:tc>
        <w:tc>
          <w:tcPr>
            <w:tcW w:w="612" w:type="dxa"/>
          </w:tcPr>
          <w:p>
            <w:pPr>
              <w:pStyle w:val="Compact"/>
              <w:jc w:val="left"/>
            </w:pPr>
            <w:r>
              <w:rPr>
                <w:sz w:val="18"/>
              </w:rPr>
              <w:t xml:space="preserve">$5,345</w:t>
            </w:r>
          </w:p>
        </w:tc>
        <w:tc>
          <w:tcPr>
            <w:tcW w:w="1409" w:type="dxa"/>
          </w:tcPr>
          <w:p>
            <w:pPr>
              <w:pStyle w:val="Compact"/>
              <w:jc w:val="left"/>
            </w:pPr>
            <w:r>
              <w:rPr>
                <w:sz w:val="18"/>
              </w:rPr>
              <w:t xml:space="preserve">$4,162</w:t>
            </w:r>
          </w:p>
        </w:tc>
        <w:tc>
          <w:tcPr>
            <w:tcW w:w="1716" w:type="dxa"/>
          </w:tcPr>
          <w:p>
            <w:pPr>
              <w:pStyle w:val="Compact"/>
              <w:jc w:val="left"/>
            </w:pPr>
            <w:r>
              <w:rPr>
                <w:sz w:val="18"/>
              </w:rPr>
              <w:t xml:space="preserve">+$1,183 above benchmark</w:t>
            </w:r>
          </w:p>
        </w:tc>
        <w:tc>
          <w:tcPr>
            <w:tcW w:w="1777" w:type="dxa"/>
          </w:tcPr>
          <w:p>
            <w:pPr>
              <w:pStyle w:val="Compact"/>
              <w:jc w:val="left"/>
            </w:pPr>
            <w:r>
              <w:rPr>
                <w:sz w:val="18"/>
              </w:rPr>
              <w:t xml:space="preserve">Lower costs</w:t>
            </w:r>
          </w:p>
        </w:tc>
      </w:tr>
      <w:tr>
        <w:trPr/>
        <w:tc>
          <w:tcPr>
            <w:tcW w:w="3556" w:type="dxa"/>
          </w:tcPr>
          <w:p>
            <w:pPr>
              <w:pStyle w:val="Compact"/>
              <w:jc w:val="left"/>
            </w:pPr>
            <w:r>
              <w:rPr>
                <w:sz w:val="18"/>
              </w:rPr>
              <w:t xml:space="preserve">Operating profit per adjusted discharge — CAH hospitals</w:t>
            </w:r>
          </w:p>
        </w:tc>
        <w:tc>
          <w:tcPr>
            <w:tcW w:w="612" w:type="dxa"/>
          </w:tcPr>
          <w:p>
            <w:pPr>
              <w:pStyle w:val="Compact"/>
              <w:jc w:val="left"/>
            </w:pPr>
            <w:r>
              <w:rPr>
                <w:sz w:val="18"/>
              </w:rPr>
              <w:t xml:space="preserve">$938</w:t>
            </w:r>
          </w:p>
        </w:tc>
        <w:tc>
          <w:tcPr>
            <w:tcW w:w="1409" w:type="dxa"/>
          </w:tcPr>
          <w:p>
            <w:pPr>
              <w:pStyle w:val="Compact"/>
              <w:jc w:val="left"/>
            </w:pPr>
            <w:r>
              <w:rPr>
                <w:sz w:val="18"/>
              </w:rPr>
              <w:t xml:space="preserve">$2,784</w:t>
            </w:r>
          </w:p>
        </w:tc>
        <w:tc>
          <w:tcPr>
            <w:tcW w:w="1716" w:type="dxa"/>
          </w:tcPr>
          <w:p>
            <w:pPr>
              <w:pStyle w:val="Compact"/>
              <w:jc w:val="left"/>
            </w:pPr>
            <w:r>
              <w:rPr>
                <w:sz w:val="18"/>
              </w:rPr>
              <w:t xml:space="preserve">-$1,846 BELOW benchmark</w:t>
            </w:r>
          </w:p>
        </w:tc>
        <w:tc>
          <w:tcPr>
            <w:tcW w:w="1777" w:type="dxa"/>
          </w:tcPr>
          <w:p>
            <w:pPr>
              <w:pStyle w:val="Compact"/>
              <w:jc w:val="left"/>
            </w:pPr>
            <w:r>
              <w:rPr>
                <w:sz w:val="18"/>
              </w:rPr>
              <w:t xml:space="preserve">Lower costs / sustainability</w:t>
            </w:r>
          </w:p>
        </w:tc>
      </w:tr>
      <w:tr>
        <w:trPr/>
        <w:tc>
          <w:tcPr>
            <w:tcW w:w="3556" w:type="dxa"/>
          </w:tcPr>
          <w:p>
            <w:pPr>
              <w:pStyle w:val="Compact"/>
              <w:jc w:val="left"/>
            </w:pPr>
            <w:r>
              <w:rPr>
                <w:sz w:val="18"/>
              </w:rPr>
              <w:t xml:space="preserve">Mgmt. and admin cost per adjusted discharge — PPS</w:t>
            </w:r>
          </w:p>
        </w:tc>
        <w:tc>
          <w:tcPr>
            <w:tcW w:w="612" w:type="dxa"/>
          </w:tcPr>
          <w:p>
            <w:pPr>
              <w:pStyle w:val="Compact"/>
              <w:jc w:val="left"/>
            </w:pPr>
            <w:r>
              <w:rPr>
                <w:sz w:val="18"/>
              </w:rPr>
              <w:t xml:space="preserve">$2,730</w:t>
            </w:r>
          </w:p>
        </w:tc>
        <w:tc>
          <w:tcPr>
            <w:tcW w:w="1409" w:type="dxa"/>
          </w:tcPr>
          <w:p>
            <w:pPr>
              <w:pStyle w:val="Compact"/>
              <w:jc w:val="left"/>
            </w:pPr>
            <w:r>
              <w:rPr>
                <w:sz w:val="18"/>
              </w:rPr>
              <w:t xml:space="preserve">$1,427</w:t>
            </w:r>
          </w:p>
        </w:tc>
        <w:tc>
          <w:tcPr>
            <w:tcW w:w="1716" w:type="dxa"/>
          </w:tcPr>
          <w:p>
            <w:pPr>
              <w:pStyle w:val="Compact"/>
              <w:jc w:val="left"/>
            </w:pPr>
            <w:r>
              <w:rPr>
                <w:sz w:val="18"/>
              </w:rPr>
              <w:t xml:space="preserve">+$1,303 above benchmark</w:t>
            </w:r>
          </w:p>
        </w:tc>
        <w:tc>
          <w:tcPr>
            <w:tcW w:w="1777" w:type="dxa"/>
          </w:tcPr>
          <w:p>
            <w:pPr>
              <w:pStyle w:val="Compact"/>
              <w:jc w:val="left"/>
            </w:pPr>
            <w:r>
              <w:rPr>
                <w:sz w:val="18"/>
              </w:rPr>
              <w:t xml:space="preserve">Reduce inefficiencies</w:t>
            </w:r>
          </w:p>
        </w:tc>
      </w:tr>
      <w:tr>
        <w:trPr/>
        <w:tc>
          <w:tcPr>
            <w:tcW w:w="3556" w:type="dxa"/>
          </w:tcPr>
          <w:p>
            <w:pPr>
              <w:pStyle w:val="Compact"/>
              <w:jc w:val="left"/>
            </w:pPr>
            <w:r>
              <w:rPr>
                <w:sz w:val="18"/>
              </w:rPr>
              <w:t xml:space="preserve">Vermonters with a personal health care provider (PCP)</w:t>
            </w:r>
          </w:p>
        </w:tc>
        <w:tc>
          <w:tcPr>
            <w:tcW w:w="612" w:type="dxa"/>
          </w:tcPr>
          <w:p>
            <w:pPr>
              <w:pStyle w:val="Compact"/>
              <w:jc w:val="left"/>
            </w:pPr>
            <w:r>
              <w:rPr>
                <w:sz w:val="18"/>
              </w:rPr>
              <w:t xml:space="preserve">91%</w:t>
            </w:r>
          </w:p>
        </w:tc>
        <w:tc>
          <w:tcPr>
            <w:tcW w:w="1409" w:type="dxa"/>
          </w:tcPr>
          <w:p>
            <w:pPr>
              <w:pStyle w:val="Compact"/>
              <w:jc w:val="left"/>
            </w:pPr>
            <w:r>
              <w:rPr>
                <w:sz w:val="18"/>
              </w:rPr>
              <w:t xml:space="preserve">87%</w:t>
            </w:r>
          </w:p>
        </w:tc>
        <w:tc>
          <w:tcPr>
            <w:tcW w:w="1716" w:type="dxa"/>
          </w:tcPr>
          <w:p>
            <w:pPr>
              <w:pStyle w:val="Compact"/>
              <w:jc w:val="left"/>
            </w:pPr>
            <w:r>
              <w:rPr>
                <w:sz w:val="18"/>
              </w:rPr>
              <w:t xml:space="preserve">+4% above benchmark</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Primary care practices accepting new Medicaid patients</w:t>
            </w:r>
          </w:p>
        </w:tc>
        <w:tc>
          <w:tcPr>
            <w:tcW w:w="612" w:type="dxa"/>
          </w:tcPr>
          <w:p>
            <w:pPr>
              <w:pStyle w:val="Compact"/>
              <w:jc w:val="left"/>
            </w:pPr>
            <w:r>
              <w:rPr>
                <w:sz w:val="18"/>
              </w:rPr>
              <w:t xml:space="preserve">59%</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Access gap for Medicaid</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Blueprint PCMH patients with hypertension controlled</w:t>
            </w:r>
          </w:p>
        </w:tc>
        <w:tc>
          <w:tcPr>
            <w:tcW w:w="612" w:type="dxa"/>
          </w:tcPr>
          <w:p>
            <w:pPr>
              <w:pStyle w:val="Compact"/>
              <w:jc w:val="left"/>
            </w:pPr>
            <w:r>
              <w:rPr>
                <w:sz w:val="18"/>
              </w:rPr>
              <w:t xml:space="preserve">77%</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Quality management</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ED visits for suicide ideation/self-harm per 10K ED visits</w:t>
            </w:r>
          </w:p>
        </w:tc>
        <w:tc>
          <w:tcPr>
            <w:tcW w:w="612" w:type="dxa"/>
          </w:tcPr>
          <w:p>
            <w:pPr>
              <w:pStyle w:val="Compact"/>
              <w:jc w:val="left"/>
            </w:pPr>
            <w:r>
              <w:rPr>
                <w:sz w:val="18"/>
              </w:rPr>
              <w:t xml:space="preserve">245.5</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Behavioral health access gap</w:t>
            </w:r>
          </w:p>
        </w:tc>
        <w:tc>
          <w:tcPr>
            <w:tcW w:w="1777" w:type="dxa"/>
          </w:tcPr>
          <w:p>
            <w:pPr>
              <w:pStyle w:val="Compact"/>
              <w:jc w:val="left"/>
            </w:pPr>
            <w:r>
              <w:rPr>
                <w:sz w:val="18"/>
              </w:rPr>
              <w:t xml:space="preserve">Access / equity</w:t>
            </w:r>
          </w:p>
        </w:tc>
      </w:tr>
      <w:tr>
        <w:trPr>
          <w:cantSplit/>
        </w:trPr>
        <w:tc>
          <w:tcPr>
            <w:tcW w:w="3556" w:type="dxa"/>
          </w:tcPr>
          <w:p>
            <w:pPr>
              <w:pStyle w:val="Compact"/>
              <w:jc w:val="left"/>
            </w:pPr>
            <w:r>
              <w:rPr>
                <w:sz w:val="18"/>
              </w:rPr>
              <w:t xml:space="preserve">ED visits for opioid overdose per 10K ED visits</w:t>
            </w:r>
          </w:p>
        </w:tc>
        <w:tc>
          <w:tcPr>
            <w:tcW w:w="612" w:type="dxa"/>
          </w:tcPr>
          <w:p>
            <w:pPr>
              <w:pStyle w:val="Compact"/>
              <w:jc w:val="left"/>
            </w:pPr>
            <w:r>
              <w:rPr>
                <w:sz w:val="18"/>
              </w:rPr>
              <w:t xml:space="preserve">16.1</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SUD treatment access gap</w:t>
            </w:r>
          </w:p>
        </w:tc>
        <w:tc>
          <w:tcPr>
            <w:tcW w:w="1777" w:type="dxa"/>
          </w:tcPr>
          <w:p>
            <w:pPr>
              <w:pStyle w:val="Compact"/>
              <w:jc w:val="left"/>
            </w:pPr>
            <w:r>
              <w:rPr>
                <w:sz w:val="18"/>
              </w:rPr>
              <w:t xml:space="preserve">Access / equity</w:t>
            </w:r>
          </w:p>
        </w:tc>
      </w:tr>
    </w:tbl>
    <w:p>
      <w:pPr>
        <w:pStyle w:val="Caption"/>
        <w:spacing w:before="120"/>
      </w:pPr>
      <w:r>
        <w:rPr>
          <w:i/>
          <w:iCs/>
        </w:rPr>
        <w:t xml:space="preserve">Figure 11.3 — Vermont health system transformation outcome measures: current performance vs. benchmarks. Source: AHS Health Care System Transformation Report, November 2025.</w:t>
      </w:r>
    </w:p>
    <w:p>
      <w:pPr>
        <w:pStyle w:val="BodyText"/>
      </w:pPr>
      <w:r>
        <w:t xml:space="preserve">Several findings from this dashboard deserve specific attention from healthcare leaders and policymakers:</w:t>
      </w:r>
    </w:p>
    <w:p>
      <w:pPr>
        <w:pStyle w:val="BodyText"/>
      </w:pPr>
      <w: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and Act 68 explicitly requires GMCB to consider CAH-specific adjustments. The RHT Program’s explicit inclusion of CAH stabilization as a priority use of funds reflects this gap.</w:t>
      </w:r>
    </w:p>
    <w:p>
      <w:pPr>
        <w:pStyle w:val="BodyText"/>
      </w:pPr>
      <w:r>
        <w:t xml:space="preserve">The administrative cost premium is massive. PPS hospitals are spending $2,730 per adjusted discharge on management and administrative costs, against a benchmark of $1,427 — a 91% premium over what efficient peer hospitals spend. This $1,303 per-discharge gap is exactly the administrative cost reduction that Oliver Wyman identified as one of the three primary sources of direct savings from transformation. If Vermont’s PPS hospitals can reach the benchmark administrative cost level, the system savings are substantial — and Oliver Wyman estimated administrative reduction as contributing over $100 million of the $400M+ transformation savings target.</w:t>
      </w:r>
    </w:p>
    <w:p>
      <w:pPr>
        <w:pStyle w:val="BodyText"/>
        <w:keepNext w:val="false"/>
      </w:pPr>
      <w: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(5 new entities by July 2026) and the behavioral health investments funded through AHEAD’s EAST Fund are the operational response.</w:t>
      </w:r>
    </w:p>
    <w:p>
      <w:pPr>
        <w:pStyle w:val="BodyText"/>
        <w:keepNext w:val="false"/>
      </w:pPr>
      <w:r>
        <w:rPr>
          <w:b/>
          <w:bCs/>
        </w:rPr>
        <w:t xml:space="preserve">Management and administrative cost per adjusted discharge: Vermont PPS hospitals vs. benchmark</w:t>
      </w:r>
    </w:p>
    <w:tbl>
      <w:tblPr>
        <w:tblStyle w:val="HTRTable"/>
        <w:tblLook w:firstRow="1" w:lastRow="0" w:firstColumn="0" w:lastColumn="0" w:noHBand="0" w:noVBand="1" w:val="0020"/>
        <w:tblW w:w="9072" w:type="dxa"/>
        <w:tblLayout w:type="fixed"/>
      </w:tblPr>
      <w:tblGrid>
        <w:gridCol w:w="7908"/>
        <w:gridCol w:w="1163"/>
      </w:tblGrid>
      <w:tr>
        <w:trPr>
          <w:tblHeader w:val="on"/>
          <w:cantSplit/>
        </w:trPr>
        <w:tc>
          <w:tcPr>
            <w:shd w:val="clear" w:color="auto" w:fill="1B3A6B"/>
            <w:tcW w:w="7908" w:type="dxa"/>
          </w:tcPr>
          <w:p>
            <w:pPr>
              <w:pStyle w:val="Compact"/>
              <w:jc w:val="left"/>
            </w:pPr>
            <w:r>
              <w:rPr>
                <w:b/>
                <w:color w:val="FFFFFF"/>
                <w:sz w:val="18"/>
              </w:rPr>
              <w:t xml:space="preserve">Vermont PPS hospitals (actual)</w:t>
            </w:r>
          </w:p>
        </w:tc>
        <w:tc>
          <w:tcPr>
            <w:shd w:val="clear" w:color="auto" w:fill="1B3A6B"/>
            <w:tcW w:w="1163" w:type="dxa"/>
          </w:tcPr>
          <w:p>
            <w:pPr>
              <w:pStyle w:val="Compact"/>
              <w:jc w:val="right"/>
            </w:pPr>
            <w:r>
              <w:rPr>
                <w:b/>
                <w:color w:val="FFFFFF"/>
                <w:sz w:val="18"/>
              </w:rPr>
              <w:t xml:space="preserve">$2730</w:t>
            </w:r>
          </w:p>
        </w:tc>
      </w:tr>
      <w:tr>
        <w:trPr/>
        <w:tc>
          <w:tcPr>
            <w:tcW w:w="7908" w:type="dxa"/>
          </w:tcPr>
          <w:p>
            <w:pPr>
              <w:pStyle w:val="Compact"/>
              <w:jc w:val="left"/>
            </w:pPr>
            <w:r>
              <w:rPr>
                <w:sz w:val="18"/>
              </w:rPr>
              <w:t xml:space="preserve">National 75th percentile benchmark</w:t>
            </w:r>
          </w:p>
        </w:tc>
        <w:tc>
          <w:tcPr>
            <w:tcW w:w="1163" w:type="dxa"/>
          </w:tcPr>
          <w:p>
            <w:pPr>
              <w:pStyle w:val="Compact"/>
              <w:jc w:val="right"/>
            </w:pPr>
            <w:r>
              <w:rPr>
                <w:sz w:val="18"/>
              </w:rPr>
              <w:t xml:space="preserve">$1427</w:t>
            </w:r>
          </w:p>
        </w:tc>
      </w:tr>
      <w:tr>
        <w:trPr/>
        <w:tc>
          <w:tcPr>
            <w:tcW w:w="7908" w:type="dxa"/>
          </w:tcPr>
          <w:p>
            <w:pPr>
              <w:pStyle w:val="Compact"/>
              <w:jc w:val="left"/>
            </w:pPr>
            <w:r>
              <w:rPr>
                <w:sz w:val="18"/>
              </w:rPr>
              <w:t xml:space="preserve">Gap (excess admin cost)</w:t>
            </w:r>
          </w:p>
        </w:tc>
        <w:tc>
          <w:tcPr>
            <w:tcW w:w="1163" w:type="dxa"/>
          </w:tcPr>
          <w:p>
            <w:pPr>
              <w:pStyle w:val="Compact"/>
              <w:jc w:val="right"/>
            </w:pPr>
            <w:r>
              <w:rPr>
                <w:sz w:val="18"/>
              </w:rPr>
              <w:t xml:space="preserve">$1303</w:t>
            </w:r>
          </w:p>
        </w:tc>
      </w:tr>
    </w:tbl>
    <w:p>
      <w:pPr>
        <w:pStyle w:val="Caption"/>
        <w:spacing w:before="120"/>
      </w:pPr>
      <w:r>
        <w:rPr>
          <w:i/>
          <w:iCs/>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Heading2"/>
        <w:pBdr>
          <w:top w:val="single" w:sz="6" w:space="10" w:color="C9D2DF"/>
        </w:pBdr>
      </w:pPr>
      <w:r>
        <w:rPr>
          <w:color w:val="161B22"/>
        </w:rPr>
        <w:t xml:space="preserve">11.5  </w:t>
      </w:r>
      <w:bookmarkStart w:id="1322" w:name="_Toc1321"/>
      <w:r>
        <w:rPr>
          <w:b/>
          <w:bCs/>
          <w:color w:val="161B22"/>
        </w:rPr>
        <w:t xml:space="preserve">Regionalization — The Operational Logic of Right-Sizing a 14-Hospital System</w:t>
      </w:r>
      <w:bookmarkEnd w:id="1322"/>
    </w:p>
    <w:p>
      <w:pPr>
        <w:pStyle w:val="FirstParagraph"/>
      </w:pPr>
      <w: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pPr>
        <w:pStyle w:val="Heading3"/>
      </w:pPr>
      <w:r>
        <w:rPr>
          <w:color w:val="161B22"/>
        </w:rPr>
        <w:t xml:space="preserve">11.5.1  </w:t>
      </w:r>
      <w:bookmarkStart w:id="1323" w:name="_Toc1322"/>
      <w:r>
        <w:rPr>
          <w:b/>
          <w:bCs/>
          <w:color w:val="161B22"/>
        </w:rPr>
        <w:t xml:space="preserve">The Regional Network Design Framework</w:t>
      </w:r>
      <w:bookmarkEnd w:id="1323"/>
    </w:p>
    <w:p>
      <w:pPr>
        <w:pStyle w:val="FirstParagraph"/>
      </w:pPr>
      <w:r>
        <w:t xml:space="preserve">Oliver Wyman’s regionalization blueprint organized Vermont’s hospital network around three facility types, each with a distinct role in the transformed system:</w:t>
      </w:r>
    </w:p>
    <w:p>
      <w:pPr>
        <w:pStyle w:val="BodyText"/>
      </w:pPr>
      <w:r>
        <w:rPr>
          <w:b/>
          <w:bCs/>
        </w:rPr>
        <w:t xml:space="preserve">Tier 1 — Regional Specialty Centers (RSCs)</w:t>
      </w:r>
    </w:p>
    <w:p>
      <w:pPr>
        <w:pStyle w:val="BodyText"/>
      </w:pPr>
      <w: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pPr>
        <w:pStyle w:val="BodyText"/>
      </w:pPr>
      <w: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pPr>
        <w:pStyle w:val="BodyText"/>
      </w:pPr>
      <w:r>
        <w:rPr>
          <w:b/>
          <w:bCs/>
        </w:rPr>
        <w:t xml:space="preserve">Tier 2 — Community Hospitals with Focused Scope</w:t>
      </w:r>
    </w:p>
    <w:p>
      <w:pPr>
        <w:pStyle w:val="BodyText"/>
      </w:pPr>
      <w: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Springfield Hospital, and Copley Hospital (Morrisville) fall into this category, with 2-4 COE designations each.</w:t>
      </w:r>
    </w:p>
    <w:p>
      <w:pPr>
        <w:pStyle w:val="BodyText"/>
      </w:pPr>
      <w: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pPr>
        <w:pStyle w:val="BodyText"/>
      </w:pPr>
      <w:r>
        <w:rPr>
          <w:b/>
          <w:bCs/>
        </w:rPr>
        <w:t xml:space="preserve">Tier 3 — Transformed Facilities (REH, CACC, or Home-Based Models)</w:t>
      </w:r>
    </w:p>
    <w:p>
      <w:pPr>
        <w:pStyle w:val="BodyText"/>
        <w:keepNext w:val="false"/>
      </w:pPr>
      <w: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blueprint proposes orderly conversion to one of three alternative models: Rural Emergency Hospital (REH — 24/7 emergency and observation without inpatient beds), Community Ambulatory Care Center (CACC — outpatient and primary care services), or a Care at Home support hub. Grace Cottage, Gifford Medical Center, North Country Hospital, and Porter Medical Center are among the facilities whose futures require further discussion as part of Vermont’s regionalization planning.</w:t>
      </w:r>
    </w:p>
    <w:p>
      <w:pPr>
        <w:pStyle w:val="BodyText"/>
        <w:keepNext w:val="false"/>
      </w:pPr>
      <w:r>
        <w:t xml:space="preserve">The REH designation is particularly significant for Vermont because it preserves the emergency access function that communities depend on while eliminating the expensive inpatient infrastructure that these hospitals cannot financially sustain. A community with an REH and reliable EMS transport to an RSC 45 minutes away is better served than one with a financially distressed inpatient hospital that cannot staff its surgical suite or maintain specialist coverage.</w:t>
      </w:r>
    </w:p>
    <w:tbl>
      <w:tblPr>
        <w:tblStyle w:val="HTRTable"/>
        <w:tblLook w:firstRow="1" w:lastRow="0" w:firstColumn="0" w:lastColumn="0" w:noHBand="0" w:noVBand="1" w:val="0020"/>
        <w:tblW w:w="9072" w:type="dxa"/>
        <w:tblLayout w:type="fixed"/>
      </w:tblPr>
      <w:tblGrid>
        <w:gridCol w:w="2815"/>
        <w:gridCol w:w="750"/>
        <w:gridCol w:w="1751"/>
        <w:gridCol w:w="3754"/>
      </w:tblGrid>
      <w:tr>
        <w:trPr>
          <w:tblHeader w:val="on"/>
          <w:cantSplit/>
        </w:trPr>
        <w:tc>
          <w:tcPr>
            <w:shd w:val="clear" w:color="auto" w:fill="1B3A6B"/>
            <w:tcW w:w="2815" w:type="dxa"/>
          </w:tcPr>
          <w:p>
            <w:pPr>
              <w:pStyle w:val="Compact"/>
              <w:jc w:val="left"/>
            </w:pPr>
            <w:r>
              <w:rPr>
                <w:b/>
                <w:color w:val="FFFFFF"/>
                <w:sz w:val="18"/>
              </w:rPr>
              <w:t xml:space="preserve">Hospital (HSA)</w:t>
            </w:r>
          </w:p>
        </w:tc>
        <w:tc>
          <w:tcPr>
            <w:shd w:val="clear" w:color="auto" w:fill="1B3A6B"/>
            <w:tcW w:w="750" w:type="dxa"/>
          </w:tcPr>
          <w:p>
            <w:pPr>
              <w:pStyle w:val="Compact"/>
              <w:jc w:val="left"/>
            </w:pPr>
            <w:r>
              <w:rPr>
                <w:b/>
                <w:color w:val="FFFFFF"/>
                <w:sz w:val="18"/>
              </w:rPr>
              <w:t xml:space="preserve">Current COEs</w:t>
            </w:r>
          </w:p>
        </w:tc>
        <w:tc>
          <w:tcPr>
            <w:shd w:val="clear" w:color="auto" w:fill="1B3A6B"/>
            <w:tcW w:w="1751" w:type="dxa"/>
          </w:tcPr>
          <w:p>
            <w:pPr>
              <w:pStyle w:val="Compact"/>
              <w:jc w:val="left"/>
            </w:pPr>
            <w:r>
              <w:rPr>
                <w:b/>
                <w:color w:val="FFFFFF"/>
                <w:sz w:val="18"/>
              </w:rPr>
              <w:t xml:space="preserve">Tier</w:t>
            </w:r>
          </w:p>
        </w:tc>
        <w:tc>
          <w:tcPr>
            <w:shd w:val="clear" w:color="auto" w:fill="1B3A6B"/>
            <w:tcW w:w="3754" w:type="dxa"/>
          </w:tcPr>
          <w:p>
            <w:pPr>
              <w:pStyle w:val="Compact"/>
              <w:jc w:val="left"/>
            </w:pPr>
            <w:r>
              <w:rPr>
                <w:b/>
                <w:color w:val="FFFFFF"/>
                <w:sz w:val="18"/>
              </w:rPr>
              <w:t xml:space="preserve">Key transformation considerations</w:t>
            </w:r>
          </w:p>
        </w:tc>
      </w:tr>
      <w:tr>
        <w:trPr>
          <w:cantSplit/>
        </w:trPr>
        <w:tc>
          <w:tcPr>
            <w:tcW w:w="2815" w:type="dxa"/>
          </w:tcPr>
          <w:p>
            <w:pPr>
              <w:pStyle w:val="Compact"/>
              <w:jc w:val="left"/>
            </w:pPr>
            <w:r>
              <w:rPr>
                <w:sz w:val="18"/>
              </w:rPr>
              <w:t xml:space="preserve">UVM Medical Center (Burlington)</w:t>
            </w:r>
          </w:p>
        </w:tc>
        <w:tc>
          <w:tcPr>
            <w:tcW w:w="750" w:type="dxa"/>
          </w:tcPr>
          <w:p>
            <w:pPr>
              <w:pStyle w:val="Compact"/>
              <w:jc w:val="left"/>
            </w:pPr>
            <w:r>
              <w:rPr>
                <w:sz w:val="18"/>
              </w:rPr>
              <w:t xml:space="preserve">16</w:t>
            </w:r>
          </w:p>
        </w:tc>
        <w:tc>
          <w:tcPr>
            <w:tcW w:w="1751" w:type="dxa"/>
          </w:tcPr>
          <w:p>
            <w:pPr>
              <w:pStyle w:val="Compact"/>
              <w:jc w:val="left"/>
            </w:pPr>
            <w:r>
              <w:rPr>
                <w:sz w:val="18"/>
              </w:rPr>
              <w:t xml:space="preserve">Tier 1 — Primary RSC</w:t>
            </w:r>
          </w:p>
        </w:tc>
        <w:tc>
          <w:tcPr>
            <w:tcW w:w="3754" w:type="dxa"/>
          </w:tcPr>
          <w:p>
            <w:pPr>
              <w:pStyle w:val="Compact"/>
              <w:jc w:val="left"/>
            </w:pPr>
            <w:r>
              <w:rPr>
                <w:sz w:val="18"/>
              </w:rPr>
              <w:t xml:space="preserve">Administrative overhead reduction is critical — $3,826 admin cost/adj. discharge vs. $1,427 benchmark. Examine non-patient-care provider activities (OW specific finding).</w:t>
            </w:r>
          </w:p>
        </w:tc>
      </w:tr>
      <w:tr>
        <w:trPr/>
        <w:tc>
          <w:tcPr>
            <w:tcW w:w="2815" w:type="dxa"/>
          </w:tcPr>
          <w:p>
            <w:pPr>
              <w:pStyle w:val="Compact"/>
              <w:jc w:val="left"/>
            </w:pPr>
            <w:r>
              <w:rPr>
                <w:sz w:val="18"/>
              </w:rPr>
              <w:t xml:space="preserve">SW VT Medical Center (Bennington)</w:t>
            </w:r>
          </w:p>
        </w:tc>
        <w:tc>
          <w:tcPr>
            <w:tcW w:w="750" w:type="dxa"/>
          </w:tcPr>
          <w:p>
            <w:pPr>
              <w:pStyle w:val="Compact"/>
              <w:jc w:val="left"/>
            </w:pPr>
            <w:r>
              <w:rPr>
                <w:sz w:val="18"/>
              </w:rPr>
              <w:t xml:space="preserve">9</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Strong COE position. Key southern VT anchor. Psych adult/adolescent COE important given behavioral health gaps.</w:t>
            </w:r>
          </w:p>
        </w:tc>
      </w:tr>
      <w:tr>
        <w:trPr/>
        <w:tc>
          <w:tcPr>
            <w:tcW w:w="2815" w:type="dxa"/>
          </w:tcPr>
          <w:p>
            <w:pPr>
              <w:pStyle w:val="Compact"/>
              <w:jc w:val="left"/>
            </w:pPr>
            <w:r>
              <w:rPr>
                <w:sz w:val="18"/>
              </w:rPr>
              <w:t xml:space="preserve">Brattleboro Memorial Hospital</w:t>
            </w:r>
          </w:p>
        </w:tc>
        <w:tc>
          <w:tcPr>
            <w:tcW w:w="750" w:type="dxa"/>
          </w:tcPr>
          <w:p>
            <w:pPr>
              <w:pStyle w:val="Compact"/>
              <w:jc w:val="left"/>
            </w:pPr>
            <w:r>
              <w:rPr>
                <w:sz w:val="18"/>
              </w:rPr>
              <w:t xml:space="preserve">6</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Acute general surgery COE is regionally critical. Windham County has higher-than-average suicide/SH and opioid rates — behavioral health access priority.</w:t>
            </w:r>
          </w:p>
        </w:tc>
      </w:tr>
      <w:tr>
        <w:trPr/>
        <w:tc>
          <w:tcPr>
            <w:tcW w:w="2815" w:type="dxa"/>
          </w:tcPr>
          <w:p>
            <w:pPr>
              <w:pStyle w:val="Compact"/>
              <w:jc w:val="left"/>
            </w:pPr>
            <w:r>
              <w:rPr>
                <w:sz w:val="18"/>
              </w:rPr>
              <w:t xml:space="preserve">Rutland Regional Medical Center</w:t>
            </w:r>
          </w:p>
        </w:tc>
        <w:tc>
          <w:tcPr>
            <w:tcW w:w="750" w:type="dxa"/>
          </w:tcPr>
          <w:p>
            <w:pPr>
              <w:pStyle w:val="Compact"/>
              <w:jc w:val="left"/>
            </w:pPr>
            <w:r>
              <w:rPr>
                <w:sz w:val="18"/>
              </w:rPr>
              <w:t xml:space="preserve">5</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Central Vermont anchor; neurology and psych-adult COEs important. Rutland County has higher opioid overdose rates.</w:t>
            </w:r>
          </w:p>
        </w:tc>
      </w:tr>
      <w:tr>
        <w:trPr/>
        <w:tc>
          <w:tcPr>
            <w:tcW w:w="2815" w:type="dxa"/>
          </w:tcPr>
          <w:p>
            <w:pPr>
              <w:pStyle w:val="Compact"/>
              <w:jc w:val="left"/>
            </w:pPr>
            <w:r>
              <w:rPr>
                <w:sz w:val="18"/>
              </w:rPr>
              <w:t xml:space="preserve">Central VT Medical Center (Barre)</w:t>
            </w:r>
          </w:p>
        </w:tc>
        <w:tc>
          <w:tcPr>
            <w:tcW w:w="750" w:type="dxa"/>
          </w:tcPr>
          <w:p>
            <w:pPr>
              <w:pStyle w:val="Compact"/>
              <w:jc w:val="left"/>
            </w:pPr>
            <w:r>
              <w:rPr>
                <w:sz w:val="18"/>
              </w:rPr>
              <w:t xml:space="preserve">5</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Radiation therapy and neurology COEs. Washington County (Barre/Montpelier) is second most populous HSA.</w:t>
            </w:r>
          </w:p>
        </w:tc>
      </w:tr>
      <w:tr>
        <w:trPr/>
        <w:tc>
          <w:tcPr>
            <w:tcW w:w="2815" w:type="dxa"/>
          </w:tcPr>
          <w:p>
            <w:pPr>
              <w:pStyle w:val="Compact"/>
              <w:jc w:val="left"/>
            </w:pPr>
            <w:r>
              <w:rPr>
                <w:sz w:val="18"/>
              </w:rPr>
              <w:t xml:space="preserve">NW Medical Center (St. Albans)</w:t>
            </w:r>
          </w:p>
        </w:tc>
        <w:tc>
          <w:tcPr>
            <w:tcW w:w="750" w:type="dxa"/>
          </w:tcPr>
          <w:p>
            <w:pPr>
              <w:pStyle w:val="Compact"/>
              <w:jc w:val="left"/>
            </w:pPr>
            <w:r>
              <w:rPr>
                <w:sz w:val="18"/>
              </w:rPr>
              <w:t xml:space="preserve">4</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Northern VT anchor. Cancer surgery and radiation COEs. Franklin County workforce hub.</w:t>
            </w:r>
          </w:p>
        </w:tc>
      </w:tr>
      <w:tr>
        <w:trPr/>
        <w:tc>
          <w:tcPr>
            <w:tcW w:w="2815" w:type="dxa"/>
          </w:tcPr>
          <w:p>
            <w:pPr>
              <w:pStyle w:val="Compact"/>
              <w:jc w:val="left"/>
            </w:pPr>
            <w:r>
              <w:rPr>
                <w:sz w:val="18"/>
              </w:rPr>
              <w:t xml:space="preserve">NE VT Regional Hospital (St. Johnsbury)</w:t>
            </w:r>
          </w:p>
        </w:tc>
        <w:tc>
          <w:tcPr>
            <w:tcW w:w="750" w:type="dxa"/>
          </w:tcPr>
          <w:p>
            <w:pPr>
              <w:pStyle w:val="Compact"/>
              <w:jc w:val="left"/>
            </w:pPr>
            <w:r>
              <w:rPr>
                <w:sz w:val="18"/>
              </w:rPr>
              <w:t xml:space="preserve">4</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Northeast Kingdom anchor — Essex/Caledonia/Orleans have highest uninsurance rates (6-8%) and most rural populations.</w:t>
            </w:r>
          </w:p>
        </w:tc>
      </w:tr>
      <w:tr>
        <w:trPr/>
        <w:tc>
          <w:tcPr>
            <w:tcW w:w="2815" w:type="dxa"/>
          </w:tcPr>
          <w:p>
            <w:pPr>
              <w:pStyle w:val="Compact"/>
              <w:jc w:val="left"/>
            </w:pPr>
            <w:r>
              <w:rPr>
                <w:sz w:val="18"/>
              </w:rPr>
              <w:t xml:space="preserve">Springfield Hospital</w:t>
            </w:r>
          </w:p>
        </w:tc>
        <w:tc>
          <w:tcPr>
            <w:tcW w:w="750" w:type="dxa"/>
          </w:tcPr>
          <w:p>
            <w:pPr>
              <w:pStyle w:val="Compact"/>
              <w:jc w:val="left"/>
            </w:pPr>
            <w:r>
              <w:rPr>
                <w:sz w:val="18"/>
              </w:rPr>
              <w:t xml:space="preserve">2</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Memory care and psych-adult COEs. High SUD rates in Windsor/Windham corridor.</w:t>
            </w:r>
          </w:p>
        </w:tc>
      </w:tr>
      <w:tr>
        <w:trPr/>
        <w:tc>
          <w:tcPr>
            <w:tcW w:w="2815" w:type="dxa"/>
          </w:tcPr>
          <w:p>
            <w:pPr>
              <w:pStyle w:val="Compact"/>
              <w:jc w:val="left"/>
            </w:pPr>
            <w:r>
              <w:rPr>
                <w:sz w:val="18"/>
              </w:rPr>
              <w:t xml:space="preserve">Copley Hospital (Morrisville)</w:t>
            </w:r>
          </w:p>
        </w:tc>
        <w:tc>
          <w:tcPr>
            <w:tcW w:w="750" w:type="dxa"/>
          </w:tcPr>
          <w:p>
            <w:pPr>
              <w:pStyle w:val="Compact"/>
              <w:jc w:val="left"/>
            </w:pPr>
            <w:r>
              <w:rPr>
                <w:sz w:val="18"/>
              </w:rPr>
              <w:t xml:space="preserve">2</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Orthopedics and rheumatology COEs. Lamoille County access point. Rural workforce housing challenge.</w:t>
            </w:r>
          </w:p>
        </w:tc>
      </w:tr>
      <w:tr>
        <w:trPr/>
        <w:tc>
          <w:tcPr>
            <w:tcW w:w="2815" w:type="dxa"/>
          </w:tcPr>
          <w:p>
            <w:pPr>
              <w:pStyle w:val="Compact"/>
              <w:jc w:val="left"/>
            </w:pPr>
            <w:r>
              <w:rPr>
                <w:sz w:val="18"/>
              </w:rPr>
              <w:t xml:space="preserve">Mt. Ascutney (White River Jct.)</w:t>
            </w:r>
          </w:p>
        </w:tc>
        <w:tc>
          <w:tcPr>
            <w:tcW w:w="750" w:type="dxa"/>
          </w:tcPr>
          <w:p>
            <w:pPr>
              <w:pStyle w:val="Compact"/>
              <w:jc w:val="left"/>
            </w:pPr>
            <w:r>
              <w:rPr>
                <w:sz w:val="18"/>
              </w:rPr>
              <w:t xml:space="preserve">1</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Rehabilitation COE. Dartmouth Health affiliation creates cross-border care opportunities.</w:t>
            </w:r>
          </w:p>
        </w:tc>
      </w:tr>
      <w:tr>
        <w:trPr>
          <w:cantSplit/>
        </w:trPr>
        <w:tc>
          <w:tcPr>
            <w:tcW w:w="2815" w:type="dxa"/>
          </w:tcPr>
          <w:p>
            <w:pPr>
              <w:pStyle w:val="Compact"/>
              <w:jc w:val="left"/>
            </w:pPr>
            <w:r>
              <w:rPr>
                <w:sz w:val="18"/>
              </w:rPr>
              <w:t xml:space="preserve">Grace Cottage, Gifford, North Country, Porter</w:t>
            </w:r>
          </w:p>
        </w:tc>
        <w:tc>
          <w:tcPr>
            <w:tcW w:w="750" w:type="dxa"/>
          </w:tcPr>
          <w:p>
            <w:pPr>
              <w:pStyle w:val="Compact"/>
              <w:jc w:val="left"/>
            </w:pPr>
            <w:r>
              <w:rPr>
                <w:sz w:val="18"/>
              </w:rPr>
              <w:t xml:space="preserve">TBD</w:t>
            </w:r>
          </w:p>
        </w:tc>
        <w:tc>
          <w:tcPr>
            <w:tcW w:w="1751" w:type="dxa"/>
          </w:tcPr>
          <w:p>
            <w:pPr>
              <w:pStyle w:val="Compact"/>
              <w:jc w:val="left"/>
            </w:pPr>
            <w:r>
              <w:rPr>
                <w:sz w:val="18"/>
              </w:rPr>
              <w:t xml:space="preserve">Tier 3 — Requires discussion</w:t>
            </w:r>
          </w:p>
        </w:tc>
        <w:tc>
          <w:tcPr>
            <w:tcW w:w="3754" w:type="dxa"/>
          </w:tcPr>
          <w:p>
            <w:pPr>
              <w:pStyle w:val="Compact"/>
              <w:jc w:val="left"/>
            </w:pPr>
            <w:r>
              <w:rPr>
                <w:sz w:val="18"/>
              </w:rPr>
              <w:t xml:space="preserve">Further assessment needed. REH conversion, CACC, and home-based care models all under consideration. RHT Program funds available for transition support.</w:t>
            </w:r>
          </w:p>
        </w:tc>
      </w:tr>
    </w:tbl>
    <w:p>
      <w:pPr>
        <w:pStyle w:val="Caption"/>
        <w:spacing w:before="120"/>
      </w:pPr>
      <w:r>
        <w:rPr>
          <w:i/>
          <w:iCs/>
        </w:rPr>
        <w:t xml:space="preserve">Figure 11.5 — Vermont 14-hospital regionalization framework: COE designations, tiers, and key operational considerations. Sources: Oliver Wyman Act 167 Report (2024); AHS Transformation Reports (2025).</w:t>
      </w:r>
    </w:p>
    <w:p>
      <w:pPr>
        <w:pStyle w:val="Heading3"/>
      </w:pPr>
      <w:r>
        <w:rPr>
          <w:color w:val="161B22"/>
        </w:rPr>
        <w:t xml:space="preserve">11.5.2  </w:t>
      </w:r>
      <w:bookmarkStart w:id="1324" w:name="_Toc1323"/>
      <w:r>
        <w:rPr>
          <w:b/>
          <w:bCs/>
          <w:color w:val="161B22"/>
        </w:rPr>
        <w:t xml:space="preserve">The Operational Mechanics of Regionalization</w:t>
      </w:r>
      <w:bookmarkEnd w:id="1324"/>
    </w:p>
    <w:p>
      <w:pPr>
        <w:pStyle w:val="FirstParagraph"/>
      </w:pPr>
      <w: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pPr>
        <w:pStyle w:val="BodyText"/>
      </w:pPr>
      <w:r>
        <w:t xml:space="preserve">Transfer infrastructure is the most visible immediate need. Oliver Wyman documented that Vermont currently has 31 separate EMS agencies that a provider may need to contact to arrange a patient transfer — a fragmentation that is simultaneously a patient safety risk and an operational cost. Vermont’s RHT Program application includes EMS transformation as a priority investment: professionalization and regionalization of EMS, improved inter-facility transfer coordination, and expanded telehealth to reduce unnecessary transfers. The November 2025 AHS report identified inter-facility transfer coordination as one of the primary statewide regionalization themes emerging from regional hospital convenings.</w:t>
      </w:r>
    </w:p>
    <w:p>
      <w:pPr>
        <w:pStyle w:val="BodyText"/>
      </w:pPr>
      <w:r>
        <w:t xml:space="preserve">Clinical network agreements formalize the referral relationships between RSCs and Tier 2/3 facilities. Oliver Wyman recommended that RSCs establish formal agreements to receive referrals from emergency departments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pPr>
        <w:pStyle w:val="BodyText"/>
      </w:pPr>
      <w:r>
        <w:t xml:space="preserve">Administrative shared services offer some of the largest near-term cost savings in the transformation agenda. Oliver Wyman identified three shared service opportunity areas as high-priority: supply chain (group purchasing), administrative functions (billing, coding, human resources, credentialing), and IT infrastructure. Vermont hospitals have begun early-stage discussions on group purchasing during the regional convenings. The administrative cost gap — $1,303 per discharge above benchmark — is where shared services can make the most immediate impact on the $400M+ savings target.</w:t>
      </w:r>
    </w:p>
    <w:p>
      <w:pPr>
        <w:pStyle w:val="BodyText"/>
      </w:pPr>
      <w: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tuition assistance, recruitment incentives with 5-year service obligations, scope-of-practice expansion for nurses and APRNs — are the supply-side response; workforce redistribution planning is the demand-side response.</w:t>
      </w:r>
    </w:p>
    <w:p>
      <w:pPr>
        <w:pStyle w:val="BodyText"/>
        <w:keepNext w:val="false"/>
      </w:pPr>
      <w:r>
        <w:t xml:space="preserve">Community engagement is the political prerequisite for all operational change. Oliver Wyman’s process demonstrated that communities are willing to accept difficult changes — service reductions, facility reconfiguration, changes in travel distances — when they have been genuinely engaged in the decision-making process and when they understand the alternative (unexpected closures) is worse. AHS has committed to continuing community engagement as transformation plans develop, expanding beyond hospital leadership to include community providers and other health and human services stakeholders as priorities are identified.</w:t>
      </w:r>
    </w:p>
    <w:p>
      <w:pPr>
        <w:pStyle w:val="Heading2"/>
        <w:pBdr>
          <w:top w:val="single" w:sz="6" w:space="10" w:color="C9D2DF"/>
        </w:pBdr>
        <w:keepNext w:val="false"/>
      </w:pPr>
      <w:r>
        <w:rPr>
          <w:color w:val="161B22"/>
        </w:rPr>
        <w:t xml:space="preserve">11.6  </w:t>
      </w:r>
      <w:bookmarkStart w:id="1325" w:name="_Toc1324"/>
      <w:r>
        <w:rPr>
          <w:b/>
          <w:bCs/>
          <w:color w:val="161B22"/>
        </w:rPr>
        <w:t xml:space="preserve">The Workforce Crisis — Vermont’s Most Binding Operational Constraint</w:t>
      </w:r>
      <w:bookmarkEnd w:id="1325"/>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370 FTE</w:t>
            </w:r>
          </w:p>
          <w:p>
            <w:pPr>
              <w:jc w:val="center"/>
              <w:spacing w:after="40"/>
            </w:pPr>
            <w:r>
              <w:rPr>
                <w:rFonts w:ascii="Calibri" w:hAnsi="Calibri"/>
                <w:b/>
                <w:sz w:val="16"/>
                <w:color w:val="1B3A6B"/>
              </w:rPr>
              <w:t>Primary Care Shortage by 2030</w:t>
            </w:r>
          </w:p>
        </w:tc>
        <w:tc>
          <w:tcPr>
            <w:tcW w:w="2268" w:type="dxa"/>
            <w:shd w:val="clear" w:color="auto" w:fill="E8F0FB"/>
            <w:vAlign w:val="center"/>
          </w:tcPr>
          <w:p>
            <w:pPr>
              <w:jc w:val="center"/>
              <w:spacing w:after="20" w:before="40"/>
            </w:pPr>
            <w:r>
              <w:rPr>
                <w:rFonts w:ascii="Calibri" w:hAnsi="Calibri"/>
                <w:b/>
                <w:sz w:val="16"/>
                <w:color w:val="1B3A6B"/>
              </w:rPr>
              <w:t>2.5%</w:t>
            </w:r>
          </w:p>
          <w:p>
            <w:pPr>
              <w:jc w:val="center"/>
              <w:spacing w:after="40"/>
            </w:pPr>
            <w:r>
              <w:rPr>
                <w:rFonts w:ascii="Calibri" w:hAnsi="Calibri"/>
                <w:b/>
                <w:sz w:val="16"/>
                <w:color w:val="1B3A6B"/>
              </w:rPr>
              <w:t>VT Unemployment Aug 2025</w:t>
            </w:r>
          </w:p>
        </w:tc>
        <w:tc>
          <w:tcPr>
            <w:tcW w:w="2268" w:type="dxa"/>
            <w:shd w:val="clear" w:color="auto" w:fill="E8F0FB"/>
            <w:vAlign w:val="center"/>
          </w:tcPr>
          <w:p>
            <w:pPr>
              <w:jc w:val="center"/>
              <w:spacing w:after="20" w:before="40"/>
            </w:pPr>
            <w:r>
              <w:rPr>
                <w:rFonts w:ascii="Calibri" w:hAnsi="Calibri"/>
                <w:b/>
                <w:sz w:val="16"/>
                <w:color w:val="1B3A6B"/>
              </w:rPr>
              <w:t>$195M</w:t>
            </w:r>
          </w:p>
          <w:p>
            <w:pPr>
              <w:jc w:val="center"/>
              <w:spacing w:after="40"/>
            </w:pPr>
            <w:r>
              <w:rPr>
                <w:rFonts w:ascii="Calibri" w:hAnsi="Calibri"/>
                <w:b/>
                <w:sz w:val="16"/>
                <w:color w:val="1B3A6B"/>
              </w:rPr>
              <w:t>RHT Workforce Investment</w:t>
            </w:r>
          </w:p>
        </w:tc>
        <w:tc>
          <w:tcPr>
            <w:tcW w:w="2268" w:type="dxa"/>
            <w:shd w:val="clear" w:color="auto" w:fill="E8F0FB"/>
            <w:vAlign w:val="center"/>
          </w:tcPr>
          <w:p>
            <w:pPr>
              <w:jc w:val="center"/>
              <w:spacing w:after="20" w:before="40"/>
            </w:pPr>
            <w:r>
              <w:rPr>
                <w:rFonts w:ascii="Calibri" w:hAnsi="Calibri"/>
                <w:b/>
                <w:sz w:val="16"/>
                <w:color w:val="1B3A6B"/>
              </w:rPr>
              <w:t>All 14</w:t>
            </w:r>
          </w:p>
          <w:p>
            <w:pPr>
              <w:jc w:val="center"/>
              <w:spacing w:after="40"/>
            </w:pPr>
            <w:r>
              <w:rPr>
                <w:rFonts w:ascii="Calibri" w:hAnsi="Calibri"/>
                <w:b/>
                <w:sz w:val="16"/>
                <w:color w:val="1B3A6B"/>
              </w:rPr>
              <w:t>Hospitals Citing MD Shortages</w:t>
            </w:r>
          </w:p>
        </w:tc>
      </w:tr>
    </w:tbl>
    <w:p>
      <w:pPr>
        <w:spacing w:after="120"/>
      </w:pPr>
    </w:p>
    <w:p>
      <w:pPr>
        <w:pStyle w:val="BodyText"/>
        <w:keepNext w:val="false"/>
      </w:pPr>
      <w: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pPr>
        <w:pStyle w:val="Heading3"/>
        <w:keepNext w:val="false"/>
      </w:pPr>
      <w:r>
        <w:rPr>
          <w:color w:val="161B22"/>
        </w:rPr>
        <w:t xml:space="preserve">11.6.1  </w:t>
      </w:r>
      <w:bookmarkStart w:id="1326" w:name="_Toc1325"/>
      <w:r>
        <w:rPr>
          <w:b/>
          <w:bCs/>
          <w:color w:val="161B22"/>
        </w:rPr>
        <w:t xml:space="preserve">The Dimensions of Vermont’s Workforce Crisis</w:t>
      </w:r>
      <w:bookmarkEnd w:id="1326"/>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Primary care physician shortfall by 2030 370 FTEs 112 family medicine, 190 other primary care (RHT application)</w:t>
            </w:r>
          </w:p>
        </w:tc>
        <w:tc>
          <w:tcPr>
            <w:shd w:val="clear" w:color="auto" w:fill="1B3A6B"/>
            <w:tcW w:w="4536" w:type="dxa"/>
          </w:tcPr>
          <w:p>
            <w:pPr>
              <w:pStyle w:val="Compact"/>
              <w:jc w:val="left"/>
            </w:pPr>
            <w:r>
              <w:rPr>
                <w:b/>
                <w:color w:val="FFFFFF"/>
                <w:sz w:val="18"/>
              </w:rPr>
              <w:t xml:space="preserve">Hospitals with physician shortages cited as primary operational challenge All 14 Physician shortage cited in Oliver Wyman operational challenges for every HSA</w:t>
            </w:r>
          </w:p>
        </w:tc>
      </w:tr>
      <w:tr>
        <w:trPr/>
        <w:tc>
          <w:tcPr>
            <w:tcW w:w="4536" w:type="dxa"/>
          </w:tcPr>
          <w:p>
            <w:pPr>
              <w:pStyle w:val="Compact"/>
              <w:jc w:val="left"/>
            </w:pPr>
            <w:r>
              <w:rPr>
                <w:sz w:val="18"/>
              </w:rPr>
              <w:t xml:space="preserve">RHT Program workforce investment $195M Over 5 years; tuition assistance, recruitment, 5-yr service obligations</w:t>
            </w:r>
          </w:p>
        </w:tc>
        <w:tc>
          <w:tcPr>
            <w:tcW w:w="4536" w:type="dxa"/>
          </w:tcPr>
          <w:p>
            <w:pPr>
              <w:pStyle w:val="Compact"/>
              <w:jc w:val="left"/>
            </w:pPr>
            <w:r>
              <w:rPr>
                <w:sz w:val="18"/>
              </w:rPr>
              <w:t xml:space="preserve">Vermont unemployment rate (August 2025) 2.5% Below 4.3% national rate; extremely tight labor market limiting healthcare recruitment</w:t>
            </w:r>
          </w:p>
        </w:tc>
      </w:tr>
    </w:tbl>
    <w:p>
      <w:pPr>
        <w:pStyle w:val="Caption"/>
        <w:spacing w:before="120"/>
      </w:pPr>
      <w:r>
        <w:rPr>
          <w:i/>
          <w:iCs/>
        </w:rPr>
        <w:t xml:space="preserve">Figure 11.6 — Vermont workforce crisis key metrics. Sources: Vermont RHT Program Application (November 2025); Oliver Wyman Act 167 Report; Vermont Department of Labor.</w:t>
      </w:r>
    </w:p>
    <w:p>
      <w:pPr>
        <w:pStyle w:val="BodyText"/>
      </w:pPr>
      <w:r>
        <w:t xml:space="preserve">Vermont’s workforce problem has five distinct but interconnected dimensions, each requiring a different intervention approach:</w:t>
      </w:r>
    </w:p>
    <w:p>
      <w:pPr>
        <w:pStyle w:val="BodyText"/>
      </w:pPr>
      <w:r>
        <w:t xml:space="preserve">Primary care shortage is both a supply problem and a productivity problem. Oliver Wyman made a counterintuitive finding that Vermont’s primary care shortage is partly a productivity issue, not purely a headcount problem: HRSA recognizes no Health Profession Shortage Areas in Vermont, and if primary care providers were supported to see three patients per hour, the state would have adequate supply.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pPr>
        <w:pStyle w:val="BodyText"/>
      </w:pPr>
      <w:r>
        <w:t xml:space="preserve">Specialist shortage drives regionalization urgency. Vermont cannot maintain specialist coverage at 14 hospitals across a state of 647,000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pPr>
        <w:pStyle w:val="BodyText"/>
      </w:pPr>
      <w:r>
        <w:t xml:space="preserve">Nursing shortage is the most acute staffing crisis at individual hospitals.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pPr>
        <w:pStyle w:val="BodyText"/>
      </w:pPr>
      <w: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pPr>
        <w:pStyle w:val="BodyText"/>
      </w:pPr>
      <w: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pPr>
        <w:pStyle w:val="Heading3"/>
      </w:pPr>
      <w:r>
        <w:rPr>
          <w:color w:val="161B22"/>
        </w:rPr>
        <w:t xml:space="preserve">11.6.2  </w:t>
      </w:r>
      <w:bookmarkStart w:id="1327" w:name="_Toc1326"/>
      <w:r>
        <w:rPr>
          <w:b/>
          <w:bCs/>
          <w:color w:val="161B22"/>
        </w:rPr>
        <w:t xml:space="preserve">Vermont’s Workforce Strategy: The RHT Investment Framework</w:t>
      </w:r>
      <w:bookmarkEnd w:id="1327"/>
    </w:p>
    <w:p>
      <w:pPr>
        <w:pStyle w:val="FirstParagraph"/>
      </w:pPr>
      <w:r>
        <w:t xml:space="preserve">Vermont’s Rural Health Transformation Program application dedicated a substantial portion of its $195M award to workforce infrastructure — treating workforce as capital investment rather than operating expense.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pPr>
        <w:pStyle w:val="Heading3"/>
      </w:pPr>
      <w:r>
        <w:rPr>
          <w:color w:val="161B22"/>
        </w:rPr>
        <w:t xml:space="preserve">11.6.3  </w:t>
      </w:r>
      <w:bookmarkStart w:id="1328" w:name="_Toc1327"/>
      <w:r>
        <w:rPr>
          <w:b/>
          <w:bCs/>
          <w:color w:val="161B22"/>
        </w:rPr>
        <w:t xml:space="preserve">RHT Workforce Investment Priorities</w:t>
      </w:r>
      <w:bookmarkEnd w:id="1328"/>
    </w:p>
    <w:p>
      <w:pPr>
        <w:pStyle w:val="FirstParagraph"/>
      </w:pPr>
      <w:r>
        <w:t xml:space="preserve">Vermont’s RHT Program application included five workforce investment areas, each designed to produce durable capacity rather than temporary staffing:</w:t>
      </w:r>
    </w:p>
    <w:p>
      <w:pPr>
        <w:pStyle w:val="BodyText"/>
      </w:pPr>
      <w:r>
        <w:t xml:space="preserve">Tuition assistance and loan forgiveness for nurses, physicians, APRNs, LNAs, home health aides, and other providers, with 5-year service obligations in Vermont — building a locally-rooted workforce pipeline</w:t>
      </w:r>
    </w:p>
    <w:p>
      <w:pPr>
        <w:pStyle w:val="BodyText"/>
      </w:pPr>
      <w:r>
        <w:t xml:space="preserve">On-site clinical training infrastructure — supporting teaching programs that keep medical students and residents in Vermont communities during training, increasing the probability they establish practices there</w:t>
      </w:r>
    </w:p>
    <w:p>
      <w:pPr>
        <w:pStyle w:val="BodyText"/>
      </w:pPr>
      <w:r>
        <w:t xml:space="preserve">Scope-of-practice training and support for APRNs, physician assistants, pharmacists, and EMTs — enabling Vermont to use its existing workforce at maximum capacity</w:t>
      </w:r>
    </w:p>
    <w:p>
      <w:pPr>
        <w:pStyle w:val="BodyText"/>
      </w:pPr>
      <w:r>
        <w:t xml:space="preserve">Community health worker training and deployment — building the SDOH navigation and care coordination workforce that population health management requires, drawing from the communities being served</w:t>
      </w:r>
    </w:p>
    <w:p>
      <w:pPr>
        <w:pStyle w:val="BodyText"/>
      </w:pPr>
      <w:r>
        <w:t xml:space="preserve">Interstate Medical Licensure Compact (IMLC) participation — enabling out-of-state providers to practice via telehealth in Vermont, reducing specialist access gaps without requiring physical relocation</w:t>
      </w:r>
    </w:p>
    <w:p>
      <w:pPr>
        <w:pStyle w:val="Heading2"/>
        <w:pBdr>
          <w:top w:val="single" w:sz="6" w:space="10" w:color="C9D2DF"/>
        </w:pBdr>
      </w:pPr>
      <w:r>
        <w:rPr>
          <w:color w:val="161B22"/>
        </w:rPr>
        <w:t xml:space="preserve">11.7  </w:t>
      </w:r>
      <w:bookmarkStart w:id="1329" w:name="_Toc1328"/>
      <w:r>
        <w:rPr>
          <w:b/>
          <w:bCs/>
          <w:color w:val="161B22"/>
        </w:rPr>
        <w:t xml:space="preserve">The Operations Metrics Framework — What AHS Must Track</w:t>
      </w:r>
      <w:bookmarkEnd w:id="1329"/>
    </w:p>
    <w:p>
      <w:pPr>
        <w:pStyle w:val="FirstParagraph"/>
        <w:keepNext w:val="false"/>
      </w:pPr>
      <w:r>
        <w:t xml:space="preserve">Effective operations management requires clear, measurable indicators of progress. AHS’s current transformation outcome framework (Figure 11.3) establishes a baseline measurement architecture, but it has acknowledged limitations: most data reflects 2023 or earlier performance, the impact of 2025 transformation activities will not appear in measures until 2026 or later, and some critical domains — mental health, SDOH, post-acute care — lack the consistent data infrastructure to support real-time monitoring.</w:t>
      </w:r>
    </w:p>
    <w:p>
      <w:pPr>
        <w:pStyle w:val="BodyText"/>
        <w:keepNext w:val="false"/>
      </w:pPr>
      <w:r>
        <w:t xml:space="preserve">For the Statewide Strategic Plan that AHS must deliver by December 2028, a more complete operations metrics framework is required. Drawing on Oliver Wyman’s five Act 167 goals and Act 68’s accountability metrics requirements, the following framework organizes the key operational indicators by domain:</w:t>
      </w:r>
    </w:p>
    <w:tbl>
      <w:tblPr>
        <w:tblStyle w:val="HTRTable"/>
        <w:tblLook w:firstRow="1" w:lastRow="0" w:firstColumn="0" w:lastColumn="0" w:noHBand="0" w:noVBand="1" w:val="0020"/>
        <w:tblW w:w="9072" w:type="dxa"/>
        <w:tblLayout w:type="fixed"/>
      </w:tblPr>
      <w:tblGrid>
        <w:gridCol w:w="1405"/>
        <w:gridCol w:w="2555"/>
        <w:gridCol w:w="2555"/>
        <w:gridCol w:w="2555"/>
      </w:tblGrid>
      <w:tr>
        <w:trPr>
          <w:tblHeader w:val="on"/>
          <w:cantSplit/>
        </w:trPr>
        <w:tc>
          <w:tcPr>
            <w:shd w:val="clear" w:color="auto" w:fill="1B3A6B"/>
            <w:tcW w:w="1405" w:type="dxa"/>
          </w:tcPr>
          <w:p>
            <w:pPr>
              <w:pStyle w:val="Compact"/>
              <w:jc w:val="left"/>
            </w:pPr>
            <w:r>
              <w:rPr>
                <w:b/>
                <w:color w:val="FFFFFF"/>
                <w:sz w:val="18"/>
              </w:rPr>
              <w:t xml:space="preserve">Domain</w:t>
            </w:r>
          </w:p>
        </w:tc>
        <w:tc>
          <w:tcPr>
            <w:shd w:val="clear" w:color="auto" w:fill="1B3A6B"/>
            <w:tcW w:w="2555" w:type="dxa"/>
          </w:tcPr>
          <w:p>
            <w:pPr>
              <w:pStyle w:val="Compact"/>
              <w:jc w:val="left"/>
            </w:pPr>
            <w:r>
              <w:rPr>
                <w:b/>
                <w:color w:val="FFFFFF"/>
                <w:sz w:val="18"/>
              </w:rPr>
              <w:t xml:space="preserve">Key metrics</w:t>
            </w:r>
          </w:p>
        </w:tc>
        <w:tc>
          <w:tcPr>
            <w:shd w:val="clear" w:color="auto" w:fill="1B3A6B"/>
            <w:tcW w:w="2555" w:type="dxa"/>
          </w:tcPr>
          <w:p>
            <w:pPr>
              <w:pStyle w:val="Compact"/>
              <w:jc w:val="left"/>
            </w:pPr>
            <w:r>
              <w:rPr>
                <w:b/>
                <w:color w:val="FFFFFF"/>
                <w:sz w:val="18"/>
              </w:rPr>
              <w:t xml:space="preserve">Data source</w:t>
            </w:r>
          </w:p>
        </w:tc>
        <w:tc>
          <w:tcPr>
            <w:shd w:val="clear" w:color="auto" w:fill="1B3A6B"/>
            <w:tcW w:w="2555" w:type="dxa"/>
          </w:tcPr>
          <w:p>
            <w:pPr>
              <w:pStyle w:val="Compact"/>
              <w:jc w:val="left"/>
            </w:pPr>
            <w:r>
              <w:rPr>
                <w:b/>
                <w:color w:val="FFFFFF"/>
                <w:sz w:val="18"/>
              </w:rPr>
              <w:t xml:space="preserve">Target direction</w:t>
            </w:r>
          </w:p>
        </w:tc>
      </w:tr>
      <w:tr>
        <w:trPr>
          <w:cantSplit/>
        </w:trPr>
        <w:tc>
          <w:tcPr>
            <w:tcW w:w="1405" w:type="dxa"/>
          </w:tcPr>
          <w:p>
            <w:pPr>
              <w:pStyle w:val="Compact"/>
              <w:jc w:val="left"/>
            </w:pPr>
            <w:r>
              <w:rPr>
                <w:sz w:val="18"/>
              </w:rPr>
              <w:t xml:space="preserve">Hospital financial sustainability</w:t>
            </w:r>
          </w:p>
        </w:tc>
        <w:tc>
          <w:tcPr>
            <w:tcW w:w="2555" w:type="dxa"/>
          </w:tcPr>
          <w:p>
            <w:pPr>
              <w:pStyle w:val="Compact"/>
              <w:jc w:val="left"/>
            </w:pPr>
            <w:r>
              <w:rPr>
                <w:sz w:val="18"/>
              </w:rPr>
              <w:t xml:space="preserve">Operating profit per adjusted discharge by hospital type; management/admin cost per adjusted discharge; days cash on hand; bond ratings; travel nurse cost as % of total labor</w:t>
            </w:r>
          </w:p>
        </w:tc>
        <w:tc>
          <w:tcPr>
            <w:tcW w:w="2555" w:type="dxa"/>
          </w:tcPr>
          <w:p>
            <w:pPr>
              <w:pStyle w:val="Compact"/>
              <w:jc w:val="left"/>
            </w:pPr>
            <w:r>
              <w:rPr>
                <w:sz w:val="18"/>
              </w:rPr>
              <w:t xml:space="preserve">GMCB hospital budget data; CMS cost reports; NASHP Hospital Cost Tool</w:t>
            </w:r>
          </w:p>
        </w:tc>
        <w:tc>
          <w:tcPr>
            <w:tcW w:w="2555" w:type="dxa"/>
          </w:tcPr>
          <w:p>
            <w:pPr>
              <w:pStyle w:val="Compact"/>
              <w:jc w:val="left"/>
            </w:pPr>
            <w:r>
              <w:rPr>
                <w:sz w:val="18"/>
              </w:rPr>
              <w:t xml:space="preserve">CAH: toward $2,784 benchmark. PPS admin cost: toward $1,427 benchmark. Travel nursing: reduce toward 5-10% of total labor</w:t>
            </w:r>
          </w:p>
        </w:tc>
      </w:tr>
      <w:tr>
        <w:trPr/>
        <w:tc>
          <w:tcPr>
            <w:tcW w:w="1405" w:type="dxa"/>
          </w:tcPr>
          <w:p>
            <w:pPr>
              <w:pStyle w:val="Compact"/>
              <w:jc w:val="left"/>
            </w:pPr>
            <w:r>
              <w:rPr>
                <w:sz w:val="18"/>
              </w:rPr>
              <w:t xml:space="preserve">Care access</w:t>
            </w:r>
          </w:p>
        </w:tc>
        <w:tc>
          <w:tcPr>
            <w:tcW w:w="2555" w:type="dxa"/>
          </w:tcPr>
          <w:p>
            <w:pPr>
              <w:pStyle w:val="Compact"/>
              <w:jc w:val="left"/>
            </w:pPr>
            <w:r>
              <w:rPr>
                <w:sz w:val="18"/>
              </w:rPr>
              <w:t xml:space="preserve">% primary care practices accepting new Medicaid patients; wait times for new patient appointments; potentially avoidable ED visit rate; 30-day follow-up after ED visit for mental illness and SUD</w:t>
            </w:r>
          </w:p>
        </w:tc>
        <w:tc>
          <w:tcPr>
            <w:tcW w:w="2555" w:type="dxa"/>
          </w:tcPr>
          <w:p>
            <w:pPr>
              <w:pStyle w:val="Compact"/>
              <w:jc w:val="left"/>
            </w:pPr>
            <w:r>
              <w:rPr>
                <w:sz w:val="18"/>
              </w:rPr>
              <w:t xml:space="preserve">VCCI; GMCB; VDH; Blueprint for Health</w:t>
            </w:r>
          </w:p>
        </w:tc>
        <w:tc>
          <w:tcPr>
            <w:tcW w:w="2555" w:type="dxa"/>
          </w:tcPr>
          <w:p>
            <w:pPr>
              <w:pStyle w:val="Compact"/>
              <w:jc w:val="left"/>
            </w:pPr>
            <w:r>
              <w:rPr>
                <w:sz w:val="18"/>
              </w:rPr>
              <w:t xml:space="preserve">Primary care acceptance: increase from 59%. Avoidable ED visits: reduce from 32.3%. 30-day MH follow-up: increase from 76%</w:t>
            </w:r>
          </w:p>
        </w:tc>
      </w:tr>
      <w:tr>
        <w:trPr/>
        <w:tc>
          <w:tcPr>
            <w:tcW w:w="1405" w:type="dxa"/>
          </w:tcPr>
          <w:p>
            <w:pPr>
              <w:pStyle w:val="Compact"/>
              <w:jc w:val="left"/>
            </w:pPr>
            <w:r>
              <w:rPr>
                <w:sz w:val="18"/>
              </w:rPr>
              <w:t xml:space="preserve">Population health</w:t>
            </w:r>
          </w:p>
        </w:tc>
        <w:tc>
          <w:tcPr>
            <w:tcW w:w="2555" w:type="dxa"/>
          </w:tcPr>
          <w:p>
            <w:pPr>
              <w:pStyle w:val="Compact"/>
              <w:jc w:val="left"/>
            </w:pPr>
            <w:r>
              <w:rPr>
                <w:sz w:val="18"/>
              </w:rPr>
              <w:t xml:space="preserve">Hypertension control rate in PCMH patients; diabetes HbA1c not in control; all-cause readmission rate; ED visits for suicide ideation/self-harm; ED visits for opioid overdose</w:t>
            </w:r>
          </w:p>
        </w:tc>
        <w:tc>
          <w:tcPr>
            <w:tcW w:w="2555" w:type="dxa"/>
          </w:tcPr>
          <w:p>
            <w:pPr>
              <w:pStyle w:val="Compact"/>
              <w:jc w:val="left"/>
            </w:pPr>
            <w:r>
              <w:rPr>
                <w:sz w:val="18"/>
              </w:rPr>
              <w:t xml:space="preserve">Blueprint for Health; VDH; CMS</w:t>
            </w:r>
          </w:p>
        </w:tc>
        <w:tc>
          <w:tcPr>
            <w:tcW w:w="2555" w:type="dxa"/>
          </w:tcPr>
          <w:p>
            <w:pPr>
              <w:pStyle w:val="Compact"/>
              <w:jc w:val="left"/>
            </w:pPr>
            <w:r>
              <w:rPr>
                <w:sz w:val="18"/>
              </w:rPr>
              <w:t xml:space="preserve">Hypertension control: maintain 77%; diabetes: reduce 22% not-controlled; readmission: maintain at/below 14.8%</w:t>
            </w:r>
          </w:p>
        </w:tc>
      </w:tr>
      <w:tr>
        <w:trPr/>
        <w:tc>
          <w:tcPr>
            <w:tcW w:w="1405" w:type="dxa"/>
          </w:tcPr>
          <w:p>
            <w:pPr>
              <w:pStyle w:val="Compact"/>
              <w:jc w:val="left"/>
            </w:pPr>
            <w:r>
              <w:rPr>
                <w:sz w:val="18"/>
              </w:rPr>
              <w:t xml:space="preserve">Cost and affordability</w:t>
            </w:r>
          </w:p>
        </w:tc>
        <w:tc>
          <w:tcPr>
            <w:tcW w:w="2555" w:type="dxa"/>
          </w:tcPr>
          <w:p>
            <w:pPr>
              <w:pStyle w:val="Compact"/>
              <w:jc w:val="left"/>
            </w:pPr>
            <w:r>
              <w:rPr>
                <w:sz w:val="18"/>
              </w:rPr>
              <w:t xml:space="preserve">Per-member-per-month total cost of care trend; commercial premium growth rate; individual market affordability for medium-high utilization family; medical loss ratio for marketplace plans</w:t>
            </w:r>
          </w:p>
        </w:tc>
        <w:tc>
          <w:tcPr>
            <w:tcW w:w="2555" w:type="dxa"/>
          </w:tcPr>
          <w:p>
            <w:pPr>
              <w:pStyle w:val="Compact"/>
              <w:jc w:val="left"/>
            </w:pPr>
            <w:r>
              <w:rPr>
                <w:sz w:val="18"/>
              </w:rPr>
              <w:t xml:space="preserve">GMCB; insurance rate filings; CMS; VHCURES</w:t>
            </w:r>
          </w:p>
        </w:tc>
        <w:tc>
          <w:tcPr>
            <w:tcW w:w="2555" w:type="dxa"/>
          </w:tcPr>
          <w:p>
            <w:pPr>
              <w:pStyle w:val="Compact"/>
              <w:jc w:val="left"/>
            </w:pPr>
            <w:r>
              <w:rPr>
                <w:sz w:val="18"/>
              </w:rPr>
              <w:t xml:space="preserve">PMPM cost: below AHEAD total cost of care targets. Premium growth: reduce toward CPI. MLR: maintain 89%+</w:t>
            </w:r>
          </w:p>
        </w:tc>
      </w:tr>
      <w:tr>
        <w:trPr/>
        <w:tc>
          <w:tcPr>
            <w:tcW w:w="1405" w:type="dxa"/>
          </w:tcPr>
          <w:p>
            <w:pPr>
              <w:pStyle w:val="Compact"/>
              <w:jc w:val="left"/>
            </w:pPr>
            <w:r>
              <w:rPr>
                <w:sz w:val="18"/>
              </w:rPr>
              <w:t xml:space="preserve">Equity</w:t>
            </w:r>
          </w:p>
        </w:tc>
        <w:tc>
          <w:tcPr>
            <w:tcW w:w="2555" w:type="dxa"/>
          </w:tcPr>
          <w:p>
            <w:pPr>
              <w:pStyle w:val="Compact"/>
              <w:jc w:val="left"/>
            </w:pPr>
            <w:r>
              <w:rPr>
                <w:sz w:val="18"/>
              </w:rPr>
              <w:t xml:space="preserve">Geographic variation in primary care access by county; health outcomes variation by income and race/ethnicity; uninsured rate by county; Medicaid acceptance rates by region</w:t>
            </w:r>
          </w:p>
        </w:tc>
        <w:tc>
          <w:tcPr>
            <w:tcW w:w="2555" w:type="dxa"/>
          </w:tcPr>
          <w:p>
            <w:pPr>
              <w:pStyle w:val="Compact"/>
              <w:jc w:val="left"/>
            </w:pPr>
            <w:r>
              <w:rPr>
                <w:sz w:val="18"/>
              </w:rPr>
              <w:t xml:space="preserve">VDH BRFSS; GMCB; VHCURES</w:t>
            </w:r>
          </w:p>
        </w:tc>
        <w:tc>
          <w:tcPr>
            <w:tcW w:w="2555" w:type="dxa"/>
          </w:tcPr>
          <w:p>
            <w:pPr>
              <w:pStyle w:val="Compact"/>
              <w:jc w:val="left"/>
            </w:pPr>
            <w:r>
              <w:rPr>
                <w:sz w:val="18"/>
              </w:rPr>
              <w:t xml:space="preserve">Northeast Kingdom uninsurance gap: reduce from 6-8% toward statewide 3%. Medicaid acceptance: increase across all regions</w:t>
            </w:r>
          </w:p>
        </w:tc>
      </w:tr>
      <w:tr>
        <w:trPr>
          <w:cantSplit/>
        </w:trPr>
        <w:tc>
          <w:tcPr>
            <w:tcW w:w="1405" w:type="dxa"/>
          </w:tcPr>
          <w:p>
            <w:pPr>
              <w:pStyle w:val="Compact"/>
              <w:jc w:val="left"/>
            </w:pPr>
            <w:r>
              <w:rPr>
                <w:sz w:val="18"/>
              </w:rPr>
              <w:t xml:space="preserve">Operations efficiency</w:t>
            </w:r>
          </w:p>
        </w:tc>
        <w:tc>
          <w:tcPr>
            <w:tcW w:w="2555" w:type="dxa"/>
          </w:tcPr>
          <w:p>
            <w:pPr>
              <w:pStyle w:val="Compact"/>
              <w:jc w:val="left"/>
            </w:pPr>
            <w:r>
              <w:rPr>
                <w:sz w:val="18"/>
              </w:rPr>
              <w:t xml:space="preserve">Hospital-to-hospital transfer completion rate and time; EMS response time by county; shared service adoption rate; administrative cost trend; COE referral volume by specialty</w:t>
            </w:r>
          </w:p>
        </w:tc>
        <w:tc>
          <w:tcPr>
            <w:tcW w:w="2555" w:type="dxa"/>
          </w:tcPr>
          <w:p>
            <w:pPr>
              <w:pStyle w:val="Compact"/>
              <w:jc w:val="left"/>
            </w:pPr>
            <w:r>
              <w:rPr>
                <w:sz w:val="18"/>
              </w:rPr>
              <w:t xml:space="preserve">EMS records; GMCB; hospital transformation plans</w:t>
            </w:r>
          </w:p>
        </w:tc>
        <w:tc>
          <w:tcPr>
            <w:tcW w:w="2555" w:type="dxa"/>
          </w:tcPr>
          <w:p>
            <w:pPr>
              <w:pStyle w:val="Compact"/>
              <w:jc w:val="left"/>
            </w:pPr>
            <w:r>
              <w:rPr>
                <w:sz w:val="18"/>
              </w:rPr>
              <w:t xml:space="preserve">Transfer completion: establish baseline and reduce time. Admin cost trend: negative year-over-year. COE referral volume: increase as regionalization advances</w:t>
            </w:r>
          </w:p>
        </w:tc>
      </w:tr>
    </w:tbl>
    <w:p>
      <w:pPr>
        <w:pStyle w:val="Caption"/>
        <w:spacing w:before="120"/>
      </w:pPr>
      <w:r>
        <w:rPr>
          <w:i/>
          <w:iCs/>
        </w:rPr>
        <w:t xml:space="preserve">Figure 11.7 — Vermont health system transformation: comprehensive operations metrics framework. Sources: Act 68 of 2025; AHS Transformation Report (November 2025); Oliver Wyman Act 167 Report.</w:t>
      </w:r>
    </w:p>
    <w:p>
      <w:pPr>
        <w:pStyle w:val="BodyText"/>
      </w:pPr>
      <w: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acknowledgment in its November 2025 report that most available measures reflect 2023 or earlier performance is not an evasion — it is an accurate description of the measurement reality. Policymakers and oversight bodies need to understand this lag and resist the temptation to declare failure when early data does not yet show improvement.</w:t>
      </w:r>
    </w:p>
    <w:p>
      <w:pPr>
        <w:pStyle w:val="Heading2"/>
        <w:pBdr>
          <w:top w:val="single" w:sz="6" w:space="10" w:color="C9D2DF"/>
        </w:pBdr>
      </w:pPr>
      <w:r>
        <w:rPr>
          <w:color w:val="161B22"/>
        </w:rPr>
        <w:t xml:space="preserve">11.8  </w:t>
      </w:r>
      <w:bookmarkStart w:id="1330" w:name="_Toc1329"/>
      <w:r>
        <w:rPr>
          <w:b/>
          <w:bCs/>
          <w:color w:val="161B22"/>
        </w:rPr>
        <w:t xml:space="preserve">AHS as System Operator — Organizational Design for the 2028 Mandate</w:t>
      </w:r>
      <w:bookmarkEnd w:id="1330"/>
    </w:p>
    <w:p>
      <w:pPr>
        <w:pStyle w:val="FirstParagraph"/>
      </w:pPr>
      <w: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but the organization is restructuring.</w:t>
      </w:r>
    </w:p>
    <w:p>
      <w:pPr>
        <w:pStyle w:val="Heading3"/>
      </w:pPr>
      <w:r>
        <w:rPr>
          <w:color w:val="161B22"/>
        </w:rPr>
        <w:t xml:space="preserve">11.8.1  </w:t>
      </w:r>
      <w:bookmarkStart w:id="1331" w:name="_Toc1330"/>
      <w:r>
        <w:rPr>
          <w:b/>
          <w:bCs/>
          <w:color w:val="161B22"/>
        </w:rPr>
        <w:t xml:space="preserve">The Current Organizational Gaps</w:t>
      </w:r>
      <w:bookmarkEnd w:id="1331"/>
    </w:p>
    <w:p>
      <w:pPr>
        <w:pStyle w:val="FirstParagraph"/>
      </w:pPr>
      <w:r>
        <w:t xml:space="preserve">Oliver Wyman identified four specific organizational gaps in AHS that impede transformation execution. These are not criticisms of individuals — they reflect an organizational structure designed for a different era that has not yet adapted to the system operator role Act 68 requires.</w:t>
      </w:r>
    </w:p>
    <w:p>
      <w:pPr>
        <w:pStyle w:val="BodyText"/>
      </w:pPr>
      <w: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pPr>
        <w:pStyle w:val="BodyText"/>
      </w:pPr>
      <w:r>
        <w:t xml:space="preserve">Absence of a Planning and Effectiveness function. AHS currently lacks a dedicated analytical unit that can calculate the financial and access impacts of service site changes, monitor access and affordability across community providers, and track the quality, access, and equity metrics that the Statewide Strategic Plan will require. The analytics vendor procurement in partnership with GMCB addresses part of this gap, but the internal capacity to interpret, apply, and act on analytical outputs is a separate organizational requirement.</w:t>
      </w:r>
    </w:p>
    <w:p>
      <w:pPr>
        <w:pStyle w:val="BodyText"/>
      </w:pPr>
      <w:r>
        <w:t xml:space="preserve">Under-resourcing for the transformation management function. Act 68 requires AHS to simultaneously negotiate with CMS on AHEAD implementation, manage 14 hospital transformation planning processes, develop the Statewide Strategic Plan, oversee RHT Program implementation, coordinate with GMCB on RBP and global budget design, and report monthly to the legislature. The Health Care Reform Office, recently reorganized and supplemented by contractor support, is managing a workload that probably requires 50-70% more staff than currently exist. The RHT Program award explicitly includes funds for hiring staff to oversee its implementation.</w:t>
      </w:r>
    </w:p>
    <w:p>
      <w:pPr>
        <w:pStyle w:val="BodyText"/>
      </w:pPr>
      <w: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pPr>
        <w:pStyle w:val="Heading3"/>
      </w:pPr>
      <w:r>
        <w:rPr>
          <w:color w:val="161B22"/>
        </w:rPr>
        <w:t xml:space="preserve">11.8.2  </w:t>
      </w:r>
      <w:bookmarkStart w:id="1332" w:name="_Toc1331"/>
      <w:r>
        <w:rPr>
          <w:b/>
          <w:bCs/>
          <w:color w:val="161B22"/>
        </w:rPr>
        <w:t xml:space="preserve">The Emerging Solution: A Population Health Management Operating Model</w:t>
      </w:r>
      <w:bookmarkEnd w:id="1332"/>
    </w:p>
    <w:p>
      <w:pPr>
        <w:pStyle w:val="FirstParagraph"/>
      </w:pPr>
      <w: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pPr>
        <w:pStyle w:val="BodyText"/>
      </w:pPr>
      <w:r>
        <w:t xml:space="preserve">At the statewide level, AHS functions as the system architect: setting the strategic direction, establishing the payment reform framework (in partnership with GMCB), allocating capital (RHT Program, AHEAD EAST Fund, Act 68 grants), and monitoring system performance against the five Act 167 goals.</w:t>
      </w:r>
    </w:p>
    <w:p>
      <w:pPr>
        <w:pStyle w:val="BodyText"/>
      </w:pPr>
      <w: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pPr>
        <w:pStyle w:val="BodyText"/>
      </w:pPr>
      <w: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pPr>
        <w:pStyle w:val="Heading2"/>
        <w:pBdr>
          <w:top w:val="single" w:sz="6" w:space="10" w:color="C9D2DF"/>
        </w:pBdr>
        <w:keepNext w:val="false"/>
      </w:pPr>
      <w:r>
        <w:rPr>
          <w:color w:val="161B22"/>
        </w:rPr>
        <w:t xml:space="preserve">11.9  </w:t>
      </w:r>
      <w:bookmarkStart w:id="1333" w:name="_Toc1332"/>
      <w:r>
        <w:rPr>
          <w:b/>
          <w:bCs/>
          <w:color w:val="161B22"/>
        </w:rPr>
        <w:t xml:space="preserve">Work This Chapter on the Platform</w:t>
      </w:r>
      <w:bookmarkEnd w:id="1333"/>
    </w:p>
    <w:p>
      <w:pPr>
        <w:pStyle w:val="FirstParagraph"/>
        <w:keepNext w:val="false"/>
      </w:pPr>
      <w:r>
        <w:t xml:space="preserve">Chapter 11’s operations argument — administrative cost, workforce, execution — is measurable on the knowledge-and-workspace bench.</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Track six-pillar transformation status against baseline and target</w:t>
            </w:r>
          </w:p>
        </w:tc>
        <w:tc>
          <w:tcPr>
            <w:tcW w:w="947"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4062" w:type="dxa"/>
          </w:tcPr>
          <w:p>
            <w:pPr>
              <w:pStyle w:val="Compact"/>
              <w:jc w:val="left"/>
            </w:pPr>
            <w:r>
              <w:rPr>
                <w:sz w:val="18"/>
              </w:rPr>
              <w:t xml:space="preserve">Whether operational capacity is keeping pace with the statutory execution timeline.</w:t>
            </w:r>
          </w:p>
        </w:tc>
      </w:tr>
      <w:tr>
        <w:trPr/>
        <w:tc>
          <w:tcPr>
            <w:tcW w:w="4062" w:type="dxa"/>
          </w:tcPr>
          <w:p>
            <w:pPr>
              <w:pStyle w:val="Compact"/>
              <w:jc w:val="left"/>
            </w:pPr>
            <w:r>
              <w:rPr>
                <w:sz w:val="18"/>
              </w:rPr>
              <w:t xml:space="preserve">Project physician and nurse supply/demand and the cost of turnover</w:t>
            </w:r>
          </w:p>
        </w:tc>
        <w:tc>
          <w:tcPr>
            <w:tcW w:w="947" w:type="dxa"/>
          </w:tcPr>
          <w:p>
            <w:pPr>
              <w:pStyle w:val="Compact"/>
              <w:jc w:val="left"/>
            </w:pPr>
            <w:r>
              <w:rPr>
                <w:b/>
                <w:bCs/>
                <w:sz w:val="18"/>
              </w:rPr>
              <w:t xml:space="preserve">Workforce Modeler</w:t>
            </w:r>
            <w:r>
              <w:rPr>
                <w:sz w:val="18"/>
              </w:rPr>
              <w:t xml:space="preserve"> </w:t>
            </w:r>
            <w:r>
              <w:rPr>
                <w:sz w:val="18"/>
              </w:rPr>
              <w:t xml:space="preserve">—</w:t>
            </w:r>
            <w:r>
              <w:rPr>
                <w:sz w:val="18"/>
              </w:rPr>
              <w:t xml:space="preserve"> </w:t>
            </w:r>
            <w:r>
              <w:rPr>
                <w:rStyle w:val="VerbatimChar"/>
                <w:sz w:val="18"/>
              </w:rPr>
              <w:t xml:space="preserve">/research-lab/knowledge-workspace?tab=workforce</w:t>
            </w:r>
          </w:p>
        </w:tc>
        <w:tc>
          <w:tcPr>
            <w:tcW w:w="4062" w:type="dxa"/>
          </w:tcPr>
          <w:p>
            <w:pPr>
              <w:pStyle w:val="Compact"/>
              <w:jc w:val="left"/>
            </w:pPr>
            <w:r>
              <w:rPr>
                <w:sz w:val="18"/>
              </w:rPr>
              <w:t xml:space="preserve">The workforce gap that the $1,303 per-discharge administrative-cost gap must fund closing.</w:t>
            </w:r>
          </w:p>
        </w:tc>
      </w:tr>
      <w:tr>
        <w:trPr/>
        <w:tc>
          <w:tcPr>
            <w:tcW w:w="4062" w:type="dxa"/>
          </w:tcPr>
          <w:p>
            <w:pPr>
              <w:pStyle w:val="Compact"/>
              <w:jc w:val="left"/>
            </w:pPr>
            <w:r>
              <w:rPr>
                <w:sz w:val="18"/>
              </w:rPr>
              <w:t xml:space="preserve">Model the RHT-funded CIN’s shared services against the $1,303/discharge administrative premium</w:t>
            </w:r>
          </w:p>
        </w:tc>
        <w:tc>
          <w:tcPr>
            <w:tcW w:w="947" w:type="dxa"/>
          </w:tcPr>
          <w:p>
            <w:pPr>
              <w:pStyle w:val="Compact"/>
              <w:jc w:val="left"/>
            </w:pPr>
            <w:r>
              <w:rPr>
                <w:b/>
                <w:bCs/>
                <w:sz w:val="18"/>
              </w:rPr>
              <w:t xml:space="preserve">CIN &amp; Shared Services Modeler</w:t>
            </w:r>
            <w:r>
              <w:rPr>
                <w:sz w:val="18"/>
              </w:rPr>
              <w:t xml:space="preserve"> </w:t>
            </w:r>
            <w:r>
              <w:rPr>
                <w:sz w:val="18"/>
              </w:rPr>
              <w:t xml:space="preserve">—</w:t>
            </w:r>
            <w:r>
              <w:rPr>
                <w:sz w:val="18"/>
              </w:rPr>
              <w:t xml:space="preserve"> </w:t>
            </w:r>
            <w:r>
              <w:rPr>
                <w:rStyle w:val="VerbatimChar"/>
                <w:sz w:val="18"/>
              </w:rPr>
              <w:t xml:space="preserve">/research-lab/knowledge-workspace?tab=cin</w:t>
            </w:r>
          </w:p>
        </w:tc>
        <w:tc>
          <w:tcPr>
            <w:tcW w:w="4062" w:type="dxa"/>
          </w:tcPr>
          <w:p>
            <w:pPr>
              <w:pStyle w:val="Compact"/>
              <w:jc w:val="left"/>
            </w:pPr>
            <w:r>
              <w:rPr>
                <w:sz w:val="18"/>
              </w:rPr>
              <w:t xml:space="preserve">Where consolidating billing, coding, credentialing, HR, and IT across the 14 hospitals reaches the scale that pays for itself.</w:t>
            </w:r>
          </w:p>
        </w:tc>
      </w:tr>
      <w:tr>
        <w:trPr/>
        <w:tc>
          <w:tcPr>
            <w:tcW w:w="4062" w:type="dxa"/>
          </w:tcPr>
          <w:p>
            <w:pPr>
              <w:pStyle w:val="Compact"/>
              <w:jc w:val="left"/>
            </w:pPr>
            <w:r>
              <w:rPr>
                <w:sz w:val="18"/>
              </w:rPr>
              <w:t xml:space="preserve">Model regionalizing Vermont’s 31 EMS agencies and community-paramedicine ED diversion</w:t>
            </w:r>
          </w:p>
        </w:tc>
        <w:tc>
          <w:tcPr>
            <w:tcW w:w="947" w:type="dxa"/>
          </w:tcPr>
          <w:p>
            <w:pPr>
              <w:pStyle w:val="Compact"/>
              <w:jc w:val="left"/>
            </w:pPr>
            <w:r>
              <w:rPr>
                <w:b/>
                <w:bCs/>
                <w:sz w:val="18"/>
              </w:rPr>
              <w:t xml:space="preserve">EMS Transformation Modeler</w:t>
            </w:r>
            <w:r>
              <w:rPr>
                <w:sz w:val="18"/>
              </w:rPr>
              <w:t xml:space="preserve"> </w:t>
            </w:r>
            <w:r>
              <w:rPr>
                <w:sz w:val="18"/>
              </w:rPr>
              <w:t xml:space="preserve">—</w:t>
            </w:r>
            <w:r>
              <w:rPr>
                <w:sz w:val="18"/>
              </w:rPr>
              <w:t xml:space="preserve"> </w:t>
            </w:r>
            <w:r>
              <w:rPr>
                <w:rStyle w:val="VerbatimChar"/>
                <w:sz w:val="18"/>
              </w:rPr>
              <w:t xml:space="preserve">/research-lab/knowledge-workspace?tab=ems</w:t>
            </w:r>
          </w:p>
        </w:tc>
        <w:tc>
          <w:tcPr>
            <w:tcW w:w="4062" w:type="dxa"/>
          </w:tcPr>
          <w:p>
            <w:pPr>
              <w:pStyle w:val="Compact"/>
              <w:jc w:val="left"/>
            </w:pPr>
            <w:r>
              <w:rPr>
                <w:sz w:val="18"/>
              </w:rPr>
              <w:t xml:space="preserve">How treat-and-refer and regionalization convert fragmentation into margin under global budgets.</w:t>
            </w:r>
          </w:p>
        </w:tc>
      </w:tr>
      <w:tr>
        <w:trPr>
          <w:cantSplit/>
        </w:trPr>
        <w:tc>
          <w:tcPr>
            <w:tcW w:w="4062" w:type="dxa"/>
          </w:tcPr>
          <w:p>
            <w:pPr>
              <w:pStyle w:val="Compact"/>
              <w:jc w:val="left"/>
            </w:pPr>
            <w:r>
              <w:rPr>
                <w:sz w:val="18"/>
              </w:rPr>
              <w:t xml:space="preserve">Stress-test a hospital’s finances through the transition years</w:t>
            </w:r>
          </w:p>
        </w:tc>
        <w:tc>
          <w:tcPr>
            <w:tcW w:w="947"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4062" w:type="dxa"/>
          </w:tcPr>
          <w:p>
            <w:pPr>
              <w:pStyle w:val="Compact"/>
              <w:jc w:val="left"/>
            </w:pPr>
            <w:r>
              <w:rPr>
                <w:sz w:val="18"/>
              </w:rPr>
              <w:t xml:space="preserve">Whether the operations plan survives the FY2027-28 window, which is where transformation plans usually break.</w:t>
            </w:r>
          </w:p>
        </w:tc>
      </w:tr>
    </w:tbl>
    <w:p>
      <w:pPr>
        <w:pStyle w:val="Caption"/>
        <w:spacing w:before="120"/>
      </w:pPr>
      <w:r>
        <w:rPr>
          <w:i/>
          <w:iCs/>
        </w:rPr>
        <w:t xml:space="preserve">Figure 11.H — Hands-on platform tools for the Operations Pillar.</w:t>
      </w:r>
    </w:p>
    <w:p>
      <w:pPr>
        <w:pStyle w:val="Heading2"/>
        <w:pBdr>
          <w:top w:val="single" w:sz="6" w:space="10" w:color="C9D2DF"/>
        </w:pBdr>
      </w:pPr>
      <w:r>
        <w:rPr>
          <w:color w:val="161B22"/>
        </w:rPr>
        <w:t xml:space="preserve">11.10  </w:t>
      </w:r>
      <w:bookmarkStart w:id="1334" w:name="_Toc1333"/>
      <w:r>
        <w:rPr>
          <w:b/>
          <w:bCs/>
          <w:color w:val="161B22"/>
        </w:rPr>
        <w:t xml:space="preserve">Implications for You</w:t>
      </w:r>
      <w:bookmarkEnd w:id="1334"/>
    </w:p>
    <w:p>
      <w:pPr>
        <w:pStyle w:val="FirstParagraph"/>
      </w:pPr>
      <w:r>
        <w:t xml:space="preserve">If you are a Vermont hospital executive: The $1,303 per-discharge administrative cost gap between Vermont’s CAHs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w:t>
      </w:r>
    </w:p>
    <w:p>
      <w:pPr>
        <w:pStyle w:val="BodyText"/>
      </w:pPr>
      <w:r>
        <w:t xml:space="preserve">If you are an AHS or GMCB official: Vermont’s AHS restructuring — creating the Division of Planning and Effectiveness, the HSA Coordinator network, the Population Health Analytics function, and the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w:t>
      </w:r>
    </w:p>
    <w:p>
      <w:pPr>
        <w:pStyle w:val="BodyText"/>
      </w:pPr>
      <w:r>
        <w:t xml:space="preserve">If you are a Vermont legislator: Vermont’s 14-hospital system is operating with administrative cost structures designed for a fee-for-service world that Acts 167 and 68 are designed to replace. The RHRC engagement — the Rural Health Restructuring Collaborative working with all 14 hospitals on transformation planning — is the mechanism for building hospital-level Operations pillar capacity before AHEAD’s clinical accountability requirements begin. The legislature’s role is to fund RHRC adequately to complete this work before FY2027, not after. RHRC is not a consulting expense. It is pre-transformation infrastructure investment with a direct return in AHEAD performance year outcomes.</w:t>
      </w:r>
    </w:p>
    <w:p>
      <w:pPr>
        <w:pStyle w:val="BodyText"/>
      </w:pPr>
      <w:r>
        <w:t xml:space="preserve">If you are a national health policy professional: Vermont’s operations chapter is the most detailed account available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w:t>
      </w:r>
    </w:p>
    <w:p>
      <w:pPr>
        <w:pStyle w:val="BodyText"/>
      </w:pPr>
      <w:r>
        <w:t xml:space="preserve">This three-level operating model is not new to health system design — it is the architecture of every effective regional health system in the country. What is new in Vermont is the explicit statutory mandate (Act 68’s Strategic Plan requirement), the financial resources to build the infrastructure (RHT Program, AHEAD EAST Fund), and the political will — demonstrated through the extraordinary legislative sequence of Acts 167, 51, 55, and 68 — to execute the structural change rather than continuing to manage the decline.</w:t>
      </w:r>
    </w:p>
    <w:p>
      <w:pPr>
        <w:pStyle w:val="Heading2"/>
        <w:pBdr>
          <w:top w:val="single" w:sz="6" w:space="10" w:color="C9D2DF"/>
        </w:pBdr>
      </w:pPr>
      <w:r>
        <w:rPr>
          <w:color w:val="161B22"/>
        </w:rPr>
        <w:t xml:space="preserve">11.11  </w:t>
      </w:r>
      <w:bookmarkStart w:id="1335" w:name="_Toc1334"/>
      <w:r>
        <w:rPr>
          <w:b/>
          <w:bCs/>
          <w:color w:val="161B22"/>
        </w:rPr>
        <w:t xml:space="preserve">Revenue Cycle, HCC Coding, Credentialing, and Administrative Simplification</w:t>
      </w:r>
      <w:bookmarkEnd w:id="1335"/>
    </w:p>
    <w:p>
      <w:pPr>
        <w:pStyle w:val="Heading2"/>
        <w:pBdr>
          <w:top w:val="single" w:sz="6" w:space="10" w:color="C9D2DF"/>
        </w:pBdr>
      </w:pPr>
      <w:r>
        <w:rPr>
          <w:color w:val="161B22"/>
        </w:rPr>
        <w:t xml:space="preserve">11.12  </w:t>
      </w:r>
      <w:bookmarkStart w:id="1336" w:name="_Toc1335"/>
      <w:r>
        <w:rPr>
          <w:b/>
          <w:bCs/>
          <w:color w:val="161B22"/>
        </w:rPr>
        <w:t xml:space="preserve">Operations Where Money Actually Lives</w:t>
      </w:r>
      <w:bookmarkEnd w:id="1336"/>
    </w:p>
    <w:p>
      <w:pPr>
        <w:pStyle w:val="FirstParagraph"/>
      </w:pPr>
      <w: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pPr>
        <w:pStyle w:val="BodyText"/>
      </w:pPr>
      <w:r>
        <w:t xml:space="preserve">This chapter develops the operational mechanics of healthcare transformation — the specific processes, metrics, and management disciplines that determine whether value-based care contracts produce the results they are designed for. It is organized around four operational domains: revenue cycle transformation for VBC, HCC coding and risk adjustment excellence, credentialing efficiency, and the workforce operations framework.</w:t>
      </w:r>
    </w:p>
    <w:p>
      <w:pPr>
        <w:pStyle w:val="Heading2"/>
        <w:pBdr>
          <w:top w:val="single" w:sz="6" w:space="10" w:color="C9D2DF"/>
        </w:pBdr>
      </w:pPr>
      <w:r>
        <w:rPr>
          <w:color w:val="161B22"/>
        </w:rPr>
        <w:t xml:space="preserve">11.13  </w:t>
      </w:r>
      <w:bookmarkStart w:id="1337" w:name="_Toc1336"/>
      <w:r>
        <w:rPr>
          <w:b/>
          <w:bCs/>
          <w:color w:val="161B22"/>
        </w:rPr>
        <w:t xml:space="preserve">Revenue Cycle Transformation — From FFS Optimization to VBC Management</w:t>
      </w:r>
      <w:bookmarkEnd w:id="1337"/>
    </w:p>
    <w:p>
      <w:pPr>
        <w:pStyle w:val="FirstParagraph"/>
      </w:pPr>
      <w: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pPr>
        <w:pStyle w:val="BodyText"/>
      </w:pPr>
      <w: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pPr>
        <w:pStyle w:val="Heading3"/>
        <w:keepNext w:val="false"/>
      </w:pPr>
      <w:r>
        <w:rPr>
          <w:color w:val="161B22"/>
        </w:rPr>
        <w:t xml:space="preserve">11.13.1  </w:t>
      </w:r>
      <w:bookmarkStart w:id="1338" w:name="_Toc1337"/>
      <w:r>
        <w:rPr>
          <w:b/>
          <w:bCs/>
          <w:color w:val="161B22"/>
        </w:rPr>
        <w:t xml:space="preserve">Attribution Management — The VBC-Specific Revenue Function</w:t>
      </w:r>
      <w:bookmarkEnd w:id="1338"/>
    </w:p>
    <w:p>
      <w:pPr>
        <w:pStyle w:val="FirstParagraph"/>
        <w:keepNext w:val="false"/>
      </w:pPr>
      <w: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tbl>
      <w:tblPr>
        <w:tblStyle w:val="HTRTable"/>
        <w:tblLook w:firstRow="1" w:lastRow="0" w:firstColumn="0" w:lastColumn="0" w:noHBand="0" w:noVBand="1" w:val="0020"/>
        <w:tblW w:w="9072" w:type="dxa"/>
        <w:tblLayout w:type="fixed"/>
      </w:tblPr>
      <w:tblGrid>
        <w:gridCol w:w="1332"/>
        <w:gridCol w:w="2579"/>
        <w:gridCol w:w="2579"/>
        <w:gridCol w:w="2579"/>
      </w:tblGrid>
      <w:tr>
        <w:trPr>
          <w:tblHeader w:val="on"/>
          <w:cantSplit/>
        </w:trPr>
        <w:tc>
          <w:tcPr>
            <w:shd w:val="clear" w:color="auto" w:fill="1B3A6B"/>
            <w:tcW w:w="1332" w:type="dxa"/>
          </w:tcPr>
          <w:p>
            <w:pPr>
              <w:pStyle w:val="Compact"/>
              <w:jc w:val="left"/>
            </w:pPr>
            <w:r>
              <w:rPr>
                <w:b/>
                <w:color w:val="FFFFFF"/>
                <w:sz w:val="18"/>
              </w:rPr>
              <w:t xml:space="preserve">Attribution error type</w:t>
            </w:r>
          </w:p>
        </w:tc>
        <w:tc>
          <w:tcPr>
            <w:shd w:val="clear" w:color="auto" w:fill="1B3A6B"/>
            <w:tcW w:w="2579" w:type="dxa"/>
          </w:tcPr>
          <w:p>
            <w:pPr>
              <w:pStyle w:val="Compact"/>
              <w:jc w:val="left"/>
            </w:pPr>
            <w:r>
              <w:rPr>
                <w:b/>
                <w:color w:val="FFFFFF"/>
                <w:sz w:val="18"/>
              </w:rPr>
              <w:t xml:space="preserve">How it happens</w:t>
            </w:r>
          </w:p>
        </w:tc>
        <w:tc>
          <w:tcPr>
            <w:shd w:val="clear" w:color="auto" w:fill="1B3A6B"/>
            <w:tcW w:w="2579" w:type="dxa"/>
          </w:tcPr>
          <w:p>
            <w:pPr>
              <w:pStyle w:val="Compact"/>
              <w:jc w:val="left"/>
            </w:pPr>
            <w:r>
              <w:rPr>
                <w:b/>
                <w:color w:val="FFFFFF"/>
                <w:sz w:val="18"/>
              </w:rPr>
              <w:t xml:space="preserve">Financial impact</w:t>
            </w:r>
          </w:p>
        </w:tc>
        <w:tc>
          <w:tcPr>
            <w:shd w:val="clear" w:color="auto" w:fill="1B3A6B"/>
            <w:tcW w:w="2579" w:type="dxa"/>
          </w:tcPr>
          <w:p>
            <w:pPr>
              <w:pStyle w:val="Compact"/>
              <w:jc w:val="left"/>
            </w:pPr>
            <w:r>
              <w:rPr>
                <w:b/>
                <w:color w:val="FFFFFF"/>
                <w:sz w:val="18"/>
              </w:rPr>
              <w:t xml:space="preserve">Remediation</w:t>
            </w:r>
          </w:p>
        </w:tc>
      </w:tr>
      <w:tr>
        <w:trPr>
          <w:cantSplit/>
        </w:trPr>
        <w:tc>
          <w:tcPr>
            <w:tcW w:w="1332" w:type="dxa"/>
          </w:tcPr>
          <w:p>
            <w:pPr>
              <w:pStyle w:val="Compact"/>
              <w:jc w:val="left"/>
            </w:pPr>
            <w:r>
              <w:rPr>
                <w:sz w:val="18"/>
              </w:rPr>
              <w:t xml:space="preserve">False attributions</w:t>
            </w:r>
          </w:p>
        </w:tc>
        <w:tc>
          <w:tcPr>
            <w:tcW w:w="2579" w:type="dxa"/>
          </w:tcPr>
          <w:p>
            <w:pPr>
              <w:pStyle w:val="Compact"/>
              <w:jc w:val="left"/>
            </w:pPr>
            <w:r>
              <w:rPr>
                <w:sz w:val="18"/>
              </w:rPr>
              <w:t xml:space="preserve">Patients who receive care elsewhere are attributed to your organization due to a primary care visit that triggered attribution before the patient transferred care</w:t>
            </w:r>
          </w:p>
        </w:tc>
        <w:tc>
          <w:tcPr>
            <w:tcW w:w="2579" w:type="dxa"/>
          </w:tcPr>
          <w:p>
            <w:pPr>
              <w:pStyle w:val="Compact"/>
              <w:jc w:val="left"/>
            </w:pPr>
            <w:r>
              <w:rPr>
                <w:sz w:val="18"/>
              </w:rPr>
              <w:t xml:space="preserve">Your organization bears cost of care you did not deliver and cannot manage</w:t>
            </w:r>
          </w:p>
        </w:tc>
        <w:tc>
          <w:tcPr>
            <w:tcW w:w="2579" w:type="dxa"/>
          </w:tcPr>
          <w:p>
            <w:pPr>
              <w:pStyle w:val="Compact"/>
              <w:jc w:val="left"/>
            </w:pPr>
            <w:r>
              <w:rPr>
                <w:sz w:val="18"/>
              </w:rPr>
              <w:t xml:space="preserve">Regular attribution list review; proactive patient outreach to confirm active care relationship; request attribution corrections from payer using patient-level evidence</w:t>
            </w:r>
          </w:p>
        </w:tc>
      </w:tr>
      <w:tr>
        <w:trPr/>
        <w:tc>
          <w:tcPr>
            <w:tcW w:w="1332" w:type="dxa"/>
          </w:tcPr>
          <w:p>
            <w:pPr>
              <w:pStyle w:val="Compact"/>
              <w:jc w:val="left"/>
            </w:pPr>
            <w:r>
              <w:rPr>
                <w:sz w:val="18"/>
              </w:rPr>
              <w:t xml:space="preserve">Missing attributions</w:t>
            </w:r>
          </w:p>
        </w:tc>
        <w:tc>
          <w:tcPr>
            <w:tcW w:w="2579" w:type="dxa"/>
          </w:tcPr>
          <w:p>
            <w:pPr>
              <w:pStyle w:val="Compact"/>
              <w:jc w:val="left"/>
            </w:pPr>
            <w:r>
              <w:rPr>
                <w:sz w:val="18"/>
              </w:rPr>
              <w:t xml:space="preserve">Your highest-cost, highest-need patients are not attributed because they lack a primary care visit that would trigger attribution</w:t>
            </w:r>
          </w:p>
        </w:tc>
        <w:tc>
          <w:tcPr>
            <w:tcW w:w="2579" w:type="dxa"/>
          </w:tcPr>
          <w:p>
            <w:pPr>
              <w:pStyle w:val="Compact"/>
              <w:jc w:val="left"/>
            </w:pPr>
            <w:r>
              <w:rPr>
                <w:sz w:val="18"/>
              </w:rPr>
              <w:t xml:space="preserve">You lose the opportunity to earn shared savings for care management programs that benefit this population</w:t>
            </w:r>
          </w:p>
        </w:tc>
        <w:tc>
          <w:tcPr>
            <w:tcW w:w="2579" w:type="dxa"/>
          </w:tcPr>
          <w:p>
            <w:pPr>
              <w:pStyle w:val="Compact"/>
              <w:jc w:val="left"/>
            </w:pPr>
            <w:r>
              <w:rPr>
                <w:sz w:val="18"/>
              </w:rPr>
              <w:t xml:space="preserve">Proactive outreach to unattributed high-risk patients; care management programs that include primary care visits to establish attribution; PCMH recognition to improve attribution algorithms</w:t>
            </w:r>
          </w:p>
        </w:tc>
      </w:tr>
      <w:tr>
        <w:trPr/>
        <w:tc>
          <w:tcPr>
            <w:tcW w:w="1332" w:type="dxa"/>
          </w:tcPr>
          <w:p>
            <w:pPr>
              <w:pStyle w:val="Compact"/>
              <w:jc w:val="left"/>
            </w:pPr>
            <w:r>
              <w:rPr>
                <w:sz w:val="18"/>
              </w:rPr>
              <w:t xml:space="preserve">Incorrect benchmark attribution</w:t>
            </w:r>
          </w:p>
        </w:tc>
        <w:tc>
          <w:tcPr>
            <w:tcW w:w="2579" w:type="dxa"/>
          </w:tcPr>
          <w:p>
            <w:pPr>
              <w:pStyle w:val="Compact"/>
              <w:jc w:val="left"/>
            </w:pPr>
            <w:r>
              <w:rPr>
                <w:sz w:val="18"/>
              </w:rPr>
              <w:t xml:space="preserve">Attribution list errors inflate or deflate the risk adjustment factor applied to your benchmark</w:t>
            </w:r>
          </w:p>
        </w:tc>
        <w:tc>
          <w:tcPr>
            <w:tcW w:w="2579" w:type="dxa"/>
          </w:tcPr>
          <w:p>
            <w:pPr>
              <w:pStyle w:val="Compact"/>
              <w:jc w:val="left"/>
            </w:pPr>
            <w:r>
              <w:rPr>
                <w:sz w:val="18"/>
              </w:rPr>
              <w:t xml:space="preserve">Incorrect RAF produces a benchmark that doesn’t reflect your population’s actual cost burden</w:t>
            </w:r>
          </w:p>
        </w:tc>
        <w:tc>
          <w:tcPr>
            <w:tcW w:w="2579" w:type="dxa"/>
          </w:tcPr>
          <w:p>
            <w:pPr>
              <w:pStyle w:val="Compact"/>
              <w:jc w:val="left"/>
            </w:pPr>
            <w:r>
              <w:rPr>
                <w:sz w:val="18"/>
              </w:rPr>
              <w:t xml:space="preserve">Compare attribution list to actual patient panel; use clinical data to validate risk adjustment; submit corrected diagnoses codes through formal channels</w:t>
            </w:r>
          </w:p>
        </w:tc>
      </w:tr>
      <w:tr>
        <w:trPr>
          <w:cantSplit/>
        </w:trPr>
        <w:tc>
          <w:tcPr>
            <w:tcW w:w="1332" w:type="dxa"/>
          </w:tcPr>
          <w:p>
            <w:pPr>
              <w:pStyle w:val="Compact"/>
              <w:jc w:val="left"/>
            </w:pPr>
            <w:r>
              <w:rPr>
                <w:sz w:val="18"/>
              </w:rPr>
              <w:t xml:space="preserve">Retroactive attribution changes</w:t>
            </w:r>
          </w:p>
        </w:tc>
        <w:tc>
          <w:tcPr>
            <w:tcW w:w="2579" w:type="dxa"/>
          </w:tcPr>
          <w:p>
            <w:pPr>
              <w:pStyle w:val="Compact"/>
              <w:jc w:val="left"/>
            </w:pPr>
            <w:r>
              <w:rPr>
                <w:sz w:val="18"/>
              </w:rPr>
              <w:t xml:space="preserve">Payer changes attribution methodology mid-contract, shifting patients in or out of your attributed population</w:t>
            </w:r>
          </w:p>
        </w:tc>
        <w:tc>
          <w:tcPr>
            <w:tcW w:w="2579" w:type="dxa"/>
          </w:tcPr>
          <w:p>
            <w:pPr>
              <w:pStyle w:val="Compact"/>
              <w:jc w:val="left"/>
            </w:pPr>
            <w:r>
              <w:rPr>
                <w:sz w:val="18"/>
              </w:rPr>
              <w:t xml:space="preserve">Shared savings calculations change unexpectedly after performance year ends</w:t>
            </w:r>
          </w:p>
        </w:tc>
        <w:tc>
          <w:tcPr>
            <w:tcW w:w="2579" w:type="dxa"/>
          </w:tcPr>
          <w:p>
            <w:pPr>
              <w:pStyle w:val="Compact"/>
              <w:jc w:val="left"/>
            </w:pPr>
            <w:r>
              <w:rPr>
                <w:sz w:val="18"/>
              </w:rPr>
              <w:t xml:space="preserve">Negotiate prospective attribution methodology in contract; require prior notice of methodology changes; maintain your own attribution model to detect changes</w:t>
            </w:r>
          </w:p>
        </w:tc>
      </w:tr>
    </w:tbl>
    <w:p>
      <w:pPr>
        <w:pStyle w:val="Caption"/>
        <w:spacing w:before="120"/>
      </w:pPr>
      <w:r>
        <w:rPr>
          <w:i/>
          <w:iCs/>
        </w:rPr>
        <w:t xml:space="preserve">Figure 11.8 — Attribution error taxonomy and remediation. Source: HTR’s Operations pillar framework; ACO REACH and MSSP operational guidance.</w:t>
      </w:r>
    </w:p>
    <w:p>
      <w:pPr>
        <w:pStyle w:val="Heading3"/>
      </w:pPr>
      <w:r>
        <w:rPr>
          <w:color w:val="161B22"/>
        </w:rPr>
        <w:t xml:space="preserve">11.13.2  </w:t>
      </w:r>
      <w:bookmarkStart w:id="1339" w:name="_Toc1338"/>
      <w:r>
        <w:rPr>
          <w:b/>
          <w:bCs/>
          <w:color w:val="161B22"/>
        </w:rPr>
        <w:t xml:space="preserve">Total Cost of Care Monitoring — Seeing What You Cannot Bill</w:t>
      </w:r>
      <w:bookmarkEnd w:id="1339"/>
    </w:p>
    <w:p>
      <w:pPr>
        <w:pStyle w:val="FirstParagraph"/>
      </w:pPr>
      <w: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pPr>
        <w:pStyle w:val="BodyText"/>
      </w:pPr>
      <w: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pPr>
        <w:pStyle w:val="Heading2"/>
        <w:pBdr>
          <w:top w:val="single" w:sz="6" w:space="10" w:color="C9D2DF"/>
        </w:pBdr>
      </w:pPr>
      <w:r>
        <w:rPr>
          <w:color w:val="161B22"/>
        </w:rPr>
        <w:t xml:space="preserve">11.14  </w:t>
      </w:r>
      <w:bookmarkStart w:id="1340" w:name="_Toc1339"/>
      <w:r>
        <w:rPr>
          <w:b/>
          <w:bCs/>
          <w:color w:val="161B22"/>
        </w:rPr>
        <w:t xml:space="preserve">HCC Coding Excellence — The Risk Adjustment Foundation</w:t>
      </w:r>
      <w:bookmarkEnd w:id="1340"/>
    </w:p>
    <w:p>
      <w:pPr>
        <w:pStyle w:val="Heading3"/>
      </w:pPr>
      <w:r>
        <w:rPr>
          <w:color w:val="161B22"/>
        </w:rPr>
        <w:t xml:space="preserve">11.14.1  </w:t>
      </w:r>
      <w:bookmarkStart w:id="1341" w:name="_Toc1340"/>
      <w:r>
        <w:rPr>
          <w:b/>
          <w:bCs/>
          <w:color w:val="161B22"/>
        </w:rPr>
        <w:t xml:space="preserve">HCC Gap Closure: High-ROI Pre-AHEAD Action for Every Vermont Hospital</w:t>
      </w:r>
      <w:bookmarkEnd w:id="1341"/>
    </w:p>
    <w:p>
      <w:pPr>
        <w:pStyle w:val="FirstParagraph"/>
      </w:pPr>
      <w:r>
        <w:t xml:space="preserve">Every Vermont hospital should conduct a retrospective HCC gap analysis for their AHEAD-attributed Medicare population before January 2028.</w:t>
      </w:r>
    </w:p>
    <w:p>
      <w:pPr>
        <w:pStyle w:val="BodyText"/>
      </w:pPr>
      <w:r>
        <w:t xml:space="preserve">An organization that has under-coded its population’s chronic conditions will receive a lower global budget than its actual cost burden warrants.</w:t>
      </w:r>
    </w:p>
    <w:p>
      <w:pPr>
        <w:pStyle w:val="BodyText"/>
      </w:pPr>
      <w:r>
        <w:t xml:space="preserve">Getting HCC coding right before AHEAD launches is foundational financial preparation.</w:t>
      </w:r>
    </w:p>
    <w:p>
      <w:pPr>
        <w:pStyle w:val="BodyText"/>
      </w:pPr>
      <w: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pPr>
        <w:pStyle w:val="Heading3"/>
      </w:pPr>
      <w:r>
        <w:rPr>
          <w:color w:val="161B22"/>
        </w:rPr>
        <w:t xml:space="preserve">11.14.2  </w:t>
      </w:r>
      <w:bookmarkStart w:id="1342" w:name="_Toc1341"/>
      <w:r>
        <w:rPr>
          <w:b/>
          <w:bCs/>
          <w:color w:val="161B22"/>
        </w:rPr>
        <w:t xml:space="preserve">The HCC Model — How It Works</w:t>
      </w:r>
      <w:bookmarkEnd w:id="1342"/>
    </w:p>
    <w:p>
      <w:pPr>
        <w:pStyle w:val="FirstParagraph"/>
      </w:pPr>
      <w: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pPr>
        <w:pStyle w:val="BodyText"/>
      </w:pPr>
      <w: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pPr>
        <w:pStyle w:val="Heading3"/>
      </w:pPr>
      <w:r>
        <w:rPr>
          <w:color w:val="161B22"/>
        </w:rPr>
        <w:t xml:space="preserve">11.14.3  </w:t>
      </w:r>
      <w:bookmarkStart w:id="1343" w:name="_Toc1342"/>
      <w:r>
        <w:rPr>
          <w:b/>
          <w:bCs/>
          <w:color w:val="161B22"/>
        </w:rPr>
        <w:t xml:space="preserve">The HCC Gap Closure Process</w:t>
      </w:r>
      <w:bookmarkEnd w:id="1343"/>
    </w:p>
    <w:p>
      <w:pPr>
        <w:pStyle w:val="FirstParagraph"/>
      </w:pPr>
      <w: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pPr>
        <w:pStyle w:val="Compact"/>
        <w:numPr>
          <w:ilvl w:val="0"/>
          <w:numId w:val="1029"/>
        </w:numPr>
        <w:keepLines w:val="true"/>
        <w:keepNext w:val="true"/>
      </w:pPr>
      <w:r>
        <w:t xml:space="preserve">RAF analysis: Compare the organization’s average RAF against national and regional benchmarks for comparable populations. A RAF significantly below benchmark for a population with high chronic disease prevalence signals a coding gap.</w:t>
      </w:r>
    </w:p>
    <w:p>
      <w:pPr>
        <w:pStyle w:val="Compact"/>
        <w:numPr>
          <w:ilvl w:val="0"/>
          <w:numId w:val="1029"/>
        </w:numPr>
        <w:keepLines w:val="true"/>
        <w:keepNext w:val="true"/>
      </w:pPr>
      <w: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pPr>
        <w:pStyle w:val="Compact"/>
        <w:numPr>
          <w:ilvl w:val="0"/>
          <w:numId w:val="1029"/>
        </w:numPr>
        <w:keepNext w:val="false"/>
        <w:keepLines w:val="true"/>
      </w:pPr>
      <w:r>
        <w:t xml:space="preserve">Prospective coding education: Educate clinical staff on HCC coding specificity requirements — the difference between coding</w:t>
      </w:r>
      <w:r>
        <w:t xml:space="preserve"> </w:t>
      </w:r>
      <w:r>
        <w:t xml:space="preserve">‘diabetes’</w:t>
      </w:r>
      <w:r>
        <w:t xml:space="preserve"> </w:t>
      </w:r>
      <w:r>
        <w:t xml:space="preserve">(HCC 19, lower RAF) versus</w:t>
      </w:r>
      <w:r>
        <w:t xml:space="preserve"> </w:t>
      </w:r>
      <w:r>
        <w:t xml:space="preserve">‘diabetes with diabetic CKD’</w:t>
      </w:r>
      <w:r>
        <w:t xml:space="preserve"> </w:t>
      </w:r>
      <w:r>
        <w:t xml:space="preserve">(HCC 18 + HCC 136, higher RAF) when clinical evidence supports the more specific code.</w:t>
      </w:r>
    </w:p>
    <w:p>
      <w:pPr>
        <w:pStyle w:val="Compact"/>
        <w:numPr>
          <w:ilvl w:val="0"/>
          <w:numId w:val="1029"/>
        </w:numPr>
        <w:keepNext w:val="false"/>
        <w:keepLines w:val="true"/>
      </w:pPr>
      <w: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HCC Coding at Vermont Community Hospitals</w:t>
            </w:r>
          </w:p>
          <w:p>
            <w:pPr>
              <w:spacing w:after="60" w:line="264" w:lineRule="auto"/>
            </w:pPr>
            <w:r>
              <w:rPr>
                <w:sz w:val="20"/>
                <w:szCs w:val="2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p>
          <w:p>
            <w:pPr>
              <w:spacing w:after="60" w:line="264" w:lineRule="auto"/>
            </w:pPr>
            <w:r>
              <w:rPr>
                <w:sz w:val="20"/>
                <w:szCs w:val="20"/>
              </w:rPr>
              <w:t xml:space="preserve">Vermont hospitals entering the AHEAD global budget model in 2027 will have their budgets set based on historical Medicare spending adjusted for their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AHEAD launches is not optional — it is foundational financial preparation.</w:t>
            </w:r>
          </w:p>
          <w:p>
            <w:pPr>
              <w:spacing w:after="60" w:line="264" w:lineRule="auto"/>
            </w:pPr>
            <w:r>
              <w:rPr>
                <w:sz w:val="20"/>
                <w:szCs w:val="20"/>
              </w:rPr>
              <w:t xml:space="preserve">Recommended action: Every Vermont hospital should conduct a retrospective HCC gap analysis for their AHEAD-attributed Medicare population before January 2028. The analysis should compare clinical documentation to coded diagnoses, identify the largest gaps by HCC category, and develop a provider education and AWV completion program to close the gaps prospectively.</w:t>
            </w:r>
          </w:p>
        </w:tc>
      </w:tr>
    </w:tbl>
    <w:p>
      <w:pPr>
        <w:spacing w:after="120"/>
      </w:pPr>
    </w:p>
    <w:p>
      <w:pPr>
        <w:pStyle w:val="Heading2"/>
        <w:pBdr>
          <w:top w:val="single" w:sz="6" w:space="10" w:color="C9D2DF"/>
        </w:pBdr>
      </w:pPr>
      <w:r>
        <w:rPr>
          <w:color w:val="161B22"/>
        </w:rPr>
        <w:t xml:space="preserve">11.15  </w:t>
      </w:r>
      <w:bookmarkStart w:id="1344" w:name="_Toc1343"/>
      <w:r>
        <w:rPr>
          <w:b/>
          <w:bCs/>
          <w:color w:val="161B22"/>
        </w:rPr>
        <w:t xml:space="preserve">Credentialing Efficiency — The Hidden Operations Bottleneck</w:t>
      </w:r>
      <w:bookmarkEnd w:id="1344"/>
    </w:p>
    <w:p>
      <w:pPr>
        <w:pStyle w:val="FirstParagraph"/>
      </w:pPr>
      <w: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The average credentialing cycle takes 90-120 days for a new provider. In a state with a 370 FTE primary care shortage by 2030, a 90-day credentialing delay represents 90 days of foregone care — and foregone revenue — for every provider recruited.</w:t>
      </w:r>
    </w:p>
    <w:p>
      <w:pPr>
        <w:pStyle w:val="Heading3"/>
      </w:pPr>
      <w:r>
        <w:rPr>
          <w:color w:val="161B22"/>
        </w:rPr>
        <w:t xml:space="preserve">11.15.1  </w:t>
      </w:r>
      <w:bookmarkStart w:id="1345" w:name="_Toc1344"/>
      <w:r>
        <w:rPr>
          <w:b/>
          <w:bCs/>
          <w:color w:val="161B22"/>
        </w:rPr>
        <w:t xml:space="preserve">Credentialing as a Transformation Bottleneck</w:t>
      </w:r>
      <w:bookmarkEnd w:id="1345"/>
    </w:p>
    <w:p>
      <w:pPr>
        <w:pStyle w:val="FirstParagraph"/>
      </w:pPr>
      <w: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pPr>
        <w:pStyle w:val="BodyText"/>
      </w:pPr>
      <w: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14 hospitals, coordinated through the Vermont CIN’s shared services infrastructure.</w:t>
      </w:r>
    </w:p>
    <w:p>
      <w:pPr>
        <w:pStyle w:val="Heading3"/>
      </w:pPr>
      <w:r>
        <w:rPr>
          <w:color w:val="161B22"/>
        </w:rPr>
        <w:t xml:space="preserve">11.15.2  </w:t>
      </w:r>
      <w:bookmarkStart w:id="1346" w:name="_Toc1345"/>
      <w:r>
        <w:rPr>
          <w:b/>
          <w:bCs/>
          <w:color w:val="161B22"/>
        </w:rPr>
        <w:t xml:space="preserve">The Credentialing Efficiency Framework</w:t>
      </w:r>
      <w:bookmarkEnd w:id="1346"/>
    </w:p>
    <w:p>
      <w:pPr>
        <w:pStyle w:val="FirstParagraph"/>
      </w:pPr>
      <w:r>
        <w:t xml:space="preserve">Three operational improvements reduce credentialing cycle time from 90-120 days to 45-60 days without reducing verification rigor:</w:t>
      </w:r>
    </w:p>
    <w:p>
      <w:pPr>
        <w:pStyle w:val="BodyText"/>
      </w:pPr>
      <w: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pPr>
        <w:pStyle w:val="BodyText"/>
      </w:pPr>
      <w: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pPr>
        <w:pStyle w:val="BodyText"/>
      </w:pPr>
      <w:r>
        <w:t xml:space="preserve">Unified credentialing for the Vermont CIN: Vermont’s 14 hospitals sharing a common credentialing database — so that a provider credentialed at one CIN member facility has their verified credentials available to all member facilities — reduces the per-facility credentialing burden for providers practicing at multiple sites. This is a direct shared service application that Oliver Wyman’s CIN design makes possible.</w:t>
      </w:r>
    </w:p>
    <w:p>
      <w:pPr>
        <w:pStyle w:val="Heading2"/>
        <w:pBdr>
          <w:top w:val="single" w:sz="6" w:space="10" w:color="C9D2DF"/>
        </w:pBdr>
      </w:pPr>
      <w:r>
        <w:rPr>
          <w:color w:val="161B22"/>
        </w:rPr>
        <w:t xml:space="preserve">11.16  </w:t>
      </w:r>
      <w:bookmarkStart w:id="1347" w:name="_Toc1346"/>
      <w:r>
        <w:rPr>
          <w:b/>
          <w:bCs/>
          <w:color w:val="161B22"/>
        </w:rPr>
        <w:t xml:space="preserve">Workforce Operations — Managing the Care Team in a Transformed System</w:t>
      </w:r>
      <w:bookmarkEnd w:id="1347"/>
    </w:p>
    <w:p>
      <w:pPr>
        <w:pStyle w:val="FirstParagraph"/>
      </w:pPr>
      <w: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pPr>
        <w:pStyle w:val="Heading3"/>
      </w:pPr>
      <w:r>
        <w:rPr>
          <w:color w:val="161B22"/>
        </w:rPr>
        <w:t xml:space="preserve">11.16.1  </w:t>
      </w:r>
      <w:bookmarkStart w:id="1348" w:name="_Toc1347"/>
      <w:r>
        <w:rPr>
          <w:b/>
          <w:bCs/>
          <w:color w:val="161B22"/>
        </w:rPr>
        <w:t xml:space="preserve">The Workforce Supply Challenge — What Can Actually Be Done</w:t>
      </w:r>
      <w:bookmarkEnd w:id="1348"/>
    </w:p>
    <w:p>
      <w:pPr>
        <w:pStyle w:val="FirstParagraph"/>
      </w:pPr>
      <w: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pPr>
        <w:pStyle w:val="BodyText"/>
      </w:pPr>
      <w:r>
        <w:t xml:space="preserve">Scope-of-practice expansion for APRNs and PAs: Oliver Wyman specifically recommended this. Vermont APRNs operating under full practice authority (without physician supervision requirements) can see three patients per hour in PCMH settings, effectively adding primary care capacity equivalent to additional physicians without waiting for new physicians to train.</w:t>
      </w:r>
    </w:p>
    <w:p>
      <w:pPr>
        <w:pStyle w:val="BodyText"/>
      </w:pPr>
      <w: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pPr>
        <w:pStyle w:val="BodyText"/>
      </w:pPr>
      <w:r>
        <w:t xml:space="preserve">Loan repayment and service obligation programs: Vermont’s RHT Program workforce investments include tuition assistance and loan repayment with 5-year service obligations. The evidence on loan repayment is consistent: it works for early-career providers with high debt burdens. Vermont’s program should be structured with the largest awards for the communities with the greatest access gaps.</w:t>
      </w:r>
    </w:p>
    <w:p>
      <w:pPr>
        <w:pStyle w:val="BodyText"/>
      </w:pPr>
      <w: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pPr>
        <w:pStyle w:val="Heading3"/>
      </w:pPr>
      <w:r>
        <w:rPr>
          <w:color w:val="161B22"/>
        </w:rPr>
        <w:t xml:space="preserve">11.16.2  </w:t>
      </w:r>
      <w:bookmarkStart w:id="1349" w:name="_Toc1348"/>
      <w:r>
        <w:rPr>
          <w:b/>
          <w:bCs/>
          <w:color w:val="161B22"/>
        </w:rPr>
        <w:t xml:space="preserve">Workforce Deployment — Team-Based Care at Scale</w:t>
      </w:r>
      <w:bookmarkEnd w:id="1349"/>
    </w:p>
    <w:p>
      <w:pPr>
        <w:pStyle w:val="FirstParagraph"/>
      </w:pPr>
      <w: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twice the effective capacity of a physician practicing in a traditional solo model.</w:t>
      </w:r>
    </w:p>
    <w:p>
      <w:pPr>
        <w:pStyle w:val="BodyText"/>
      </w:pPr>
      <w: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specifically the APRN and CHW training programs, are designed to build the care team depth that team-based care requires.</w:t>
      </w:r>
    </w:p>
    <w:p>
      <w:pPr>
        <w:pStyle w:val="Heading3"/>
      </w:pPr>
      <w:r>
        <w:rPr>
          <w:color w:val="161B22"/>
        </w:rPr>
        <w:t xml:space="preserve">11.16.3  </w:t>
      </w:r>
      <w:bookmarkStart w:id="1350" w:name="_Toc1349"/>
      <w:r>
        <w:rPr>
          <w:b/>
          <w:bCs/>
          <w:color w:val="161B22"/>
        </w:rPr>
        <w:t xml:space="preserve">Workforce Retention — The Math of Turnover</w:t>
      </w:r>
      <w:bookmarkEnd w:id="1350"/>
    </w:p>
    <w:p>
      <w:pPr>
        <w:pStyle w:val="FirstParagraph"/>
      </w:pPr>
      <w: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pPr>
        <w:pStyle w:val="BodyText"/>
      </w:pPr>
      <w: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pPr>
        <w:pStyle w:val="Heading2"/>
        <w:pBdr>
          <w:top w:val="single" w:sz="6" w:space="10" w:color="C9D2DF"/>
        </w:pBdr>
      </w:pPr>
      <w:r>
        <w:rPr>
          <w:color w:val="161B22"/>
        </w:rPr>
        <w:t xml:space="preserve">11.17  </w:t>
      </w:r>
      <w:bookmarkStart w:id="1351" w:name="_Toc1350"/>
      <w:r>
        <w:rPr>
          <w:b/>
          <w:bCs/>
          <w:color w:val="161B22"/>
        </w:rPr>
        <w:t xml:space="preserve">Administrative Simplification — The Vermont Agenda</w:t>
      </w:r>
      <w:bookmarkEnd w:id="1351"/>
    </w:p>
    <w:p>
      <w:pPr>
        <w:pStyle w:val="FirstParagraph"/>
      </w:pPr>
      <w: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pPr>
        <w:pStyle w:val="Heading3"/>
      </w:pPr>
      <w:r>
        <w:rPr>
          <w:color w:val="161B22"/>
        </w:rPr>
        <w:t xml:space="preserve">11.17.1  </w:t>
      </w:r>
      <w:bookmarkStart w:id="1352" w:name="_Toc1351"/>
      <w:r>
        <w:rPr>
          <w:b/>
          <w:bCs/>
          <w:color w:val="161B22"/>
        </w:rPr>
        <w:t xml:space="preserve">The Vermont Administrative Simplification Priorities</w:t>
      </w:r>
      <w:bookmarkEnd w:id="1352"/>
    </w:p>
    <w:p>
      <w:pPr>
        <w:pStyle w:val="FirstParagraph"/>
      </w:pPr>
      <w:r>
        <w:t xml:space="preserve">AHS and GMCB have identified three administrative simplification priorities that must be addressed in the Statewide Strategic Plan:</w:t>
      </w:r>
    </w:p>
    <w:p>
      <w:pPr>
        <w:pStyle w:val="Compact"/>
        <w:numPr>
          <w:ilvl w:val="0"/>
          <w:numId w:val="1030"/>
        </w:numPr>
        <w:keepLines w:val="true"/>
        <w:keepNext w:val="true"/>
      </w:pPr>
      <w:r>
        <w:t xml:space="preserve">Prior authorization reform: As developed in Chapter 1, Vermont’s Act 167 and Act 68 both address prior authorization complexity. The specific operational target is moving to gold-carding arrangements — automatic approval for providers with demonstrated compliance histories — and eliminating PA requirements for evidence-based, guideline-concordant care in high-volume service categories.</w:t>
      </w:r>
    </w:p>
    <w:p>
      <w:pPr>
        <w:pStyle w:val="Compact"/>
        <w:numPr>
          <w:ilvl w:val="0"/>
          <w:numId w:val="1030"/>
        </w:numPr>
        <w:keepLines w:val="true"/>
        <w:keepNext w:val="true"/>
      </w:pPr>
      <w:r>
        <w:t xml:space="preserve">CON process streamlining: Vermont’s Certificate of Need process for hospital capital investments was cited as a barrier to efficient regionalization — providers cannot build the facilities and purchase the equipment that transformation requires if CON approval takes 12-18 months and involves litigation risk. Act 167 directed GMCB to evaluate CON process improvements; Vermont’s transformation requires faster turnaround for transformation-aligned capital investments.</w:t>
      </w:r>
    </w:p>
    <w:p>
      <w:pPr>
        <w:pStyle w:val="Compact"/>
        <w:numPr>
          <w:ilvl w:val="0"/>
          <w:numId w:val="1030"/>
        </w:numPr>
        <w:keepLines w:val="true"/>
      </w:pPr>
      <w:r>
        <w:t xml:space="preserve">Standardized quality reporting: Vermont’s quality reporting landscape requires providers to submit data to multiple programs (Blueprint, GMCB, AHEAD,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pPr>
        <w:pStyle w:val="Heading2"/>
        <w:pBdr>
          <w:top w:val="single" w:sz="6" w:space="10" w:color="C9D2DF"/>
        </w:pBdr>
        <w:keepNext w:val="false"/>
      </w:pPr>
      <w:r>
        <w:rPr>
          <w:color w:val="161B22"/>
        </w:rPr>
        <w:t xml:space="preserve">11.18  </w:t>
      </w:r>
      <w:bookmarkStart w:id="1353" w:name="_Toc1352"/>
      <w:r>
        <w:rPr>
          <w:b/>
          <w:bCs/>
          <w:color w:val="161B22"/>
        </w:rPr>
        <w:t xml:space="preserve">Operations Pillar Implementation Matrix</w:t>
      </w:r>
      <w:bookmarkEnd w:id="1353"/>
    </w:p>
    <w:p>
      <w:pPr>
        <w:pStyle w:val="FirstParagraph"/>
        <w:keepNext w:val="false"/>
      </w:pPr>
      <w:r>
        <w:t xml:space="preserve">The following matrix provides implementation guidance for the key Operations pillar investments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Hospital transformation plan (RHRC model)</w:t>
            </w:r>
          </w:p>
        </w:tc>
        <w:tc>
          <w:tcPr>
            <w:tcW w:w="1222" w:type="dxa"/>
          </w:tcPr>
          <w:p>
            <w:pPr>
              <w:pStyle w:val="Compact"/>
              <w:jc w:val="left"/>
            </w:pPr>
            <w:r>
              <w:rPr>
                <w:sz w:val="18"/>
              </w:rPr>
              <w:t xml:space="preserve">$150K-$400K per hospital</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Vermont RHRC: 14 hospitals; financial + operational + change management</w:t>
            </w:r>
          </w:p>
        </w:tc>
      </w:tr>
      <w:tr>
        <w:trPr/>
        <w:tc>
          <w:tcPr>
            <w:tcW w:w="2726" w:type="dxa"/>
          </w:tcPr>
          <w:p>
            <w:pPr>
              <w:pStyle w:val="Compact"/>
              <w:jc w:val="left"/>
            </w:pPr>
            <w:r>
              <w:rPr>
                <w:sz w:val="18"/>
              </w:rPr>
              <w:t xml:space="preserve">PMO/project management for transformation</w:t>
            </w:r>
          </w:p>
        </w:tc>
        <w:tc>
          <w:tcPr>
            <w:tcW w:w="1222" w:type="dxa"/>
          </w:tcPr>
          <w:p>
            <w:pPr>
              <w:pStyle w:val="Compact"/>
              <w:jc w:val="left"/>
            </w:pPr>
            <w:r>
              <w:rPr>
                <w:sz w:val="18"/>
              </w:rPr>
              <w:t xml:space="preserve">$200K-$500K annually</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AHS PMO: managing 14 simultaneous hospital processes + AHEAD + RBP</w:t>
            </w:r>
          </w:p>
        </w:tc>
      </w:tr>
      <w:tr>
        <w:trPr/>
        <w:tc>
          <w:tcPr>
            <w:tcW w:w="2726" w:type="dxa"/>
          </w:tcPr>
          <w:p>
            <w:pPr>
              <w:pStyle w:val="Compact"/>
              <w:jc w:val="left"/>
            </w:pPr>
            <w:r>
              <w:rPr>
                <w:sz w:val="18"/>
              </w:rPr>
              <w:t xml:space="preserve">Administrative simplification (prior auth, credentialing)</w:t>
            </w:r>
          </w:p>
        </w:tc>
        <w:tc>
          <w:tcPr>
            <w:tcW w:w="1222" w:type="dxa"/>
          </w:tcPr>
          <w:p>
            <w:pPr>
              <w:pStyle w:val="Compact"/>
              <w:jc w:val="left"/>
            </w:pPr>
            <w:r>
              <w:rPr>
                <w:sz w:val="18"/>
              </w:rPr>
              <w:t xml:space="preserve">$50K-$200K per system</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admin cost $3,826/adj discharge vs $1,427 national benchmark</w:t>
            </w:r>
          </w:p>
        </w:tc>
      </w:tr>
      <w:tr>
        <w:trPr/>
        <w:tc>
          <w:tcPr>
            <w:tcW w:w="2726" w:type="dxa"/>
          </w:tcPr>
          <w:p>
            <w:pPr>
              <w:pStyle w:val="Compact"/>
              <w:jc w:val="left"/>
            </w:pPr>
            <w:r>
              <w:rPr>
                <w:sz w:val="18"/>
              </w:rPr>
              <w:t xml:space="preserve">Revenue cycle optimization and HCC coding</w:t>
            </w:r>
          </w:p>
        </w:tc>
        <w:tc>
          <w:tcPr>
            <w:tcW w:w="1222" w:type="dxa"/>
          </w:tcPr>
          <w:p>
            <w:pPr>
              <w:pStyle w:val="Compact"/>
              <w:jc w:val="left"/>
            </w:pPr>
            <w:r>
              <w:rPr>
                <w:sz w:val="18"/>
              </w:rPr>
              <w:t xml:space="preserve">$100K-$300K per org</w:t>
            </w:r>
          </w:p>
        </w:tc>
        <w:tc>
          <w:tcPr>
            <w:tcW w:w="987" w:type="dxa"/>
          </w:tcPr>
          <w:p>
            <w:pPr>
              <w:pStyle w:val="Compact"/>
              <w:jc w:val="left"/>
            </w:pPr>
            <w:r>
              <w:rPr>
                <w:sz w:val="18"/>
              </w:rPr>
              <w:t xml:space="preserve">6-9 months</w:t>
            </w:r>
          </w:p>
        </w:tc>
        <w:tc>
          <w:tcPr>
            <w:tcW w:w="1316" w:type="dxa"/>
          </w:tcPr>
          <w:p>
            <w:pPr>
              <w:pStyle w:val="Compact"/>
              <w:jc w:val="left"/>
            </w:pPr>
            <w:r>
              <w:rPr>
                <w:sz w:val="18"/>
              </w:rPr>
              <w:t xml:space="preserve">9-18 months</w:t>
            </w:r>
          </w:p>
        </w:tc>
        <w:tc>
          <w:tcPr>
            <w:tcW w:w="2820" w:type="dxa"/>
          </w:tcPr>
          <w:p>
            <w:pPr>
              <w:pStyle w:val="Compact"/>
              <w:jc w:val="left"/>
            </w:pPr>
            <w:r>
              <w:rPr>
                <w:sz w:val="18"/>
              </w:rPr>
              <w:t xml:space="preserve">Vermont CAH gap: $938/adj discharge vs $2,759 benchmark (RHRC data)</w:t>
            </w:r>
          </w:p>
        </w:tc>
      </w:tr>
      <w:tr>
        <w:trPr/>
        <w:tc>
          <w:tcPr>
            <w:tcW w:w="2726" w:type="dxa"/>
          </w:tcPr>
          <w:p>
            <w:pPr>
              <w:pStyle w:val="Compact"/>
              <w:jc w:val="left"/>
            </w:pPr>
            <w:r>
              <w:rPr>
                <w:sz w:val="18"/>
              </w:rPr>
              <w:t xml:space="preserve">Service line rationalization and CON modernization</w:t>
            </w:r>
          </w:p>
        </w:tc>
        <w:tc>
          <w:tcPr>
            <w:tcW w:w="1222" w:type="dxa"/>
          </w:tcPr>
          <w:p>
            <w:pPr>
              <w:pStyle w:val="Compact"/>
              <w:jc w:val="left"/>
            </w:pPr>
            <w:r>
              <w:rPr>
                <w:sz w:val="18"/>
              </w:rPr>
              <w:t xml:space="preserve">$100K-$250K state cost</w:t>
            </w:r>
          </w:p>
        </w:tc>
        <w:tc>
          <w:tcPr>
            <w:tcW w:w="987" w:type="dxa"/>
          </w:tcPr>
          <w:p>
            <w:pPr>
              <w:pStyle w:val="Compact"/>
              <w:jc w:val="left"/>
            </w:pPr>
            <w:r>
              <w:rPr>
                <w:sz w:val="18"/>
              </w:rPr>
              <w:t xml:space="preserve">12-24 months</w:t>
            </w:r>
          </w:p>
        </w:tc>
        <w:tc>
          <w:tcPr>
            <w:tcW w:w="1316" w:type="dxa"/>
          </w:tcPr>
          <w:p>
            <w:pPr>
              <w:pStyle w:val="Compact"/>
              <w:jc w:val="left"/>
            </w:pPr>
            <w:r>
              <w:rPr>
                <w:sz w:val="18"/>
              </w:rPr>
              <w:t xml:space="preserve">24-36 months</w:t>
            </w:r>
          </w:p>
        </w:tc>
        <w:tc>
          <w:tcPr>
            <w:tcW w:w="2820" w:type="dxa"/>
          </w:tcPr>
          <w:p>
            <w:pPr>
              <w:pStyle w:val="Compact"/>
              <w:jc w:val="left"/>
            </w:pPr>
            <w:r>
              <w:rPr>
                <w:sz w:val="18"/>
              </w:rPr>
              <w:t xml:space="preserve">Vermont Act 68 CON streamlining; EMS regionalization framework</w:t>
            </w:r>
          </w:p>
        </w:tc>
      </w:tr>
      <w:tr>
        <w:trPr>
          <w:cantSplit/>
        </w:trPr>
        <w:tc>
          <w:tcPr>
            <w:tcW w:w="2726" w:type="dxa"/>
          </w:tcPr>
          <w:p>
            <w:pPr>
              <w:pStyle w:val="Compact"/>
              <w:jc w:val="left"/>
            </w:pPr>
            <w:r>
              <w:rPr>
                <w:sz w:val="18"/>
              </w:rPr>
              <w:t xml:space="preserve">CIN shared services model</w:t>
            </w:r>
          </w:p>
        </w:tc>
        <w:tc>
          <w:tcPr>
            <w:tcW w:w="1222" w:type="dxa"/>
          </w:tcPr>
          <w:p>
            <w:pPr>
              <w:pStyle w:val="Compact"/>
              <w:jc w:val="left"/>
            </w:pPr>
            <w:r>
              <w:rPr>
                <w:sz w:val="18"/>
              </w:rPr>
              <w:t xml:space="preserve">$500K-$2M network setup</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36-48 months</w:t>
            </w:r>
          </w:p>
        </w:tc>
        <w:tc>
          <w:tcPr>
            <w:tcW w:w="2820" w:type="dxa"/>
          </w:tcPr>
          <w:p>
            <w:pPr>
              <w:pStyle w:val="Compact"/>
              <w:jc w:val="left"/>
            </w:pPr>
            <w:r>
              <w:rPr>
                <w:sz w:val="18"/>
              </w:rPr>
              <w:t xml:space="preserve">Vermont CIN: RHT-funded; shared analytics, IT, care management for 14 hospitals</w:t>
            </w:r>
          </w:p>
        </w:tc>
      </w:tr>
    </w:tbl>
    <w:p>
      <w:pPr>
        <w:pStyle w:val="Caption"/>
        <w:spacing w:before="120"/>
      </w:pPr>
      <w:r>
        <w:rPr>
          <w:i/>
          <w:iCs/>
        </w:rPr>
        <w:t xml:space="preserve">Figure 11.9 — Operations pillar implementation matrix. Sources: Vermont AHS Transformation Reports (August, November 2025); RHRC engagement; Oliver Wyman Act 167 Report.</w:t>
      </w:r>
    </w:p>
    <w:p>
      <w:pPr>
        <w:pStyle w:val="Heading2"/>
        <w:pBdr>
          <w:top w:val="single" w:sz="6" w:space="10" w:color="C9D2DF"/>
        </w:pBdr>
      </w:pPr>
      <w:r>
        <w:rPr>
          <w:color w:val="161B22"/>
        </w:rPr>
        <w:t xml:space="preserve">11.19  </w:t>
      </w:r>
      <w:bookmarkStart w:id="1354" w:name="_Toc1353"/>
      <w:r>
        <w:rPr>
          <w:b/>
          <w:bCs/>
          <w:color w:val="161B22"/>
        </w:rPr>
        <w:t xml:space="preserve">Implications for You — Revenue Cycle and Coding</w:t>
      </w:r>
      <w:bookmarkEnd w:id="1354"/>
    </w:p>
    <w:p>
      <w:pPr>
        <w:pStyle w:val="FirstParagraph"/>
      </w:pPr>
      <w:r>
        <w:t xml:space="preserve">If you are a Vermont hospital executive: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 and AHEAD-attributed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pPr>
        <w:pStyle w:val="BodyText"/>
      </w:pPr>
      <w:r>
        <w:t xml:space="preserve">If you are an AHS or GMCB official: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pPr>
        <w:pStyle w:val="BodyText"/>
      </w:pPr>
      <w:r>
        <w:t xml:space="preserve">If you are a Vermont legislator: Vermont’s administrative cost per adjusted discharge — $2,730 for CAHs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pPr>
        <w:pStyle w:val="BodyText"/>
      </w:pPr>
      <w:r>
        <w:t xml:space="preserve">If you are a national health policy professional: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pPr>
        <w:pStyle w:val="Heading2"/>
        <w:pBdr>
          <w:top w:val="single" w:sz="6" w:space="10" w:color="C9D2DF"/>
        </w:pBdr>
      </w:pPr>
      <w:r>
        <w:rPr>
          <w:color w:val="161B22"/>
        </w:rPr>
        <w:t xml:space="preserve">11.20  </w:t>
      </w:r>
      <w:bookmarkStart w:id="1355" w:name="_Toc1354"/>
      <w:r>
        <w:rPr>
          <w:b/>
          <w:bCs/>
          <w:color w:val="161B22"/>
        </w:rPr>
        <w:t xml:space="preserve">Key Concepts in This Chapter</w:t>
      </w:r>
      <w:bookmarkEnd w:id="1355"/>
    </w:p>
    <w:p>
      <w:pPr>
        <w:pStyle w:val="FirstParagraph"/>
        <w:spacing w:before="160" w:after="120"/>
      </w:pPr>
      <w:r>
        <w:rPr>
          <w:rFonts w:ascii="Calibri" w:hAnsi="Calibri"/>
          <w:b/>
          <w:bCs/>
          <w:color w:val="2E74B5"/>
          <w:sz w:val="20"/>
        </w:rPr>
        <w:t xml:space="preserve">Regional Specialty Center (RSC)</w:t>
      </w:r>
      <w:r>
        <w:rPr>
          <w:rFonts w:ascii="Calibri" w:hAnsi="Calibri"/>
          <w:color w:val="000000"/>
          <w:sz w:val="18"/>
        </w:rPr>
        <w:br/>
      </w:r>
      <w:r>
        <w:rPr>
          <w:rFonts w:ascii="Calibri" w:hAnsi="Calibri"/>
          <w:color w:val="000000"/>
          <w:sz w:val="18"/>
        </w:rPr>
        <w:t xml:space="preserve">A hospital designated to concentrate volume and clinical expertise in multiple specialty areas, serving as the referral destination for those specialties across a multi-HSA region. Vermont’s Tier 1 hospitals under the Oliver Wyman regionalization blueprint.</w:t>
      </w:r>
    </w:p>
    <w:p>
      <w:pPr>
        <w:pStyle w:val="BodyText"/>
        <w:spacing w:before="160" w:after="120"/>
      </w:pPr>
      <w:r>
        <w:rPr>
          <w:rFonts w:ascii="Calibri" w:hAnsi="Calibri"/>
          <w:b/>
          <w:bCs/>
          <w:color w:val="2E74B5"/>
          <w:sz w:val="20"/>
        </w:rPr>
        <w:t xml:space="preserve">Community Ambulatory Care Center (CACC)</w:t>
      </w:r>
      <w:r>
        <w:rPr>
          <w:rFonts w:ascii="Calibri" w:hAnsi="Calibri"/>
          <w:color w:val="000000"/>
          <w:sz w:val="18"/>
        </w:rPr>
        <w:br/>
      </w:r>
      <w:r>
        <w:rPr>
          <w:rFonts w:ascii="Calibri" w:hAnsi="Calibri"/>
          <w:color w:val="000000"/>
          <w:sz w:val="18"/>
        </w:rPr>
        <w:t xml:space="preserve">An outpatient and primary care facility model proposed by Oliver Wyman as a potential conversion option for hospitals unable to sustain inpatient operations.</w:t>
      </w:r>
    </w:p>
    <w:p>
      <w:pPr>
        <w:pStyle w:val="BodyText"/>
        <w:spacing w:before="160" w:after="120"/>
      </w:pPr>
      <w:r>
        <w:rPr>
          <w:rFonts w:ascii="Calibri" w:hAnsi="Calibri"/>
          <w:b/>
          <w:bCs/>
          <w:color w:val="2E74B5"/>
          <w:sz w:val="20"/>
        </w:rPr>
        <w:t xml:space="preserve">Potentially Avoidable ED Visit</w:t>
      </w:r>
      <w:r>
        <w:rPr>
          <w:rFonts w:ascii="Calibri" w:hAnsi="Calibri"/>
          <w:color w:val="000000"/>
          <w:sz w:val="18"/>
        </w:rPr>
        <w:br/>
      </w:r>
      <w:r>
        <w:rPr>
          <w:rFonts w:ascii="Calibri" w:hAnsi="Calibri"/>
          <w:color w:val="000000"/>
          <w:sz w:val="18"/>
        </w:rPr>
        <w:t xml:space="preserve">An emergency department visit that could have been prevented through timely primary care, care coordination, or SDOH intervention. Vermont’s rate of 32.3% of all ED visits represents a major quality and cost improvement opportunity.</w:t>
      </w:r>
    </w:p>
    <w:p>
      <w:pPr>
        <w:pStyle w:val="BodyText"/>
        <w:spacing w:before="160" w:after="120"/>
      </w:pPr>
      <w:r>
        <w:rPr>
          <w:rFonts w:ascii="Calibri" w:hAnsi="Calibri"/>
          <w:b/>
          <w:bCs/>
          <w:color w:val="2E74B5"/>
          <w:sz w:val="20"/>
        </w:rPr>
        <w:t xml:space="preserve">Rural Health Redesign Center (RHRC)</w:t>
      </w:r>
      <w:r>
        <w:rPr>
          <w:rFonts w:ascii="Calibri" w:hAnsi="Calibri"/>
          <w:color w:val="000000"/>
          <w:sz w:val="18"/>
        </w:rPr>
        <w:br/>
      </w:r>
      <w:r>
        <w:rPr>
          <w:rFonts w:ascii="Calibri" w:hAnsi="Calibri"/>
          <w:color w:val="000000"/>
          <w:sz w:val="18"/>
        </w:rPr>
        <w:t xml:space="preserve">AHS’s primary technical assistance contractor for hospital transformation planning in 2025, providing financial assessment, change management support, and transformation plan development across all 14 Vermont hospitals. Contract concluded October 2025.</w:t>
      </w:r>
    </w:p>
    <w:p>
      <w:pPr>
        <w:pStyle w:val="BodyText"/>
        <w:spacing w:before="160" w:after="120"/>
      </w:pPr>
      <w:r>
        <w:rPr>
          <w:rFonts w:ascii="Calibri" w:hAnsi="Calibri"/>
          <w:b/>
          <w:bCs/>
          <w:color w:val="2E74B5"/>
          <w:sz w:val="20"/>
        </w:rPr>
        <w:t xml:space="preserve">Travel nursing cost</w:t>
      </w:r>
      <w:r>
        <w:rPr>
          <w:rFonts w:ascii="Calibri" w:hAnsi="Calibri"/>
          <w:color w:val="000000"/>
          <w:sz w:val="18"/>
        </w:rPr>
        <w:br/>
      </w:r>
      <w:r>
        <w:rPr>
          <w:rFonts w:ascii="Calibri" w:hAnsi="Calibri"/>
          <w:color w:val="000000"/>
          <w:sz w:val="18"/>
        </w:rPr>
        <w:t xml:space="preserve">The cost of temporary nurses hired through staffing agencies to fill vacancies, typically 2-3x the cost of permanent hires. Heavy travel nursing dependence is a primary driver of hospital financial distress across Vermont’s system.</w:t>
      </w:r>
    </w:p>
    <w:p>
      <w:pPr>
        <w:pStyle w:val="BodyText"/>
        <w:spacing w:before="160" w:after="120"/>
      </w:pPr>
      <w:r>
        <w:rPr>
          <w:rFonts w:ascii="Calibri" w:hAnsi="Calibri"/>
          <w:b/>
          <w:bCs/>
          <w:color w:val="2E74B5"/>
          <w:sz w:val="20"/>
        </w:rPr>
        <w:t xml:space="preserve">Administrative shared services</w:t>
      </w:r>
      <w:r>
        <w:rPr>
          <w:rFonts w:ascii="Calibri" w:hAnsi="Calibri"/>
          <w:color w:val="000000"/>
          <w:sz w:val="18"/>
        </w:rPr>
        <w:br/>
      </w:r>
      <w:r>
        <w:rPr>
          <w:rFonts w:ascii="Calibri" w:hAnsi="Calibri"/>
          <w:color w:val="000000"/>
          <w:sz w:val="18"/>
        </w:rPr>
        <w:t xml:space="preserve">Centralized provision of non-clinical administrative functions (billing, coding, HR, credentialing, IT, group purchasing) across multiple hospitals, reducing the per-hospital administrative cost that is currently 91% above benchmark for Vermont PPS hospitals.</w:t>
      </w:r>
    </w:p>
    <w:p>
      <w:pPr>
        <w:pStyle w:val="BodyText"/>
        <w:spacing w:before="160" w:after="120"/>
      </w:pPr>
      <w:r>
        <w:rPr>
          <w:rFonts w:ascii="Calibri" w:hAnsi="Calibri"/>
          <w:b/>
          <w:bCs/>
          <w:color w:val="2E74B5"/>
          <w:sz w:val="20"/>
        </w:rPr>
        <w:t xml:space="preserve">Population health management operating model</w:t>
      </w:r>
      <w:r>
        <w:rPr>
          <w:rFonts w:ascii="Calibri" w:hAnsi="Calibri"/>
          <w:color w:val="000000"/>
          <w:sz w:val="18"/>
        </w:rPr>
        <w:br/>
      </w:r>
      <w:r>
        <w:rPr>
          <w:rFonts w:ascii="Calibri" w:hAnsi="Calibri"/>
          <w:color w:val="000000"/>
          <w:sz w:val="18"/>
        </w:rPr>
        <w:t xml:space="preserve">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p>
    <w:p>
      <w:r>
        <w:br w:type="page"/>
      </w:r>
    </w:p>
    <w:p>
      <w:pPr>
        <w:pStyle w:val="Heading1"/>
      </w:pPr>
      <w:bookmarkStart w:id="1356" w:name="_Toc1355"/>
      <w:r>
        <w:rPr>
          <w:b/>
          <w:bCs/>
          <w:color w:val="161B22"/>
        </w:rPr>
        <w:t xml:space="preserve">Chapter 12: Infrastructure for Knowledge Transfer and Implementation</w:t>
      </w:r>
      <w:bookmarkEnd w:id="135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p>
    <w:p>
      <w:pPr>
        <w:pStyle w:val="BodyText"/>
      </w:pPr>
      <w:r>
        <w:t xml:space="preserve">Knowledge of the six pillars does not, by itself, produce transformation — someone has to run the program, manage the change, and connect the analytical framework to the people doing the work. This is true regardless of which state’s statutes are driving the effort. The infrastructure described in this chapter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pPr>
        <w:pStyle w:val="BodyText"/>
      </w:pPr>
      <w:r>
        <w:rPr>
          <w:i/>
          <w:iCs/>
        </w:rPr>
        <w:t xml:space="preserve">Healthcare transformation fails more often because of change management failures than analytical failures. This chapter covers the HTR platform tools, Advisory service lines, and the implementation toolkit.</w:t>
      </w:r>
    </w:p>
    <w:p>
      <w:pPr>
        <w:pStyle w:val="Heading2"/>
        <w:pBdr>
          <w:top w:val="single" w:sz="6" w:space="10" w:color="C9D2DF"/>
        </w:pBdr>
      </w:pPr>
      <w:r>
        <w:rPr>
          <w:color w:val="161B22"/>
        </w:rPr>
        <w:t xml:space="preserve">12.1  </w:t>
      </w:r>
      <w:bookmarkStart w:id="1357" w:name="_Toc1356"/>
      <w:r>
        <w:rPr>
          <w:b/>
          <w:bCs/>
          <w:color w:val="161B22"/>
        </w:rPr>
        <w:t xml:space="preserve">The Gap Between Understanding and Doing</w:t>
      </w:r>
      <w:bookmarkEnd w:id="1357"/>
    </w:p>
    <w:p>
      <w:pPr>
        <w:pStyle w:val="FirstParagraph"/>
      </w:pPr>
      <w: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sixteen chapters exists at an intersection: understanding it clearly enough to explain it, and translating it into a specific decision, program, contract, or investment in a specific organizational context. This chapter is about the second half of that intersection — translation.</w:t>
      </w:r>
    </w:p>
    <w:p>
      <w:pPr>
        <w:pStyle w:val="BodyText"/>
      </w:pPr>
      <w: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pPr>
        <w:pStyle w:val="Heading2"/>
        <w:pBdr>
          <w:top w:val="single" w:sz="6" w:space="10" w:color="C9D2DF"/>
        </w:pBdr>
      </w:pPr>
      <w:r>
        <w:rPr>
          <w:color w:val="161B22"/>
        </w:rPr>
        <w:t xml:space="preserve">12.2  </w:t>
      </w:r>
      <w:bookmarkStart w:id="1358" w:name="_Toc1357"/>
      <w:r>
        <w:rPr>
          <w:b/>
          <w:bCs/>
          <w:color w:val="161B22"/>
        </w:rPr>
        <w:t xml:space="preserve">The Knowledge and Implementation Infrastructure</w:t>
      </w:r>
      <w:bookmarkEnd w:id="1358"/>
    </w:p>
    <w:p>
      <w:pPr>
        <w:pStyle w:val="Heading3"/>
      </w:pPr>
      <w:r>
        <w:rPr>
          <w:color w:val="161B22"/>
        </w:rPr>
        <w:t xml:space="preserve">12.2.1  </w:t>
      </w:r>
      <w:bookmarkStart w:id="1359" w:name="_Toc1358"/>
      <w:r>
        <w:rPr>
          <w:b/>
          <w:bCs/>
          <w:color w:val="161B22"/>
        </w:rPr>
        <w:t xml:space="preserve">The HTR Platform — Four Components</w:t>
      </w:r>
      <w:bookmarkEnd w:id="1359"/>
    </w:p>
    <w:p>
      <w:pPr>
        <w:pStyle w:val="Compact"/>
        <w:numPr>
          <w:ilvl w:val="0"/>
          <w:numId w:val="1031"/>
        </w:numPr>
        <w:keepLines w:val="true"/>
        <w:keepNext w:val="true"/>
      </w:pPr>
      <w:r>
        <w:t xml:space="preserve">THE WIRE — Real-time intelligence at healthtransformationreview.org/the-wire across all six pillars. Convergence Newsletter (free weekly) for Observer subscribers.</w:t>
      </w:r>
    </w:p>
    <w:p>
      <w:pPr>
        <w:pStyle w:val="Compact"/>
        <w:numPr>
          <w:ilvl w:val="0"/>
          <w:numId w:val="1031"/>
        </w:numPr>
        <w:keepLines w:val="true"/>
        <w:keepNext w:val="true"/>
      </w:pPr>
      <w:r>
        <w:t xml:space="preserve">RESEARCH LAB — nearly forty interactive tools at healthtransformationreview.org/research-lab. FHIR Lab, EMR/EHR Lab, Statewide EHR Modeler, APM Design Lab, Health Equity Studio, Policy Simulator, CIN &amp; Shared Services Modeler, EMS Transformation Modeler, and more.</w:t>
      </w:r>
    </w:p>
    <w:p>
      <w:pPr>
        <w:pStyle w:val="Compact"/>
        <w:numPr>
          <w:ilvl w:val="0"/>
          <w:numId w:val="1031"/>
        </w:numPr>
        <w:keepLines w:val="true"/>
        <w:keepNext w:val="true"/>
      </w:pPr>
      <w:r>
        <w:t xml:space="preserve">HTR ACADEMY — Structured curriculum at healthtransformationreview.org/academy. Foundation and advanced courses in APM mechanics, HEDIS, and transformation leadership.</w:t>
      </w:r>
    </w:p>
    <w:p>
      <w:pPr>
        <w:pStyle w:val="Compact"/>
        <w:numPr>
          <w:ilvl w:val="0"/>
          <w:numId w:val="1031"/>
        </w:numPr>
        <w:keepLines w:val="true"/>
      </w:pPr>
      <w:r>
        <w:t xml:space="preserve">ADVISORY SERVICES — Strategic consulting, research, health IT, independent review, capability assessment, financial audit, regulatory navigation, and training. Contact: advisory@healthtransformationreview.org</w:t>
      </w:r>
    </w:p>
    <w:p>
      <w:pPr>
        <w:pStyle w:val="Heading3"/>
        <w:keepNext w:val="false"/>
      </w:pPr>
      <w:r>
        <w:rPr>
          <w:color w:val="161B22"/>
        </w:rPr>
        <w:t xml:space="preserve">12.2.2  </w:t>
      </w:r>
      <w:bookmarkStart w:id="1360" w:name="_Toc1359"/>
      <w:r>
        <w:rPr>
          <w:b/>
          <w:bCs/>
          <w:color w:val="161B22"/>
        </w:rPr>
        <w:t xml:space="preserve">Four Components of the HTR Platform</w:t>
      </w:r>
      <w:bookmarkEnd w:id="1360"/>
    </w:p>
    <w:p>
      <w:pPr>
        <w:pStyle w:val="FirstParagraph"/>
        <w:keepNext w:val="false"/>
      </w:pPr>
      <w:r>
        <w:t xml:space="preserve">The transformation implementation platform has four integrated components, each designed for a different kind of engagement with the transformation agenda:</w:t>
      </w:r>
    </w:p>
    <w:tbl>
      <w:tblPr>
        <w:tblStyle w:val="HTRTable"/>
        <w:tblLook w:firstRow="1" w:lastRow="0" w:firstColumn="0" w:lastColumn="0" w:noHBand="0" w:noVBand="1" w:val="0020"/>
        <w:tblW w:w="9072" w:type="dxa"/>
        <w:tblLayout w:type="fixed"/>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Component</w:t>
            </w:r>
          </w:p>
        </w:tc>
        <w:tc>
          <w:tcPr>
            <w:shd w:val="clear" w:color="auto" w:fill="1B3A6B"/>
            <w:tcW w:w="5916" w:type="dxa"/>
          </w:tcPr>
          <w:p>
            <w:pPr>
              <w:pStyle w:val="Compact"/>
              <w:jc w:val="left"/>
            </w:pPr>
            <w:r>
              <w:rPr>
                <w:b/>
                <w:color w:val="FFFFFF"/>
                <w:sz w:val="18"/>
              </w:rPr>
              <w:t xml:space="preserve">What it provides</w:t>
            </w:r>
          </w:p>
        </w:tc>
      </w:tr>
      <w:tr>
        <w:trPr>
          <w:cantSplit/>
        </w:trPr>
        <w:tc>
          <w:tcPr>
            <w:tcW w:w="3155" w:type="dxa"/>
          </w:tcPr>
          <w:p>
            <w:pPr>
              <w:pStyle w:val="Compact"/>
              <w:jc w:val="left"/>
            </w:pPr>
            <w:r>
              <w:rPr>
                <w:sz w:val="18"/>
              </w:rPr>
              <w:t xml:space="preserve">The Wire</w:t>
            </w:r>
          </w:p>
        </w:tc>
        <w:tc>
          <w:tcPr>
            <w:tcW w:w="5916" w:type="dxa"/>
          </w:tcPr>
          <w:p>
            <w:pPr>
              <w:pStyle w:val="Compact"/>
              <w:jc w:val="left"/>
            </w:pPr>
            <w:r>
              <w:rPr>
                <w:sz w:val="18"/>
              </w:rPr>
              <w:t xml:space="preserve">Weekly synthesis of the most consequential healthcare policy, payment, clinical, technology, equity, and operations developments — curated, analyzed, and contextualized against the six-pillar framework. Not a news feed; a decision-support tool that answers</w:t>
            </w:r>
            <w:r>
              <w:rPr>
                <w:sz w:val="18"/>
              </w:rPr>
              <w:t xml:space="preserve"> </w:t>
            </w:r>
            <w:r>
              <w:rPr>
                <w:sz w:val="18"/>
              </w:rPr>
              <w:t xml:space="preserve">‘what does this development mean for my organization?’</w:t>
            </w:r>
          </w:p>
        </w:tc>
      </w:tr>
      <w:tr>
        <w:trPr/>
        <w:tc>
          <w:tcPr>
            <w:tcW w:w="3155" w:type="dxa"/>
          </w:tcPr>
          <w:p>
            <w:pPr>
              <w:pStyle w:val="Compact"/>
              <w:jc w:val="left"/>
            </w:pPr>
            <w:r>
              <w:rPr>
                <w:sz w:val="18"/>
              </w:rPr>
              <w:t xml:space="preserve">HTR Research Lab</w:t>
            </w:r>
          </w:p>
        </w:tc>
        <w:tc>
          <w:tcPr>
            <w:tcW w:w="5916" w:type="dxa"/>
          </w:tcPr>
          <w:p>
            <w:pPr>
              <w:pStyle w:val="Compact"/>
              <w:jc w:val="left"/>
            </w:pPr>
            <w:r>
              <w:rPr>
                <w:sz w:val="18"/>
              </w:rPr>
              <w:t xml:space="preserve">A suite of analytical tools implementing the frameworks in this book: APM Shared Savings Calculator, VBC Transformation Readiness Assessment (30-dimension), Hospital Financial Stress Test, AI Governance Checklist, Health Equity Studio (HEROI scoring, HEDIS stratification, disparity decomposition), VBC Contract Review Checklist, Policy Impact Assessment Framework.</w:t>
            </w:r>
          </w:p>
        </w:tc>
      </w:tr>
      <w:tr>
        <w:trPr/>
        <w:tc>
          <w:tcPr>
            <w:tcW w:w="3155" w:type="dxa"/>
          </w:tcPr>
          <w:p>
            <w:pPr>
              <w:pStyle w:val="Compact"/>
              <w:jc w:val="left"/>
            </w:pPr>
            <w:r>
              <w:rPr>
                <w:sz w:val="18"/>
              </w:rPr>
              <w:t xml:space="preserve">HTR Academy</w:t>
            </w:r>
          </w:p>
        </w:tc>
        <w:tc>
          <w:tcPr>
            <w:tcW w:w="5916" w:type="dxa"/>
          </w:tcPr>
          <w:p>
            <w:pPr>
              <w:pStyle w:val="Compact"/>
              <w:jc w:val="left"/>
            </w:pPr>
            <w:r>
              <w:rPr>
                <w:sz w:val="18"/>
              </w:rPr>
              <w:t xml:space="preserve">Structured curriculum for healthcare transformation — from foundational courses on APM mechanics and HEDIS quality measurement to advanced programs on global budget management, health equity analytics, and transformation leadership. CEU-eligible content for clinical and administrative professionals.</w:t>
            </w:r>
          </w:p>
        </w:tc>
      </w:tr>
      <w:tr>
        <w:trPr>
          <w:cantSplit/>
        </w:trPr>
        <w:tc>
          <w:tcPr>
            <w:tcW w:w="3155" w:type="dxa"/>
          </w:tcPr>
          <w:p>
            <w:pPr>
              <w:pStyle w:val="Compact"/>
              <w:jc w:val="left"/>
            </w:pPr>
            <w:r>
              <w:rPr>
                <w:sz w:val="18"/>
              </w:rPr>
              <w:t xml:space="preserve">Transformation Advisory Services</w:t>
            </w:r>
          </w:p>
        </w:tc>
        <w:tc>
          <w:tcPr>
            <w:tcW w:w="5916" w:type="dxa"/>
          </w:tcPr>
          <w:p>
            <w:pPr>
              <w:pStyle w:val="Compact"/>
              <w:jc w:val="left"/>
            </w:pPr>
            <w:r>
              <w:rPr>
                <w:sz w:val="18"/>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p>
        </w:tc>
      </w:tr>
    </w:tbl>
    <w:p>
      <w:pPr>
        <w:pStyle w:val="Caption"/>
        <w:spacing w:before="120"/>
      </w:pPr>
      <w:r>
        <w:rPr>
          <w:i/>
          <w:iCs/>
        </w:rPr>
        <w:t xml:space="preserve">Figure 12.1 — technical infrastructure framework components and intended users. Source: technical infrastructure framework documentation.</w:t>
      </w:r>
    </w:p>
    <w:p>
      <w:pPr>
        <w:pStyle w:val="Heading2"/>
        <w:pBdr>
          <w:top w:val="single" w:sz="6" w:space="10" w:color="C9D2DF"/>
        </w:pBdr>
      </w:pPr>
      <w:r>
        <w:rPr>
          <w:color w:val="161B22"/>
        </w:rPr>
        <w:t xml:space="preserve">12.3  </w:t>
      </w:r>
      <w:bookmarkStart w:id="1361" w:name="_Toc1360"/>
      <w:r>
        <w:rPr>
          <w:b/>
          <w:bCs/>
          <w:color w:val="161B22"/>
        </w:rPr>
        <w:t xml:space="preserve">The Transformation Advisory Domains — Structured for the Six Pillars</w:t>
      </w:r>
      <w:bookmarkEnd w:id="1361"/>
    </w:p>
    <w:p>
      <w:pPr>
        <w:pStyle w:val="FirstParagraph"/>
      </w:pPr>
      <w:r>
        <w:t xml:space="preserve">HTR Advisory engagements are organized around the six-pillar framework, with service lines corresponding to each pillar and cross-pillar engagements for organizations navigating transformation at the system level. The service lines are not rigid products; they are organizing frameworks for scoping engagements around clients’ specific problems.</w:t>
      </w:r>
    </w:p>
    <w:p>
      <w:pPr>
        <w:pStyle w:val="Heading3"/>
      </w:pPr>
      <w:r>
        <w:rPr>
          <w:color w:val="161B22"/>
        </w:rPr>
        <w:t xml:space="preserve">12.3.1  </w:t>
      </w:r>
      <w:bookmarkStart w:id="1362" w:name="_Toc1361"/>
      <w:r>
        <w:rPr>
          <w:b/>
          <w:bCs/>
          <w:color w:val="161B22"/>
        </w:rPr>
        <w:t xml:space="preserve">Policy Strategy</w:t>
      </w:r>
      <w:bookmarkEnd w:id="1362"/>
    </w:p>
    <w:p>
      <w:pPr>
        <w:pStyle w:val="FirstParagraph"/>
      </w:pPr>
      <w:r>
        <w:t xml:space="preserve">The Policy Strategy service line addresses the federal and state policy landscape that healthcare organizations must navigate. The typical engagement follows a three-phase structure:</w:t>
      </w:r>
    </w:p>
    <w:p>
      <w:pPr>
        <w:pStyle w:val="Compact"/>
        <w:numPr>
          <w:ilvl w:val="0"/>
          <w:numId w:val="1032"/>
        </w:numPr>
        <w:keepLines w:val="true"/>
        <w:keepNext w:val="true"/>
      </w:pPr>
      <w: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pPr>
        <w:pStyle w:val="Compact"/>
        <w:numPr>
          <w:ilvl w:val="0"/>
          <w:numId w:val="1032"/>
        </w:numPr>
        <w:keepLines w:val="true"/>
        <w:keepNext w:val="true"/>
      </w:pPr>
      <w: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pPr>
        <w:pStyle w:val="Compact"/>
        <w:numPr>
          <w:ilvl w:val="0"/>
          <w:numId w:val="1032"/>
        </w:numPr>
        <w:keepLines w:val="true"/>
      </w:pPr>
      <w: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pPr>
        <w:pStyle w:val="Heading3"/>
      </w:pPr>
      <w:r>
        <w:rPr>
          <w:color w:val="161B22"/>
        </w:rPr>
        <w:t xml:space="preserve">12.3.2  </w:t>
      </w:r>
      <w:bookmarkStart w:id="1363" w:name="_Toc1362"/>
      <w:r>
        <w:rPr>
          <w:b/>
          <w:bCs/>
          <w:color w:val="161B22"/>
        </w:rPr>
        <w:t xml:space="preserve">VBC Economics</w:t>
      </w:r>
      <w:bookmarkEnd w:id="1363"/>
    </w:p>
    <w:p>
      <w:pPr>
        <w:pStyle w:val="FirstParagraph"/>
      </w:pPr>
      <w: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pPr>
        <w:pStyle w:val="BodyText"/>
      </w:pPr>
      <w: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AHEAD global budget entry in 2027 represent the current highest-priority client segment for this engagement.</w:t>
      </w:r>
    </w:p>
    <w:p>
      <w:pPr>
        <w:pStyle w:val="Heading3"/>
      </w:pPr>
      <w:r>
        <w:rPr>
          <w:color w:val="161B22"/>
        </w:rPr>
        <w:t xml:space="preserve">12.3.3  </w:t>
      </w:r>
      <w:bookmarkStart w:id="1364" w:name="_Toc1363"/>
      <w:r>
        <w:rPr>
          <w:b/>
          <w:bCs/>
          <w:color w:val="161B22"/>
        </w:rPr>
        <w:t xml:space="preserve">Health Equity Practice</w:t>
      </w:r>
      <w:bookmarkEnd w:id="1364"/>
    </w:p>
    <w:p>
      <w:pPr>
        <w:pStyle w:val="FirstParagraph"/>
      </w:pPr>
      <w: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pPr>
        <w:pStyle w:val="Heading3"/>
      </w:pPr>
      <w:r>
        <w:rPr>
          <w:color w:val="161B22"/>
        </w:rPr>
        <w:t xml:space="preserve">12.3.4  </w:t>
      </w:r>
      <w:bookmarkStart w:id="1365" w:name="_Toc1364"/>
      <w:r>
        <w:rPr>
          <w:b/>
          <w:bCs/>
          <w:color w:val="161B22"/>
        </w:rPr>
        <w:t xml:space="preserve">Technology Strategy</w:t>
      </w:r>
      <w:bookmarkEnd w:id="1365"/>
    </w:p>
    <w:p>
      <w:pPr>
        <w:pStyle w:val="FirstParagraph"/>
      </w:pPr>
      <w: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pPr>
        <w:pStyle w:val="Heading3"/>
      </w:pPr>
      <w:r>
        <w:rPr>
          <w:color w:val="161B22"/>
        </w:rPr>
        <w:t xml:space="preserve">12.3.5  </w:t>
      </w:r>
      <w:bookmarkStart w:id="1366" w:name="_Toc1365"/>
      <w:r>
        <w:rPr>
          <w:b/>
          <w:bCs/>
          <w:color w:val="161B22"/>
        </w:rPr>
        <w:t xml:space="preserve">Transformation Management</w:t>
      </w:r>
      <w:bookmarkEnd w:id="1366"/>
    </w:p>
    <w:p>
      <w:pPr>
        <w:pStyle w:val="FirstParagraph"/>
      </w:pPr>
      <w:r>
        <w:t xml:space="preserve">The Transformation Management service line is for organizations executing comprehensive transformation — not a single pillar decision but the full six-pillar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AHEAD implementation,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pPr>
        <w:pStyle w:val="Heading2"/>
        <w:pBdr>
          <w:top w:val="single" w:sz="6" w:space="10" w:color="C9D2DF"/>
        </w:pBdr>
      </w:pPr>
      <w:r>
        <w:rPr>
          <w:color w:val="161B22"/>
        </w:rPr>
        <w:t xml:space="preserve">12.4  </w:t>
      </w:r>
      <w:bookmarkStart w:id="1367" w:name="_Toc1366"/>
      <w:r>
        <w:rPr>
          <w:b/>
          <w:bCs/>
          <w:color w:val="161B22"/>
        </w:rPr>
        <w:t xml:space="preserve">The Change Management Science Behind Healthcare Transformation</w:t>
      </w:r>
      <w:bookmarkEnd w:id="1367"/>
    </w:p>
    <w:p>
      <w:pPr>
        <w:pStyle w:val="FirstParagraph"/>
      </w:pPr>
      <w: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pPr>
        <w:pStyle w:val="Heading3"/>
        <w:keepNext w:val="false"/>
      </w:pPr>
      <w:r>
        <w:rPr>
          <w:color w:val="161B22"/>
        </w:rPr>
        <w:t xml:space="preserve">12.4.1  </w:t>
      </w:r>
      <w:bookmarkStart w:id="1368" w:name="_Toc1367"/>
      <w:r>
        <w:rPr>
          <w:b/>
          <w:bCs/>
          <w:color w:val="161B22"/>
        </w:rPr>
        <w:t xml:space="preserve">Kotter’s Framework Applied to Healthcare Transformation</w:t>
      </w:r>
      <w:bookmarkEnd w:id="1368"/>
    </w:p>
    <w:p>
      <w:pPr>
        <w:pStyle w:val="FirstParagraph"/>
        <w:keepNext w:val="false"/>
      </w:pPr>
      <w: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tbl>
      <w:tblPr>
        <w:tblStyle w:val="HTRTable"/>
        <w:tblLook w:firstRow="1" w:lastRow="0" w:firstColumn="0" w:lastColumn="0" w:noHBand="0" w:noVBand="1" w:val="0020"/>
        <w:tblW w:w="9072" w:type="dxa"/>
        <w:tblLayout w:type="fixed"/>
      </w:tblPr>
      <w:tblGrid>
        <w:gridCol w:w="1183"/>
        <w:gridCol w:w="2629"/>
        <w:gridCol w:w="2629"/>
        <w:gridCol w:w="2629"/>
      </w:tblGrid>
      <w:tr>
        <w:trPr>
          <w:tblHeader w:val="on"/>
          <w:cantSplit/>
        </w:trPr>
        <w:tc>
          <w:tcPr>
            <w:shd w:val="clear" w:color="auto" w:fill="1B3A6B"/>
            <w:tcW w:w="1183" w:type="dxa"/>
          </w:tcPr>
          <w:p>
            <w:pPr>
              <w:pStyle w:val="Compact"/>
              <w:spacing w:before="0" w:after="0" w:line="240" w:lineRule="auto"/>
              <w:jc w:val="left"/>
            </w:pPr>
            <w:r>
              <w:rPr>
                <w:b/>
                <w:color w:val="FFFFFF"/>
                <w:sz w:val="17"/>
              </w:rPr>
              <w:t xml:space="preserve">Kotter step</w:t>
            </w:r>
          </w:p>
        </w:tc>
        <w:tc>
          <w:tcPr>
            <w:shd w:val="clear" w:color="auto" w:fill="1B3A6B"/>
            <w:tcW w:w="2629" w:type="dxa"/>
          </w:tcPr>
          <w:p>
            <w:pPr>
              <w:pStyle w:val="Compact"/>
              <w:spacing w:before="0" w:after="0" w:line="240" w:lineRule="auto"/>
              <w:jc w:val="left"/>
            </w:pPr>
            <w:r>
              <w:rPr>
                <w:b/>
                <w:color w:val="FFFFFF"/>
                <w:sz w:val="17"/>
              </w:rPr>
              <w:t xml:space="preserve">Original formulation</w:t>
            </w:r>
          </w:p>
        </w:tc>
        <w:tc>
          <w:tcPr>
            <w:shd w:val="clear" w:color="auto" w:fill="1B3A6B"/>
            <w:tcW w:w="2629" w:type="dxa"/>
          </w:tcPr>
          <w:p>
            <w:pPr>
              <w:pStyle w:val="Compact"/>
              <w:spacing w:before="0" w:after="0" w:line="240" w:lineRule="auto"/>
              <w:jc w:val="left"/>
            </w:pPr>
            <w:r>
              <w:rPr>
                <w:b/>
                <w:color w:val="FFFFFF"/>
                <w:sz w:val="17"/>
              </w:rPr>
              <w:t xml:space="preserve">Healthcare adaptation</w:t>
            </w:r>
          </w:p>
        </w:tc>
        <w:tc>
          <w:tcPr>
            <w:shd w:val="clear" w:color="auto" w:fill="1B3A6B"/>
            <w:tcW w:w="2629" w:type="dxa"/>
          </w:tcPr>
          <w:p>
            <w:pPr>
              <w:pStyle w:val="Compact"/>
              <w:spacing w:before="0" w:after="0" w:line="240" w:lineRule="auto"/>
              <w:jc w:val="left"/>
            </w:pPr>
            <w:r>
              <w:rPr>
                <w:b/>
                <w:color w:val="FFFFFF"/>
                <w:sz w:val="17"/>
              </w:rPr>
              <w:t xml:space="preserve">Vermont application</w:t>
            </w:r>
          </w:p>
        </w:tc>
      </w:tr>
      <w:tr>
        <w:trPr>
          <w:cantSplit/>
        </w:trPr>
        <w:tc>
          <w:tcPr>
            <w:tcW w:w="1183" w:type="dxa"/>
          </w:tcPr>
          <w:p>
            <w:pPr>
              <w:pStyle w:val="Compact"/>
              <w:spacing w:before="0" w:after="0" w:line="240" w:lineRule="auto"/>
              <w:jc w:val="left"/>
            </w:pPr>
            <w:r>
              <w:rPr>
                <w:sz w:val="17"/>
              </w:rPr>
              <w:t xml:space="preserve">1. Create urgency</w:t>
            </w:r>
          </w:p>
        </w:tc>
        <w:tc>
          <w:tcPr>
            <w:tcW w:w="2629" w:type="dxa"/>
          </w:tcPr>
          <w:p>
            <w:pPr>
              <w:pStyle w:val="Compact"/>
              <w:spacing w:before="0" w:after="0" w:line="240" w:lineRule="auto"/>
              <w:jc w:val="left"/>
            </w:pPr>
            <w:r>
              <w:rPr>
                <w:sz w:val="17"/>
              </w:rPr>
              <w:t xml:space="preserve">Build a sense of urgency around why change is needed</w:t>
            </w:r>
          </w:p>
        </w:tc>
        <w:tc>
          <w:tcPr>
            <w:tcW w:w="2629" w:type="dxa"/>
          </w:tcPr>
          <w:p>
            <w:pPr>
              <w:pStyle w:val="Compact"/>
              <w:spacing w:before="0" w:after="0" w:line="240" w:lineRule="auto"/>
              <w:jc w:val="left"/>
            </w:pPr>
            <w:r>
              <w:rPr>
                <w:sz w:val="17"/>
              </w:rPr>
              <w:t xml:space="preserve">The financial data — 9/14 Vermont hospitals reporting losses, $2.4B 5-year deficit, 108% premium increase — is the urgency. The analytical challenge is presenting it in terms that create organizational action rather than paralysis or denial.</w:t>
            </w:r>
          </w:p>
        </w:tc>
        <w:tc>
          <w:tcPr>
            <w:tcW w:w="2629" w:type="dxa"/>
          </w:tcPr>
          <w:p>
            <w:pPr>
              <w:pStyle w:val="Compact"/>
              <w:spacing w:before="0" w:after="0" w:line="240" w:lineRule="auto"/>
              <w:jc w:val="left"/>
            </w:pPr>
            <w:r>
              <w:rPr>
                <w:sz w:val="17"/>
              </w:rPr>
              <w:t xml:space="preserve">Oliver Wyman’s September 2024 public presentation created shared urgency across Vermont hospital leaders, legislators, and community members. The specificity and credibility of the financial projections was the urgency mechanism.</w:t>
            </w:r>
          </w:p>
        </w:tc>
      </w:tr>
      <w:tr>
        <w:trPr/>
        <w:tc>
          <w:tcPr>
            <w:tcW w:w="1183" w:type="dxa"/>
          </w:tcPr>
          <w:p>
            <w:pPr>
              <w:pStyle w:val="Compact"/>
              <w:spacing w:before="0" w:after="0" w:line="240" w:lineRule="auto"/>
              <w:jc w:val="left"/>
            </w:pPr>
            <w:r>
              <w:rPr>
                <w:sz w:val="17"/>
              </w:rPr>
              <w:t xml:space="preserve">2. Form a guiding coalition</w:t>
            </w:r>
          </w:p>
        </w:tc>
        <w:tc>
          <w:tcPr>
            <w:tcW w:w="2629" w:type="dxa"/>
          </w:tcPr>
          <w:p>
            <w:pPr>
              <w:pStyle w:val="Compact"/>
              <w:spacing w:before="0" w:after="0" w:line="240" w:lineRule="auto"/>
              <w:jc w:val="left"/>
            </w:pPr>
            <w:r>
              <w:rPr>
                <w:sz w:val="17"/>
              </w:rPr>
              <w:t xml:space="preserve">Assemble a group with the power and commitment to lead change</w:t>
            </w:r>
          </w:p>
        </w:tc>
        <w:tc>
          <w:tcPr>
            <w:tcW w:w="2629" w:type="dxa"/>
          </w:tcPr>
          <w:p>
            <w:pPr>
              <w:pStyle w:val="Compact"/>
              <w:spacing w:before="0" w:after="0" w:line="240" w:lineRule="auto"/>
              <w:jc w:val="left"/>
            </w:pPr>
            <w:r>
              <w:rPr>
                <w:sz w:val="17"/>
              </w:rPr>
              <w:t xml:space="preserve">In healthcare, the guiding coalition must include clinical leadership, not just administrative and financial leadership. Transformation that clinical leaders oppose will fail regardless of administrative mandates.</w:t>
            </w:r>
          </w:p>
        </w:tc>
        <w:tc>
          <w:tcPr>
            <w:tcW w:w="2629" w:type="dxa"/>
          </w:tcPr>
          <w:p>
            <w:pPr>
              <w:pStyle w:val="Compact"/>
              <w:spacing w:before="0" w:after="0" w:line="240" w:lineRule="auto"/>
              <w:jc w:val="left"/>
            </w:pPr>
            <w:r>
              <w:rPr>
                <w:sz w:val="17"/>
              </w:rPr>
              <w:t xml:space="preserve">Vermont’s guiding coalition: AHS leadership, GMCB, hospital CEOs, Legislature (Health Reform Oversight Committee), and the AHEAD negotiating team. Clinical leadership engagement is the gap — hospital medical staff governance is not yet systematically integrated into transformation planning.</w:t>
            </w:r>
          </w:p>
        </w:tc>
      </w:tr>
      <w:tr>
        <w:trPr/>
        <w:tc>
          <w:tcPr>
            <w:tcW w:w="1183" w:type="dxa"/>
          </w:tcPr>
          <w:p>
            <w:pPr>
              <w:pStyle w:val="Compact"/>
              <w:spacing w:before="0" w:after="0" w:line="240" w:lineRule="auto"/>
              <w:jc w:val="left"/>
            </w:pPr>
            <w:r>
              <w:rPr>
                <w:sz w:val="17"/>
              </w:rPr>
              <w:t xml:space="preserve">3. Develop a vision</w:t>
            </w:r>
          </w:p>
        </w:tc>
        <w:tc>
          <w:tcPr>
            <w:tcW w:w="2629" w:type="dxa"/>
          </w:tcPr>
          <w:p>
            <w:pPr>
              <w:pStyle w:val="Compact"/>
              <w:spacing w:before="0" w:after="0" w:line="240" w:lineRule="auto"/>
              <w:jc w:val="left"/>
            </w:pPr>
            <w:r>
              <w:rPr>
                <w:sz w:val="17"/>
              </w:rPr>
              <w:t xml:space="preserve">Create a clear vision of what the transformed organization looks like</w:t>
            </w:r>
          </w:p>
        </w:tc>
        <w:tc>
          <w:tcPr>
            <w:tcW w:w="2629" w:type="dxa"/>
          </w:tcPr>
          <w:p>
            <w:pPr>
              <w:pStyle w:val="Compact"/>
              <w:spacing w:before="0" w:after="0" w:line="240" w:lineRule="auto"/>
              <w:jc w:val="left"/>
            </w:pPr>
            <w:r>
              <w:rPr>
                <w:sz w:val="17"/>
              </w:rPr>
              <w:t xml:space="preserve">Vision must be specific enough to guide decisions and evaluate progress.</w:t>
            </w:r>
            <w:r>
              <w:rPr>
                <w:sz w:val="17"/>
              </w:rPr>
              <w:t xml:space="preserve"> </w:t>
            </w:r>
            <w:r>
              <w:rPr>
                <w:sz w:val="17"/>
              </w:rPr>
              <w:t xml:space="preserve">‘High-quality, affordable, equitable healthcare for all Vermonters’</w:t>
            </w:r>
            <w:r>
              <w:rPr>
                <w:sz w:val="17"/>
              </w:rPr>
              <w:t xml:space="preserve"> </w:t>
            </w:r>
            <w:r>
              <w:rPr>
                <w:sz w:val="17"/>
              </w:rPr>
              <w:t xml:space="preserve">is an aspiration; the 14-hospital tiered network with specific COE designations, PCMH penetration targets, and HEDIS performance goals is a vision.</w:t>
            </w:r>
          </w:p>
        </w:tc>
        <w:tc>
          <w:tcPr>
            <w:tcW w:w="2629" w:type="dxa"/>
          </w:tcPr>
          <w:p>
            <w:pPr>
              <w:pStyle w:val="Compact"/>
              <w:spacing w:before="0" w:after="0" w:line="240" w:lineRule="auto"/>
              <w:jc w:val="left"/>
            </w:pPr>
            <w:r>
              <w:rPr>
                <w:sz w:val="17"/>
              </w:rPr>
              <w:t xml:space="preserve">Vermont’s 2028 Statewide Strategic Plan is the vision document. The urgency is already created; the coalition is assembling; the vision is the December 2028 deadline.</w:t>
            </w:r>
          </w:p>
        </w:tc>
      </w:tr>
      <w:tr>
        <w:trPr/>
        <w:tc>
          <w:tcPr>
            <w:tcW w:w="1183" w:type="dxa"/>
          </w:tcPr>
          <w:p>
            <w:pPr>
              <w:pStyle w:val="Compact"/>
              <w:spacing w:before="0" w:after="0" w:line="240" w:lineRule="auto"/>
              <w:jc w:val="left"/>
            </w:pPr>
            <w:r>
              <w:rPr>
                <w:sz w:val="17"/>
              </w:rPr>
              <w:t xml:space="preserve">4. Communicate the vision</w:t>
            </w:r>
          </w:p>
        </w:tc>
        <w:tc>
          <w:tcPr>
            <w:tcW w:w="2629" w:type="dxa"/>
          </w:tcPr>
          <w:p>
            <w:pPr>
              <w:pStyle w:val="Compact"/>
              <w:spacing w:before="0" w:after="0" w:line="240" w:lineRule="auto"/>
              <w:jc w:val="left"/>
            </w:pPr>
            <w:r>
              <w:rPr>
                <w:sz w:val="17"/>
              </w:rPr>
              <w:t xml:space="preserve">Communicate the vision continuously through every available channel</w:t>
            </w:r>
          </w:p>
        </w:tc>
        <w:tc>
          <w:tcPr>
            <w:tcW w:w="2629" w:type="dxa"/>
          </w:tcPr>
          <w:p>
            <w:pPr>
              <w:pStyle w:val="Compact"/>
              <w:spacing w:before="0" w:after="0" w:line="240" w:lineRule="auto"/>
              <w:jc w:val="left"/>
            </w:pPr>
            <w:r>
              <w:rPr>
                <w:sz w:val="17"/>
              </w:rPr>
              <w:t xml:space="preserve">Healthcare transformation requires communicating to multiple distinct audiences — clinical staff, administrators, community members, legislators, payers — with messages calibrated to each audience’s concerns and decision-making context.</w:t>
            </w:r>
          </w:p>
        </w:tc>
        <w:tc>
          <w:tcPr>
            <w:tcW w:w="2629" w:type="dxa"/>
          </w:tcPr>
          <w:p>
            <w:pPr>
              <w:pStyle w:val="Compact"/>
              <w:spacing w:before="0" w:after="0" w:line="240" w:lineRule="auto"/>
              <w:jc w:val="left"/>
            </w:pPr>
            <w:r>
              <w:rPr>
                <w:sz w:val="17"/>
              </w:rPr>
              <w:t xml:space="preserve">Vermont’s monthly legislative reporting, AHS community engagement process, hospital transformation plan development process, and Blueprint for Health regional meetings are all vision communication vehicles.</w:t>
            </w:r>
          </w:p>
        </w:tc>
      </w:tr>
      <w:tr>
        <w:trPr/>
        <w:tc>
          <w:tcPr>
            <w:tcW w:w="1183" w:type="dxa"/>
          </w:tcPr>
          <w:p>
            <w:pPr>
              <w:pStyle w:val="Compact"/>
              <w:spacing w:before="0" w:after="0" w:line="240" w:lineRule="auto"/>
              <w:jc w:val="left"/>
            </w:pPr>
            <w:r>
              <w:rPr>
                <w:sz w:val="17"/>
              </w:rPr>
              <w:t xml:space="preserve">5. Remove obstacles</w:t>
            </w:r>
          </w:p>
        </w:tc>
        <w:tc>
          <w:tcPr>
            <w:tcW w:w="2629" w:type="dxa"/>
          </w:tcPr>
          <w:p>
            <w:pPr>
              <w:pStyle w:val="Compact"/>
              <w:spacing w:before="0" w:after="0" w:line="240" w:lineRule="auto"/>
              <w:jc w:val="left"/>
            </w:pPr>
            <w:r>
              <w:rPr>
                <w:sz w:val="17"/>
              </w:rPr>
              <w:t xml:space="preserve">Remove barriers to change that are within the coalition’s control</w:t>
            </w:r>
          </w:p>
        </w:tc>
        <w:tc>
          <w:tcPr>
            <w:tcW w:w="2629" w:type="dxa"/>
          </w:tcPr>
          <w:p>
            <w:pPr>
              <w:pStyle w:val="Compact"/>
              <w:spacing w:before="0" w:after="0" w:line="240" w:lineRule="auto"/>
              <w:jc w:val="left"/>
            </w:pPr>
            <w:r>
              <w:rPr>
                <w:sz w:val="17"/>
              </w:rPr>
              <w:t xml:space="preserve">In healthcare, obstacles include administrative complexity (prior authorization, CON processes), organizational design (program silos, lack of analytics capacity), and contracting structures (FFS payment that rewards volume despite VBC rhetoric).</w:t>
            </w:r>
          </w:p>
        </w:tc>
        <w:tc>
          <w:tcPr>
            <w:tcW w:w="2629" w:type="dxa"/>
          </w:tcPr>
          <w:p>
            <w:pPr>
              <w:pStyle w:val="Compact"/>
              <w:spacing w:before="0" w:after="0" w:line="240" w:lineRule="auto"/>
              <w:jc w:val="left"/>
            </w:pPr>
            <w:r>
              <w:rPr>
                <w:sz w:val="17"/>
              </w:rPr>
              <w:t xml:space="preserve">Vermont’s Acts 167 and 68 are institutional obstacle removal. Act 68 removed the voluntary/optional nature of RBP. The AHS restructuring removes the program silo organizational obstacle. The analytics vendor removes the data infrastructure obstacle.</w:t>
            </w:r>
          </w:p>
        </w:tc>
      </w:tr>
      <w:tr>
        <w:trPr/>
        <w:tc>
          <w:tcPr>
            <w:tcW w:w="1183" w:type="dxa"/>
          </w:tcPr>
          <w:p>
            <w:pPr>
              <w:pStyle w:val="Compact"/>
              <w:spacing w:before="0" w:after="0" w:line="240" w:lineRule="auto"/>
              <w:jc w:val="left"/>
            </w:pPr>
            <w:r>
              <w:rPr>
                <w:sz w:val="17"/>
              </w:rPr>
              <w:t xml:space="preserve">6. Create short-term wins</w:t>
            </w:r>
          </w:p>
        </w:tc>
        <w:tc>
          <w:tcPr>
            <w:tcW w:w="2629" w:type="dxa"/>
          </w:tcPr>
          <w:p>
            <w:pPr>
              <w:pStyle w:val="Compact"/>
              <w:spacing w:before="0" w:after="0" w:line="240" w:lineRule="auto"/>
              <w:jc w:val="left"/>
            </w:pPr>
            <w:r>
              <w:rPr>
                <w:sz w:val="17"/>
              </w:rPr>
              <w:t xml:space="preserve">Plan for and achieve visible improvements early in the change process</w:t>
            </w:r>
          </w:p>
        </w:tc>
        <w:tc>
          <w:tcPr>
            <w:tcW w:w="2629" w:type="dxa"/>
          </w:tcPr>
          <w:p>
            <w:pPr>
              <w:pStyle w:val="Compact"/>
              <w:spacing w:before="0" w:after="0" w:line="240" w:lineRule="auto"/>
              <w:jc w:val="left"/>
            </w:pPr>
            <w:r>
              <w:rPr>
                <w:sz w:val="17"/>
              </w:rPr>
              <w:t xml:space="preserve">Short-term wins must be genuine, visible, and attributable to the transformation effort — not cherry-picked data or coincidental improvements.</w:t>
            </w:r>
          </w:p>
        </w:tc>
        <w:tc>
          <w:tcPr>
            <w:tcW w:w="2629" w:type="dxa"/>
          </w:tcPr>
          <w:p>
            <w:pPr>
              <w:pStyle w:val="Compact"/>
              <w:spacing w:before="0" w:after="0" w:line="240" w:lineRule="auto"/>
              <w:jc w:val="left"/>
            </w:pPr>
            <w:r>
              <w:rPr>
                <w:sz w:val="17"/>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FY2027-2028) will be the first financial outcome win.</w:t>
            </w:r>
          </w:p>
        </w:tc>
      </w:tr>
      <w:tr>
        <w:trPr/>
        <w:tc>
          <w:tcPr>
            <w:tcW w:w="1183" w:type="dxa"/>
          </w:tcPr>
          <w:p>
            <w:pPr>
              <w:pStyle w:val="Compact"/>
              <w:spacing w:before="0" w:after="0" w:line="240" w:lineRule="auto"/>
              <w:jc w:val="left"/>
            </w:pPr>
            <w:r>
              <w:rPr>
                <w:sz w:val="17"/>
              </w:rPr>
              <w:t xml:space="preserve">7. Sustain acceleration</w:t>
            </w:r>
          </w:p>
        </w:tc>
        <w:tc>
          <w:tcPr>
            <w:tcW w:w="2629" w:type="dxa"/>
          </w:tcPr>
          <w:p>
            <w:pPr>
              <w:pStyle w:val="Compact"/>
              <w:spacing w:before="0" w:after="0" w:line="240" w:lineRule="auto"/>
              <w:jc w:val="left"/>
            </w:pPr>
            <w:r>
              <w:rPr>
                <w:sz w:val="17"/>
              </w:rPr>
              <w:t xml:space="preserve">Build on early wins to drive deeper change</w:t>
            </w:r>
          </w:p>
        </w:tc>
        <w:tc>
          <w:tcPr>
            <w:tcW w:w="2629" w:type="dxa"/>
          </w:tcPr>
          <w:p>
            <w:pPr>
              <w:pStyle w:val="Compact"/>
              <w:spacing w:before="0" w:after="0" w:line="240" w:lineRule="auto"/>
              <w:jc w:val="left"/>
            </w:pPr>
            <w:r>
              <w:rPr>
                <w:sz w:val="17"/>
              </w:rPr>
              <w:t xml:space="preserve">Healthcare transformation must sustain momentum across multiple election cycles, budget battles, and inevitable setbacks. Statutory mandate — Act 68’s December 2028 deadline — is the Vermont mechanism for sustaining acceleration.</w:t>
            </w:r>
          </w:p>
        </w:tc>
        <w:tc>
          <w:tcPr>
            <w:tcW w:w="2629" w:type="dxa"/>
          </w:tcPr>
          <w:p>
            <w:pPr>
              <w:pStyle w:val="Compact"/>
              <w:spacing w:before="0" w:after="0" w:line="240" w:lineRule="auto"/>
              <w:jc w:val="left"/>
            </w:pPr>
            <w:r>
              <w:rPr>
                <w:sz w:val="17"/>
              </w:rPr>
              <w:t xml:space="preserve">Vermont’s reform cascade structure — each Act building on the previous — is the acceleration mechanism. The Political risk is disruption of the sequence; the institutional protection is the GMCB’s independent regulatory authority.</w:t>
            </w:r>
          </w:p>
        </w:tc>
      </w:tr>
      <w:tr>
        <w:trPr>
          <w:cantSplit/>
        </w:trPr>
        <w:tc>
          <w:tcPr>
            <w:tcW w:w="1183" w:type="dxa"/>
          </w:tcPr>
          <w:p>
            <w:pPr>
              <w:pStyle w:val="Compact"/>
              <w:spacing w:before="0" w:after="0" w:line="240" w:lineRule="auto"/>
              <w:jc w:val="left"/>
            </w:pPr>
            <w:r>
              <w:rPr>
                <w:sz w:val="17"/>
              </w:rPr>
              <w:t xml:space="preserve">8. Institute change</w:t>
            </w:r>
          </w:p>
        </w:tc>
        <w:tc>
          <w:tcPr>
            <w:tcW w:w="2629" w:type="dxa"/>
          </w:tcPr>
          <w:p>
            <w:pPr>
              <w:pStyle w:val="Compact"/>
              <w:spacing w:before="0" w:after="0" w:line="240" w:lineRule="auto"/>
              <w:jc w:val="left"/>
            </w:pPr>
            <w:r>
              <w:rPr>
                <w:sz w:val="17"/>
              </w:rPr>
              <w:t xml:space="preserve">Anchor changes in organizational culture and systems</w:t>
            </w:r>
          </w:p>
        </w:tc>
        <w:tc>
          <w:tcPr>
            <w:tcW w:w="2629" w:type="dxa"/>
          </w:tcPr>
          <w:p>
            <w:pPr>
              <w:pStyle w:val="Compact"/>
              <w:spacing w:before="0" w:after="0" w:line="240" w:lineRule="auto"/>
              <w:jc w:val="left"/>
            </w:pPr>
            <w:r>
              <w:rPr>
                <w:sz w:val="17"/>
              </w:rPr>
              <w:t xml:space="preserve">New behaviors must become standard practice, not dependent on continuing leadership attention. Payment reform is the ultimate change institutionalization — when hospitals’ financial incentives permanently change, the new behaviors become the default.</w:t>
            </w:r>
          </w:p>
        </w:tc>
        <w:tc>
          <w:tcPr>
            <w:tcW w:w="2629" w:type="dxa"/>
          </w:tcPr>
          <w:p>
            <w:pPr>
              <w:pStyle w:val="Compact"/>
              <w:spacing w:before="0" w:after="0" w:line="240" w:lineRule="auto"/>
              <w:jc w:val="left"/>
            </w:pPr>
            <w:r>
              <w:rPr>
                <w:sz w:val="17"/>
              </w:rPr>
              <w:t xml:space="preserve">Global budgets as mandatory, permanent payment architecture are the ultimate institutionalization mechanism. When Vermont hospitals cannot generate revenue by increasing volume, the financial logic of population health management becomes permanent.</w:t>
            </w:r>
          </w:p>
        </w:tc>
      </w:tr>
    </w:tbl>
    <w:p>
      <w:pPr>
        <w:pStyle w:val="Caption"/>
        <w:spacing w:before="120"/>
      </w:pPr>
      <w:r>
        <w:rPr>
          <w:i/>
          <w:iCs/>
        </w:rPr>
        <w:t xml:space="preserve">Figure 12.2 — Kotter’s change management framework applied to Vermont’s healthcare transformation. Source: HTR Advisory methodology; Kotter (1996); Vermont transformation documentation.</w:t>
      </w:r>
    </w:p>
    <w:p>
      <w:pPr>
        <w:pStyle w:val="Heading3"/>
      </w:pPr>
      <w:r>
        <w:rPr>
          <w:color w:val="161B22"/>
        </w:rPr>
        <w:t xml:space="preserve">12.4.2  </w:t>
      </w:r>
      <w:bookmarkStart w:id="1369" w:name="_Toc1368"/>
      <w:r>
        <w:rPr>
          <w:b/>
          <w:bCs/>
          <w:color w:val="161B22"/>
        </w:rPr>
        <w:t xml:space="preserve">The Transformation Pace Problem</w:t>
      </w:r>
      <w:bookmarkEnd w:id="1369"/>
    </w:p>
    <w:p>
      <w:pPr>
        <w:pStyle w:val="FirstParagraph"/>
      </w:pPr>
      <w: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pPr>
        <w:pStyle w:val="BodyText"/>
      </w:pPr>
      <w: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pPr>
        <w:pStyle w:val="BodyText"/>
      </w:pPr>
      <w: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pPr>
        <w:pStyle w:val="BodyText"/>
      </w:pPr>
      <w:r>
        <w:t xml:space="preserve">Third, there are external constraints: federal program timelines (AHEAD’s January 2028 launch is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pPr>
        <w:pStyle w:val="Heading2"/>
        <w:pBdr>
          <w:top w:val="single" w:sz="6" w:space="10" w:color="C9D2DF"/>
        </w:pBdr>
        <w:keepNext w:val="false"/>
      </w:pPr>
      <w:r>
        <w:rPr>
          <w:color w:val="161B22"/>
        </w:rPr>
        <w:t xml:space="preserve">12.5  </w:t>
      </w:r>
      <w:bookmarkStart w:id="1370" w:name="_Toc1369"/>
      <w:r>
        <w:rPr>
          <w:b/>
          <w:bCs/>
          <w:color w:val="161B22"/>
        </w:rPr>
        <w:t xml:space="preserve">The HTR Implementation Toolkit</w:t>
      </w:r>
      <w:bookmarkEnd w:id="1370"/>
    </w:p>
    <w:p>
      <w:pPr>
        <w:pStyle w:val="FirstParagraph"/>
        <w:keepNext w:val="false"/>
      </w:pPr>
      <w:r>
        <w:t xml:space="preserve">The HTR Implementation Toolkit is the operational counterpart to this book’s analytical framework. Where the book develops concepts, the Toolkit provides the instruments for applying them. The following tools are available to Strategist and Enterprise subscribers:</w:t>
      </w:r>
    </w:p>
    <w:tbl>
      <w:tblPr>
        <w:tblStyle w:val="HTRTable"/>
        <w:tblLook w:firstRow="1" w:lastRow="0" w:firstColumn="0" w:lastColumn="0" w:noHBand="0" w:noVBand="1" w:val="0020"/>
        <w:tblW w:w="9072" w:type="dxa"/>
        <w:tblLayout w:type="fixed"/>
      </w:tblPr>
      <w:tblGrid>
        <w:gridCol w:w="3573"/>
        <w:gridCol w:w="5498"/>
      </w:tblGrid>
      <w:tr>
        <w:trPr>
          <w:tblHeader w:val="on"/>
          <w:cantSplit/>
        </w:trPr>
        <w:tc>
          <w:tcPr>
            <w:shd w:val="clear" w:color="auto" w:fill="1B3A6B"/>
            <w:tcW w:w="3573" w:type="dxa"/>
          </w:tcPr>
          <w:p>
            <w:pPr>
              <w:pStyle w:val="Compact"/>
              <w:jc w:val="left"/>
            </w:pPr>
            <w:r>
              <w:rPr>
                <w:b/>
                <w:color w:val="FFFFFF"/>
                <w:sz w:val="18"/>
              </w:rPr>
              <w:t xml:space="preserve">Tool</w:t>
            </w:r>
          </w:p>
        </w:tc>
        <w:tc>
          <w:tcPr>
            <w:shd w:val="clear" w:color="auto" w:fill="1B3A6B"/>
            <w:tcW w:w="5498" w:type="dxa"/>
          </w:tcPr>
          <w:p>
            <w:pPr>
              <w:pStyle w:val="Compact"/>
              <w:jc w:val="left"/>
            </w:pPr>
            <w:r>
              <w:rPr>
                <w:b/>
                <w:color w:val="FFFFFF"/>
                <w:sz w:val="18"/>
              </w:rPr>
              <w:t xml:space="preserve">What it does</w:t>
            </w:r>
          </w:p>
        </w:tc>
      </w:tr>
      <w:tr>
        <w:trPr>
          <w:cantSplit/>
        </w:trPr>
        <w:tc>
          <w:tcPr>
            <w:tcW w:w="3573" w:type="dxa"/>
          </w:tcPr>
          <w:p>
            <w:pPr>
              <w:pStyle w:val="Compact"/>
              <w:jc w:val="left"/>
            </w:pPr>
            <w:r>
              <w:rPr>
                <w:sz w:val="18"/>
              </w:rPr>
              <w:t xml:space="preserve">APM Shared Savings Calculator</w:t>
            </w:r>
          </w:p>
        </w:tc>
        <w:tc>
          <w:tcPr>
            <w:tcW w:w="5498" w:type="dxa"/>
          </w:tcPr>
          <w:p>
            <w:pPr>
              <w:pStyle w:val="Compact"/>
              <w:jc w:val="left"/>
            </w:pPr>
            <w:r>
              <w:rPr>
                <w:sz w:val="18"/>
              </w:rPr>
              <w:t xml:space="preserve">Models shared savings or loss potential under any APM contract given benchmark, actual TCOC, and sharing rate inputs. Includes scenario analysis for pessimistic/base/optimistic performance assumptions.</w:t>
            </w:r>
          </w:p>
        </w:tc>
      </w:tr>
      <w:tr>
        <w:trPr/>
        <w:tc>
          <w:tcPr>
            <w:tcW w:w="3573" w:type="dxa"/>
          </w:tcPr>
          <w:p>
            <w:pPr>
              <w:pStyle w:val="Compact"/>
              <w:jc w:val="left"/>
            </w:pPr>
            <w:r>
              <w:rPr>
                <w:sz w:val="18"/>
              </w:rPr>
              <w:t xml:space="preserve">VBC Transformation Readiness Assessment</w:t>
            </w:r>
          </w:p>
        </w:tc>
        <w:tc>
          <w:tcPr>
            <w:tcW w:w="5498" w:type="dxa"/>
          </w:tcPr>
          <w:p>
            <w:pPr>
              <w:pStyle w:val="Compact"/>
              <w:jc w:val="left"/>
            </w:pPr>
            <w:r>
              <w:rPr>
                <w:sz w:val="18"/>
              </w:rPr>
              <w:t xml:space="preserve">30-dimension assessment across six domains producing an organizational readiness score and prioritized gap analysis. Available as a self-assessment or facilitated external assessment.</w:t>
            </w:r>
          </w:p>
        </w:tc>
      </w:tr>
      <w:tr>
        <w:trPr/>
        <w:tc>
          <w:tcPr>
            <w:tcW w:w="3573" w:type="dxa"/>
          </w:tcPr>
          <w:p>
            <w:pPr>
              <w:pStyle w:val="Compact"/>
              <w:jc w:val="left"/>
            </w:pPr>
            <w:r>
              <w:rPr>
                <w:sz w:val="18"/>
              </w:rPr>
              <w:t xml:space="preserve">Hospital Financial Stress Test Model</w:t>
            </w:r>
          </w:p>
        </w:tc>
        <w:tc>
          <w:tcPr>
            <w:tcW w:w="5498" w:type="dxa"/>
          </w:tcPr>
          <w:p>
            <w:pPr>
              <w:pStyle w:val="Compact"/>
              <w:jc w:val="left"/>
            </w:pPr>
            <w:r>
              <w:rPr>
                <w:sz w:val="18"/>
              </w:rPr>
              <w:t xml:space="preserve">Models hospital financial position under RBP, global budget, and Medicaid cut scenarios with organization-specific inputs. Includes 10-year projection capability.</w:t>
            </w:r>
          </w:p>
        </w:tc>
      </w:tr>
      <w:tr>
        <w:trPr/>
        <w:tc>
          <w:tcPr>
            <w:tcW w:w="3573" w:type="dxa"/>
          </w:tcPr>
          <w:p>
            <w:pPr>
              <w:pStyle w:val="Compact"/>
              <w:jc w:val="left"/>
            </w:pPr>
            <w:r>
              <w:rPr>
                <w:sz w:val="18"/>
              </w:rPr>
              <w:t xml:space="preserve">Health Equity Studio (HEROI)</w:t>
            </w:r>
          </w:p>
        </w:tc>
        <w:tc>
          <w:tcPr>
            <w:tcW w:w="5498" w:type="dxa"/>
          </w:tcPr>
          <w:p>
            <w:pPr>
              <w:pStyle w:val="Compact"/>
              <w:jc w:val="left"/>
            </w:pPr>
            <w:r>
              <w:rPr>
                <w:sz w:val="18"/>
              </w:rPr>
              <w:t xml:space="preserve">Calculates HEROI composite equity score from stratified HEDIS data. Includes disparity decomposition module and intervention portfolio designer.</w:t>
            </w:r>
          </w:p>
        </w:tc>
      </w:tr>
      <w:tr>
        <w:trPr/>
        <w:tc>
          <w:tcPr>
            <w:tcW w:w="3573" w:type="dxa"/>
          </w:tcPr>
          <w:p>
            <w:pPr>
              <w:pStyle w:val="Compact"/>
              <w:jc w:val="left"/>
            </w:pPr>
            <w:r>
              <w:rPr>
                <w:sz w:val="18"/>
              </w:rPr>
              <w:t xml:space="preserve">AI Clinical Governance Checklist</w:t>
            </w:r>
          </w:p>
        </w:tc>
        <w:tc>
          <w:tcPr>
            <w:tcW w:w="5498" w:type="dxa"/>
          </w:tcPr>
          <w:p>
            <w:pPr>
              <w:pStyle w:val="Compact"/>
              <w:jc w:val="left"/>
            </w:pPr>
            <w:r>
              <w:rPr>
                <w:sz w:val="18"/>
              </w:rPr>
              <w:t xml:space="preserve">65-item governance evaluation across six lifecycle stages for clinical AI deployments. Includes vendor assessment module and equity monitoring protocol.</w:t>
            </w:r>
          </w:p>
        </w:tc>
      </w:tr>
      <w:tr>
        <w:trPr/>
        <w:tc>
          <w:tcPr>
            <w:tcW w:w="3573" w:type="dxa"/>
          </w:tcPr>
          <w:p>
            <w:pPr>
              <w:pStyle w:val="Compact"/>
              <w:jc w:val="left"/>
            </w:pPr>
            <w:r>
              <w:rPr>
                <w:sz w:val="18"/>
              </w:rPr>
              <w:t xml:space="preserve">VBC Contract Review Checklist</w:t>
            </w:r>
          </w:p>
        </w:tc>
        <w:tc>
          <w:tcPr>
            <w:tcW w:w="5498" w:type="dxa"/>
          </w:tcPr>
          <w:p>
            <w:pPr>
              <w:pStyle w:val="Compact"/>
              <w:jc w:val="left"/>
            </w:pPr>
            <w:r>
              <w:rPr>
                <w:sz w:val="18"/>
              </w:rPr>
              <w:t xml:space="preserve">65-item analysis framework for VBC contract evaluation, covering benchmark methodology, attribution, quality withhold, risk corridors, carve-outs, and reconciliation terms.</w:t>
            </w:r>
          </w:p>
        </w:tc>
      </w:tr>
      <w:tr>
        <w:trPr/>
        <w:tc>
          <w:tcPr>
            <w:tcW w:w="3573" w:type="dxa"/>
          </w:tcPr>
          <w:p>
            <w:pPr>
              <w:pStyle w:val="Compact"/>
              <w:jc w:val="left"/>
            </w:pPr>
            <w:r>
              <w:rPr>
                <w:sz w:val="18"/>
              </w:rPr>
              <w:t xml:space="preserve">Policy Impact Assessment Framework</w:t>
            </w:r>
          </w:p>
        </w:tc>
        <w:tc>
          <w:tcPr>
            <w:tcW w:w="5498" w:type="dxa"/>
          </w:tcPr>
          <w:p>
            <w:pPr>
              <w:pStyle w:val="Compact"/>
              <w:jc w:val="left"/>
            </w:pPr>
            <w:r>
              <w:rPr>
                <w:sz w:val="18"/>
              </w:rPr>
              <w:t xml:space="preserve">Structured evaluation tool for new policy developments: exposure mapping, scenario analysis, response strategy selection, and stakeholder communication planning.</w:t>
            </w:r>
          </w:p>
        </w:tc>
      </w:tr>
      <w:tr>
        <w:trPr/>
        <w:tc>
          <w:tcPr>
            <w:tcW w:w="3573" w:type="dxa"/>
          </w:tcPr>
          <w:p>
            <w:pPr>
              <w:pStyle w:val="Compact"/>
              <w:jc w:val="left"/>
            </w:pPr>
            <w:r>
              <w:rPr>
                <w:sz w:val="18"/>
              </w:rPr>
              <w:t xml:space="preserve">Transformation Readiness Scorecard</w:t>
            </w:r>
          </w:p>
        </w:tc>
        <w:tc>
          <w:tcPr>
            <w:tcW w:w="5498" w:type="dxa"/>
          </w:tcPr>
          <w:p>
            <w:pPr>
              <w:pStyle w:val="Compact"/>
              <w:jc w:val="left"/>
            </w:pPr>
            <w:r>
              <w:rPr>
                <w:sz w:val="18"/>
              </w:rPr>
              <w:t xml:space="preserve">Executive-level dashboard tracking organizational progress across all six pillars against established benchmarks.</w:t>
            </w:r>
          </w:p>
        </w:tc>
      </w:tr>
      <w:tr>
        <w:trPr/>
        <w:tc>
          <w:tcPr>
            <w:tcW w:w="3573" w:type="dxa"/>
          </w:tcPr>
          <w:p>
            <w:pPr>
              <w:pStyle w:val="Compact"/>
              <w:jc w:val="left"/>
            </w:pPr>
            <w:r>
              <w:rPr>
                <w:sz w:val="18"/>
              </w:rPr>
              <w:t xml:space="preserve">FHIR Implementation Guide</w:t>
            </w:r>
          </w:p>
        </w:tc>
        <w:tc>
          <w:tcPr>
            <w:tcW w:w="5498" w:type="dxa"/>
          </w:tcPr>
          <w:p>
            <w:pPr>
              <w:pStyle w:val="Compact"/>
              <w:jc w:val="left"/>
            </w:pPr>
            <w:r>
              <w:rPr>
                <w:sz w:val="18"/>
              </w:rPr>
              <w:t xml:space="preserve">Step-by-step technical guide for implementing the three priority FHIR use cases with EHR-specific configuration notes for Epic, Oracle Health, Meditech, and TruBridge.</w:t>
            </w:r>
          </w:p>
        </w:tc>
      </w:tr>
      <w:tr>
        <w:trPr>
          <w:cantSplit/>
        </w:trPr>
        <w:tc>
          <w:tcPr>
            <w:tcW w:w="3573" w:type="dxa"/>
          </w:tcPr>
          <w:p>
            <w:pPr>
              <w:pStyle w:val="Compact"/>
              <w:jc w:val="left"/>
            </w:pPr>
            <w:r>
              <w:rPr>
                <w:sz w:val="18"/>
              </w:rPr>
              <w:t xml:space="preserve">HCC Gap Closure Playbook</w:t>
            </w:r>
          </w:p>
        </w:tc>
        <w:tc>
          <w:tcPr>
            <w:tcW w:w="5498" w:type="dxa"/>
          </w:tcPr>
          <w:p>
            <w:pPr>
              <w:pStyle w:val="Compact"/>
              <w:jc w:val="left"/>
            </w:pPr>
            <w:r>
              <w:rPr>
                <w:sz w:val="18"/>
              </w:rPr>
              <w:t xml:space="preserve">Methodology guide for retrospective HCC gap analysis, including coding education materials and AWV completion program design.</w:t>
            </w:r>
          </w:p>
        </w:tc>
      </w:tr>
    </w:tbl>
    <w:p>
      <w:pPr>
        <w:pStyle w:val="Caption"/>
        <w:spacing w:before="120"/>
      </w:pPr>
      <w:r>
        <w:rPr>
          <w:i/>
          <w:iCs/>
        </w:rPr>
        <w:t xml:space="preserve">Figure 12.3 — HTR Implementation Toolkit: available tools for Strategist and Enterprise subscribers.</w:t>
      </w:r>
    </w:p>
    <w:p>
      <w:pPr>
        <w:pStyle w:val="Heading2"/>
        <w:pBdr>
          <w:top w:val="single" w:sz="6" w:space="10" w:color="C9D2DF"/>
        </w:pBdr>
      </w:pPr>
      <w:r>
        <w:rPr>
          <w:color w:val="161B22"/>
        </w:rPr>
        <w:t xml:space="preserve">12.6  </w:t>
      </w:r>
      <w:bookmarkStart w:id="1371" w:name="_Toc1370"/>
      <w:r>
        <w:rPr>
          <w:b/>
          <w:bCs/>
          <w:color w:val="161B22"/>
        </w:rPr>
        <w:t xml:space="preserve">A Framework for Selecting Advisory Support</w:t>
      </w:r>
      <w:bookmarkEnd w:id="1371"/>
    </w:p>
    <w:p>
      <w:pPr>
        <w:pStyle w:val="FirstParagraph"/>
      </w:pPr>
      <w:r>
        <w:t xml:space="preserve">Not every organization needs external advisory support for transformation. Many of the analytical frameworks in this book can be implemented by capable internal teams with access to the Research Lab tools. External advisory support adds value when:</w:t>
      </w:r>
    </w:p>
    <w:p>
      <w:pPr>
        <w:pStyle w:val="BodyText"/>
      </w:pPr>
      <w: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pPr>
        <w:pStyle w:val="BodyText"/>
      </w:pPr>
      <w: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pPr>
        <w:pStyle w:val="BodyText"/>
      </w:pPr>
      <w: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pPr>
        <w:pStyle w:val="BodyText"/>
      </w:pPr>
      <w:r>
        <w:t xml:space="preserve">The regulatory environment is moving faster than internal policy monitoring capacity can track, and the organization needs continuous intelligence and interpretation rather than periodic project-based analysis.</w:t>
      </w:r>
    </w:p>
    <w:p>
      <w:pPr>
        <w:pStyle w:val="BodyText"/>
      </w:pPr>
      <w: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pPr>
        <w:pStyle w:val="PullQuote"/>
      </w:pPr>
      <w:r>
        <w:rPr>
          <w:rFonts w:ascii="Garamond" w:hAnsi="Garamond"/>
          <w:i/>
          <w:color w:val="1A1A1A"/>
          <w:sz w:val="22"/>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p>
    <w:p>
      <w:pPr>
        <w:pStyle w:val="QuoteAttr"/>
      </w:pPr>
      <w:r>
        <w:rPr>
          <w:rFonts w:ascii="Garamond" w:hAnsi="Garamond"/>
          <w:b w:val="0"/>
          <w:i w:val="0"/>
          <w:color w:val="333333"/>
          <w:sz w:val="19"/>
        </w:rPr>
        <w:t xml:space="preserve">— Composite of client reflections, HTR Advisory engagements, 2022-2026</w:t>
      </w:r>
    </w:p>
    <w:p>
      <w:pPr>
        <w:pStyle w:val="Heading2"/>
        <w:pBdr>
          <w:top w:val="single" w:sz="6" w:space="10" w:color="C9D2DF"/>
        </w:pBdr>
      </w:pPr>
      <w:r>
        <w:rPr>
          <w:color w:val="161B22"/>
        </w:rPr>
        <w:t xml:space="preserve">12.7  </w:t>
      </w:r>
      <w:bookmarkStart w:id="1372" w:name="_Toc1371"/>
      <w:r>
        <w:rPr>
          <w:b/>
          <w:bCs/>
          <w:color w:val="161B22"/>
        </w:rPr>
        <w:t xml:space="preserve">The Role of External Technical Assistance in State-Level Transformation</w:t>
      </w:r>
      <w:bookmarkEnd w:id="1372"/>
    </w:p>
    <w:p>
      <w:pPr>
        <w:pStyle w:val="FirstParagraph"/>
      </w:pPr>
      <w: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pPr>
        <w:pStyle w:val="Heading2"/>
        <w:pBdr>
          <w:top w:val="single" w:sz="6" w:space="10" w:color="C9D2DF"/>
        </w:pBdr>
        <w:keepNext w:val="false"/>
      </w:pPr>
      <w:r>
        <w:rPr>
          <w:color w:val="161B22"/>
        </w:rPr>
        <w:t xml:space="preserve">12.8  </w:t>
      </w:r>
      <w:bookmarkStart w:id="1373" w:name="_Toc1372"/>
      <w:r>
        <w:rPr>
          <w:b/>
          <w:bCs/>
          <w:color w:val="161B22"/>
        </w:rPr>
        <w:t xml:space="preserve">Work This Chapter on the Platform</w:t>
      </w:r>
      <w:bookmarkEnd w:id="1373"/>
    </w:p>
    <w:p>
      <w:pPr>
        <w:pStyle w:val="FirstParagraph"/>
        <w:keepNext w:val="false"/>
      </w:pPr>
      <w:r>
        <w:t xml:space="preserve">This chapter argues that knowledge without implementation infrastructure produces nothing. The</w:t>
      </w:r>
      <w:r>
        <w:t xml:space="preserve"> </w:t>
      </w:r>
      <w:hyperlink r:id="rId23">
        <w:r>
          <w:rPr>
            <w:rStyle w:val="Hyperlink"/>
          </w:rPr>
          <w:t xml:space="preserve">HTR platform</w:t>
        </w:r>
      </w:hyperlink>
      <w:r>
        <w:t xml:space="preserve"> </w:t>
      </w:r>
      <w:r>
        <w:t xml:space="preserve">is one instance of that infrastructure — the tools below are where the book’s frameworks become working instruments.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Search the evidence base behind a claim before you cite it in your own work</w:t>
            </w:r>
          </w:p>
        </w:tc>
        <w:tc>
          <w:tcPr>
            <w:tcW w:w="947" w:type="dxa"/>
          </w:tcPr>
          <w:p>
            <w:pPr>
              <w:pStyle w:val="Compact"/>
              <w:jc w:val="left"/>
            </w:pPr>
            <w:hyperlink r:id="rId407">
              <w:r>
                <w:rPr>
                  <w:rStyle w:val="Hyperlink"/>
                  <w:b/>
                  <w:bCs/>
                </w:rPr>
                <w:t xml:space="preserve">Evidence Library</w:t>
              </w:r>
            </w:hyperlink>
          </w:p>
        </w:tc>
        <w:tc>
          <w:tcPr>
            <w:tcW w:w="4062" w:type="dxa"/>
          </w:tcPr>
          <w:p>
            <w:pPr>
              <w:pStyle w:val="Compact"/>
              <w:jc w:val="left"/>
            </w:pPr>
            <w:r>
              <w:rPr>
                <w:sz w:val="18"/>
              </w:rPr>
              <w:t xml:space="preserve">Whether the underlying source is a peer-reviewed evaluation, a consultant projection, or an agency self-report — the distinction this chapter argues most transformation reading collapses.</w:t>
            </w:r>
          </w:p>
        </w:tc>
      </w:tr>
      <w:tr>
        <w:trPr/>
        <w:tc>
          <w:tcPr>
            <w:tcW w:w="4062" w:type="dxa"/>
          </w:tcPr>
          <w:p>
            <w:pPr>
              <w:pStyle w:val="Compact"/>
              <w:jc w:val="left"/>
            </w:pPr>
            <w:r>
              <w:rPr>
                <w:sz w:val="18"/>
              </w:rPr>
              <w:t xml:space="preserve">Assemble your own analysis using the book’s frameworks rather than reading someone else’s</w:t>
            </w:r>
          </w:p>
        </w:tc>
        <w:tc>
          <w:tcPr>
            <w:tcW w:w="947" w:type="dxa"/>
          </w:tcPr>
          <w:p>
            <w:pPr>
              <w:pStyle w:val="Compact"/>
              <w:jc w:val="left"/>
            </w:pPr>
            <w:hyperlink r:id="rId408">
              <w:r>
                <w:rPr>
                  <w:rStyle w:val="Hyperlink"/>
                  <w:b/>
                  <w:bCs/>
                </w:rPr>
                <w:t xml:space="preserve">Research Workspace</w:t>
              </w:r>
            </w:hyperlink>
          </w:p>
        </w:tc>
        <w:tc>
          <w:tcPr>
            <w:tcW w:w="4062" w:type="dxa"/>
          </w:tcPr>
          <w:p>
            <w:pPr>
              <w:pStyle w:val="Compact"/>
              <w:jc w:val="left"/>
            </w:pPr>
            <w:r>
              <w:rPr>
                <w:sz w:val="18"/>
              </w:rPr>
              <w:t xml:space="preserve">How quickly a framework you understood abstractly becomes concrete once you supply your own organization’s numbers.</w:t>
            </w:r>
          </w:p>
        </w:tc>
      </w:tr>
      <w:tr>
        <w:trPr>
          <w:cantSplit/>
        </w:trPr>
        <w:tc>
          <w:tcPr>
            <w:tcW w:w="4062" w:type="dxa"/>
          </w:tcPr>
          <w:p>
            <w:pPr>
              <w:pStyle w:val="Compact"/>
              <w:jc w:val="left"/>
            </w:pPr>
            <w:r>
              <w:rPr>
                <w:sz w:val="18"/>
              </w:rPr>
              <w:t xml:space="preserve">Ask a question in plain language and get routed to the framework, chapter, and tool that answer it</w:t>
            </w:r>
          </w:p>
        </w:tc>
        <w:tc>
          <w:tcPr>
            <w:tcW w:w="947" w:type="dxa"/>
          </w:tcPr>
          <w:p>
            <w:pPr>
              <w:pStyle w:val="Compact"/>
              <w:jc w:val="left"/>
            </w:pPr>
            <w:hyperlink r:id="rId24">
              <w:r>
                <w:rPr>
                  <w:rStyle w:val="Hyperlink"/>
                  <w:b/>
                  <w:bCs/>
                </w:rPr>
                <w:t xml:space="preserve">AI Analyst</w:t>
              </w:r>
            </w:hyperlink>
          </w:p>
        </w:tc>
        <w:tc>
          <w:tcPr>
            <w:tcW w:w="4062" w:type="dxa"/>
          </w:tcPr>
          <w:p>
            <w:pPr>
              <w:pStyle w:val="Compact"/>
              <w:jc w:val="left"/>
            </w:pPr>
            <w:r>
              <w:rPr>
                <w:sz w:val="18"/>
              </w:rPr>
              <w:t xml:space="preserve">Use it as the change-management aid this chapter describes: the fastest way to bring a colleague who has not read the book up to the point where they can act.</w:t>
            </w:r>
          </w:p>
        </w:tc>
      </w:tr>
    </w:tbl>
    <w:p>
      <w:pPr>
        <w:pStyle w:val="Caption"/>
        <w:spacing w:before="120"/>
      </w:pPr>
      <w:r>
        <w:rPr>
          <w:i/>
          <w:iCs/>
        </w:rPr>
        <w:t xml:space="preserve">Figure 12.H — Hands-on platform tools for Chapter 12: turning knowledge into implementation.</w:t>
      </w:r>
    </w:p>
    <w:p>
      <w:pPr>
        <w:pStyle w:val="Heading2"/>
        <w:pBdr>
          <w:top w:val="single" w:sz="6" w:space="10" w:color="C9D2DF"/>
        </w:pBdr>
      </w:pPr>
      <w:r>
        <w:rPr>
          <w:color w:val="161B22"/>
        </w:rPr>
        <w:t xml:space="preserve">12.9  </w:t>
      </w:r>
      <w:bookmarkStart w:id="1374" w:name="_Toc1373"/>
      <w:r>
        <w:rPr>
          <w:b/>
          <w:bCs/>
          <w:color w:val="161B22"/>
        </w:rPr>
        <w:t xml:space="preserve">Implications for You</w:t>
      </w:r>
      <w:bookmarkEnd w:id="1374"/>
    </w:p>
    <w:p>
      <w:pPr>
        <w:pStyle w:val="FirstParagraph"/>
      </w:pPr>
      <w:r>
        <w:t xml:space="preserve">If you are a Vermont hospital executive: The knowledge transfer infrastructure this chapter describes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AHEAD measures, because the fragile hospitals serve the populations whose outcomes most need to improve.</w:t>
      </w:r>
    </w:p>
    <w:p>
      <w:pPr>
        <w:pStyle w:val="BodyText"/>
      </w:pPr>
      <w:r>
        <w:t xml:space="preserve">If you are an AHS or GMCB official: The Transformation PMO this chapter describes is the operational spine of Vermont’s transformation program. Without a function that tracks milestones across all six pillars, manages dependencies between the analytics vendor, the RHRC engagement,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pPr>
        <w:pStyle w:val="BodyText"/>
      </w:pPr>
      <w:r>
        <w:t xml:space="preserve">If you are a Vermont legislator: This chapter describes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six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pPr>
        <w:pStyle w:val="BodyText"/>
      </w:pPr>
      <w: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pPr>
        <w:pStyle w:val="BodyText"/>
      </w:pPr>
      <w:r>
        <w:t xml:space="preserve">Vermont’s transformation is a high-stakes, real-time experiment that HTR takes seriously as an obligation as well as an opportunity. If Vermont succeeds in demonstrating that mandatory all-payer payment reform, organized as a coherent six-pillar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pPr>
        <w:pStyle w:val="Heading2"/>
        <w:pBdr>
          <w:top w:val="single" w:sz="6" w:space="10" w:color="C9D2DF"/>
        </w:pBdr>
      </w:pPr>
      <w:r>
        <w:rPr>
          <w:color w:val="161B22"/>
        </w:rPr>
        <w:t xml:space="preserve">12.10  </w:t>
      </w:r>
      <w:bookmarkStart w:id="1375" w:name="_Toc1374"/>
      <w:r>
        <w:rPr>
          <w:b/>
          <w:bCs/>
          <w:color w:val="161B22"/>
        </w:rPr>
        <w:t xml:space="preserve">Key Concepts in This Chapter</w:t>
      </w:r>
      <w:bookmarkEnd w:id="1375"/>
    </w:p>
    <w:p>
      <w:pPr>
        <w:pStyle w:val="FirstParagraph"/>
        <w:spacing w:before="160" w:after="120"/>
      </w:pPr>
      <w:r>
        <w:rPr>
          <w:rFonts w:ascii="Calibri" w:hAnsi="Calibri"/>
          <w:color w:val="000000"/>
          <w:sz w:val="18"/>
        </w:rPr>
        <w:t xml:space="preserve">The Wire</w:t>
      </w:r>
    </w:p>
    <w:p>
      <w:pPr>
        <w:pStyle w:val="BodyText"/>
        <w:spacing w:before="160" w:after="120"/>
      </w:pPr>
      <w:r>
        <w:rPr>
          <w:rFonts w:ascii="Calibri" w:hAnsi="Calibri"/>
          <w:color w:val="000000"/>
          <w:sz w:val="18"/>
        </w:rPr>
        <w:t xml:space="preserve">The weekly policy and practice intelligence service, providing curated analysis of healthcare transformation developments organized around the six-pillar framework.</w:t>
      </w:r>
    </w:p>
    <w:p>
      <w:pPr>
        <w:pStyle w:val="BodyText"/>
        <w:spacing w:before="160" w:after="120"/>
      </w:pPr>
      <w:r>
        <w:rPr>
          <w:rFonts w:ascii="Calibri" w:hAnsi="Calibri"/>
          <w:b/>
          <w:bCs/>
          <w:color w:val="2E74B5"/>
          <w:sz w:val="20"/>
        </w:rPr>
        <w:t xml:space="preserve">HTR Research Lab</w:t>
      </w:r>
      <w:r>
        <w:rPr>
          <w:rFonts w:ascii="Calibri" w:hAnsi="Calibri"/>
          <w:color w:val="000000"/>
          <w:sz w:val="18"/>
        </w:rPr>
        <w:br/>
      </w:r>
      <w:r>
        <w:rPr>
          <w:rFonts w:ascii="Calibri" w:hAnsi="Calibri"/>
          <w:color w:val="000000"/>
          <w:sz w:val="18"/>
        </w:rPr>
        <w:t xml:space="preserve">The suite of analytical tools implementing the six-pillar framework: APM Shared Savings Calculator, VBC Readiness Assessment, Health Equity Studio, Hospital Financial Stress Test, AI Governance Checklist, and other instruments.</w:t>
      </w:r>
    </w:p>
    <w:p>
      <w:pPr>
        <w:pStyle w:val="BodyText"/>
        <w:spacing w:before="160" w:after="120"/>
      </w:pPr>
      <w:r>
        <w:rPr>
          <w:rFonts w:ascii="Calibri" w:hAnsi="Calibri"/>
          <w:b/>
          <w:bCs/>
          <w:color w:val="2E74B5"/>
          <w:sz w:val="20"/>
        </w:rPr>
        <w:t xml:space="preserve">HTR Academy</w:t>
      </w:r>
      <w:r>
        <w:rPr>
          <w:rFonts w:ascii="Calibri" w:hAnsi="Calibri"/>
          <w:color w:val="000000"/>
          <w:sz w:val="18"/>
        </w:rPr>
        <w:br/>
      </w:r>
      <w:r>
        <w:rPr>
          <w:rFonts w:ascii="Calibri" w:hAnsi="Calibri"/>
          <w:color w:val="000000"/>
          <w:sz w:val="18"/>
        </w:rPr>
        <w:t xml:space="preserve">The structured transformation curriculum for healthcare transformation education: foundational and advanced courses in APM mechanics, quality measurement, health equity analytics, and transformation leadership.</w:t>
      </w:r>
    </w:p>
    <w:p>
      <w:pPr>
        <w:pStyle w:val="BodyText"/>
        <w:spacing w:before="160" w:after="120"/>
      </w:pPr>
      <w:r>
        <w:rPr>
          <w:rFonts w:ascii="Calibri" w:hAnsi="Calibri"/>
          <w:b/>
          <w:bCs/>
          <w:color w:val="2E74B5"/>
          <w:sz w:val="20"/>
        </w:rPr>
        <w:t xml:space="preserve">HEROI (Health Equity Return on Investment)</w:t>
      </w:r>
      <w:r>
        <w:rPr>
          <w:rFonts w:ascii="Calibri" w:hAnsi="Calibri"/>
          <w:color w:val="000000"/>
          <w:sz w:val="18"/>
        </w:rPr>
        <w:br/>
      </w:r>
      <w:r>
        <w:rPr>
          <w:rFonts w:ascii="Calibri" w:hAnsi="Calibri"/>
          <w:color w:val="000000"/>
          <w:sz w:val="18"/>
        </w:rPr>
        <w:t xml:space="preserve">The composite equity performance score calculated across five dimensions. Available in the Health Equity Studio.</w:t>
      </w:r>
    </w:p>
    <w:p>
      <w:pPr>
        <w:pStyle w:val="BodyText"/>
        <w:spacing w:before="160" w:after="120"/>
      </w:pPr>
      <w:r>
        <w:rPr>
          <w:rFonts w:ascii="Calibri" w:hAnsi="Calibri"/>
          <w:b/>
          <w:bCs/>
          <w:color w:val="2E74B5"/>
          <w:sz w:val="20"/>
        </w:rPr>
        <w:t xml:space="preserve">Kotter’s eight-step framework</w:t>
      </w:r>
      <w:r>
        <w:rPr>
          <w:rFonts w:ascii="Calibri" w:hAnsi="Calibri"/>
          <w:color w:val="000000"/>
          <w:sz w:val="18"/>
        </w:rPr>
        <w:br/>
      </w:r>
      <w:r>
        <w:rPr>
          <w:rFonts w:ascii="Calibri" w:hAnsi="Calibri"/>
          <w:color w:val="000000"/>
          <w:sz w:val="18"/>
        </w:rPr>
        <w:t xml:space="preserve">A widely applied change management framework (Kotter, 1996) adapted in this chapter for healthcare transformation contexts. Steps: urgency, coalition, vision, communication, obstacle removal, short-term wins, acceleration, institutionalization.</w:t>
      </w:r>
    </w:p>
    <w:p>
      <w:pPr>
        <w:pStyle w:val="BodyText"/>
        <w:spacing w:before="160" w:after="120"/>
      </w:pPr>
      <w:r>
        <w:rPr>
          <w:rFonts w:ascii="Calibri" w:hAnsi="Calibri"/>
          <w:b/>
          <w:bCs/>
          <w:color w:val="2E74B5"/>
          <w:sz w:val="20"/>
        </w:rPr>
        <w:t xml:space="preserve">Transformation pace problem</w:t>
      </w:r>
      <w:r>
        <w:rPr>
          <w:rFonts w:ascii="Calibri" w:hAnsi="Calibri"/>
          <w:color w:val="000000"/>
          <w:sz w:val="18"/>
        </w:rPr>
        <w:br/>
      </w:r>
      <w:r>
        <w:rPr>
          <w:rFonts w:ascii="Calibri" w:hAnsi="Calibri"/>
          <w:color w:val="000000"/>
          <w:sz w:val="18"/>
        </w:rPr>
        <w:t xml:space="preserve">The risk that the required pace of transformation exceeds the available organizational capacity, producing rushed or superficial change processes that fail to achieve genuine structural improvement.</w:t>
      </w:r>
    </w:p>
    <w:p>
      <w:pPr>
        <w:pStyle w:val="BodyText"/>
        <w:spacing w:before="160" w:after="120"/>
      </w:pPr>
      <w:r>
        <w:rPr>
          <w:rFonts w:ascii="Calibri" w:hAnsi="Calibri"/>
          <w:b/>
          <w:bCs/>
          <w:color w:val="2E74B5"/>
          <w:sz w:val="20"/>
        </w:rPr>
        <w:t xml:space="preserve">Advisory dependence</w:t>
      </w:r>
      <w:r>
        <w:rPr>
          <w:rFonts w:ascii="Calibri" w:hAnsi="Calibri"/>
          <w:color w:val="000000"/>
          <w:sz w:val="18"/>
        </w:rPr>
        <w:br/>
      </w:r>
      <w:r>
        <w:rPr>
          <w:rFonts w:ascii="Calibri" w:hAnsi="Calibri"/>
          <w:color w:val="000000"/>
          <w:sz w:val="18"/>
        </w:rPr>
        <w:t xml:space="preserve">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p>
    <w:p>
      <w:r>
        <w:br w:type="page"/>
      </w:r>
    </w:p>
    <w:p>
      <w:pPr>
        <w:pStyle w:val="Heading1"/>
      </w:pPr>
      <w:bookmarkStart w:id="1376" w:name="_Toc1375"/>
      <w:r>
        <w:rPr>
          <w:b/>
          <w:bCs/>
          <w:color w:val="161B22"/>
        </w:rPr>
        <w:t xml:space="preserve">Chapter 13 — The Future of Healthcare Transformation: 2026, What Vermont Proves, and What Remains</w:t>
      </w:r>
      <w:bookmarkEnd w:id="137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Updated April 2026. The One Big Beautiful Bill Act is law: $911 billion in Medicaid cuts over ten years, partially offset by $50 billion in time-limited rural health investment. The transformation imperative has not eased — it has become more urgent.</w:t>
      </w:r>
    </w:p>
    <w:p>
      <w:pPr>
        <w:pStyle w:val="BodyText"/>
      </w:pPr>
      <w:r>
        <w:t xml:space="preserve">The five forces this chapter develops — federal Medicaid retrenchment, the AHEAD Model’s national rollout, demographic aging, the fee-for-service plateau, and political sustainability risk — are forces acting on every state’s health system, not on Vermont’s alone. Vermont’s scorecard below is a snapshot of how one state’s six-pillar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pPr>
        <w:pStyle w:val="Heading2"/>
        <w:pBdr>
          <w:top w:val="single" w:sz="6" w:space="10" w:color="C9D2DF"/>
        </w:pBdr>
        <w:keepNext w:val="false"/>
      </w:pPr>
      <w:r>
        <w:rPr>
          <w:color w:val="161B22"/>
        </w:rPr>
        <w:t xml:space="preserve">13.1  </w:t>
      </w:r>
      <w:bookmarkStart w:id="1377" w:name="_Toc1376"/>
      <w:r>
        <w:rPr>
          <w:b/>
          <w:bCs/>
          <w:color w:val="161B22"/>
        </w:rPr>
        <w:t xml:space="preserve">Vermont Transformation Scorecard: Six-Pillar Status, April 2026</w:t>
      </w:r>
      <w:bookmarkEnd w:id="1377"/>
    </w:p>
    <w:p>
      <w:pPr>
        <w:pStyle w:val="FirstParagraph"/>
        <w:keepNext w:val="false"/>
      </w:pPr>
      <w:r>
        <w:t xml:space="preserve">The table below consolidates Vermont’s transformation progress across all six pillars. It answers the question every reader should ask before reading this chapter’s forecast: where does Vermont actually stand? The full scorecard with metric-level detail appears in Appendix F. The signal column reflects HTR’s assessment as of April 2026.</w:t>
      </w:r>
    </w:p>
    <w:tbl>
      <w:tblPr>
        <w:tblStyle w:val="HTRTable"/>
        <w:tblLook w:firstRow="1" w:lastRow="0" w:firstColumn="0" w:lastColumn="0" w:noHBand="0" w:noVBand="1" w:val="0020"/>
        <w:tblW w:w="9072" w:type="dxa"/>
        <w:tblLayout w:type="fixed"/>
      </w:tblPr>
      <w:tblGrid>
        <w:gridCol w:w="362"/>
        <w:gridCol w:w="2177"/>
        <w:gridCol w:w="2177"/>
        <w:gridCol w:w="2177"/>
        <w:gridCol w:w="2177"/>
      </w:tblGrid>
      <w:tr>
        <w:trPr>
          <w:tblHeader w:val="on"/>
          <w:cantSplit/>
        </w:trPr>
        <w:tc>
          <w:tcPr>
            <w:shd w:val="clear" w:color="auto" w:fill="1B3A6B"/>
            <w:tcW w:w="362" w:type="dxa"/>
          </w:tcPr>
          <w:p>
            <w:pPr>
              <w:pStyle w:val="Compact"/>
              <w:jc w:val="left"/>
            </w:pPr>
            <w:r>
              <w:rPr>
                <w:b/>
                <w:color w:val="FFFFFF"/>
                <w:sz w:val="18"/>
              </w:rPr>
              <w:t xml:space="preserve">Pillar</w:t>
            </w:r>
          </w:p>
        </w:tc>
        <w:tc>
          <w:tcPr>
            <w:shd w:val="clear" w:color="auto" w:fill="1B3A6B"/>
            <w:tcW w:w="2177" w:type="dxa"/>
          </w:tcPr>
          <w:p>
            <w:pPr>
              <w:pStyle w:val="Compact"/>
              <w:jc w:val="left"/>
            </w:pPr>
            <w:r>
              <w:rPr>
                <w:b/>
                <w:color w:val="FFFFFF"/>
                <w:sz w:val="18"/>
              </w:rPr>
              <w:t xml:space="preserve">2022 Baseline</w:t>
            </w:r>
          </w:p>
        </w:tc>
        <w:tc>
          <w:tcPr>
            <w:shd w:val="clear" w:color="auto" w:fill="1B3A6B"/>
            <w:tcW w:w="2177" w:type="dxa"/>
          </w:tcPr>
          <w:p>
            <w:pPr>
              <w:pStyle w:val="Compact"/>
              <w:jc w:val="left"/>
            </w:pPr>
            <w:r>
              <w:rPr>
                <w:b/>
                <w:color w:val="FFFFFF"/>
                <w:sz w:val="18"/>
              </w:rPr>
              <w:t xml:space="preserve">2026 Status</w:t>
            </w:r>
          </w:p>
        </w:tc>
        <w:tc>
          <w:tcPr>
            <w:shd w:val="clear" w:color="auto" w:fill="1B3A6B"/>
            <w:tcW w:w="2177" w:type="dxa"/>
          </w:tcPr>
          <w:p>
            <w:pPr>
              <w:pStyle w:val="Compact"/>
              <w:jc w:val="left"/>
            </w:pPr>
            <w:r>
              <w:rPr>
                <w:b/>
                <w:color w:val="FFFFFF"/>
                <w:sz w:val="18"/>
              </w:rPr>
              <w:t xml:space="preserve">2028 Target</w:t>
            </w:r>
          </w:p>
        </w:tc>
        <w:tc>
          <w:tcPr>
            <w:shd w:val="clear" w:color="auto" w:fill="1B3A6B"/>
            <w:tcW w:w="2177" w:type="dxa"/>
          </w:tcPr>
          <w:p>
            <w:pPr>
              <w:pStyle w:val="Compact"/>
              <w:jc w:val="left"/>
            </w:pPr>
            <w:r>
              <w:rPr>
                <w:b/>
                <w:color w:val="FFFFFF"/>
                <w:sz w:val="18"/>
              </w:rPr>
              <w:t xml:space="preserve">Signal</w:t>
            </w:r>
          </w:p>
        </w:tc>
      </w:tr>
      <w:tr>
        <w:trPr>
          <w:cantSplit/>
        </w:trPr>
        <w:tc>
          <w:tcPr>
            <w:tcW w:w="362" w:type="dxa"/>
          </w:tcPr>
          <w:p>
            <w:pPr>
              <w:pStyle w:val="Compact"/>
              <w:jc w:val="left"/>
            </w:pPr>
            <w:r>
              <w:rPr>
                <w:sz w:val="18"/>
              </w:rPr>
              <w:t xml:space="preserve">Policy</w:t>
            </w:r>
          </w:p>
        </w:tc>
        <w:tc>
          <w:tcPr>
            <w:tcW w:w="2177" w:type="dxa"/>
          </w:tcPr>
          <w:p>
            <w:pPr>
              <w:pStyle w:val="Compact"/>
              <w:jc w:val="left"/>
            </w:pPr>
            <w:r>
              <w:rPr>
                <w:sz w:val="18"/>
              </w:rPr>
              <w:t xml:space="preserve">Voluntary only; no price regulation; no federal agreement</w:t>
            </w:r>
          </w:p>
        </w:tc>
        <w:tc>
          <w:tcPr>
            <w:tcW w:w="2177" w:type="dxa"/>
          </w:tcPr>
          <w:p>
            <w:pPr>
              <w:pStyle w:val="Compact"/>
              <w:jc w:val="left"/>
            </w:pPr>
            <w:r>
              <w:rPr>
                <w:sz w:val="18"/>
              </w:rPr>
              <w:t xml:space="preserve">Mandatory RBP (FY2027) and global budgets (FY2028) enacted; AHEAD signed Jan 2025; $195M RHT awarded</w:t>
            </w:r>
          </w:p>
        </w:tc>
        <w:tc>
          <w:tcPr>
            <w:tcW w:w="2177" w:type="dxa"/>
          </w:tcPr>
          <w:p>
            <w:pPr>
              <w:pStyle w:val="Compact"/>
              <w:jc w:val="left"/>
            </w:pPr>
            <w:r>
              <w:rPr>
                <w:sz w:val="18"/>
              </w:rPr>
              <w:t xml:space="preserve">All hospitals under global budgets; AHEAD compliant; Statewide Strategic Plan delivered Dec 2028</w:t>
            </w:r>
          </w:p>
        </w:tc>
        <w:tc>
          <w:tcPr>
            <w:tcW w:w="2177" w:type="dxa"/>
          </w:tcPr>
          <w:p>
            <w:pPr>
              <w:pStyle w:val="Compact"/>
              <w:jc w:val="left"/>
            </w:pPr>
            <w:r>
              <w:rPr>
                <w:sz w:val="18"/>
              </w:rPr>
              <w:t xml:space="preserve">ON TRACK</w:t>
            </w:r>
          </w:p>
        </w:tc>
      </w:tr>
      <w:tr>
        <w:trPr/>
        <w:tc>
          <w:tcPr>
            <w:tcW w:w="362" w:type="dxa"/>
          </w:tcPr>
          <w:p>
            <w:pPr>
              <w:pStyle w:val="Compact"/>
              <w:jc w:val="left"/>
            </w:pPr>
            <w:r>
              <w:rPr>
                <w:sz w:val="18"/>
              </w:rPr>
              <w:t xml:space="preserve">Technology</w:t>
            </w:r>
          </w:p>
        </w:tc>
        <w:tc>
          <w:tcPr>
            <w:tcW w:w="2177" w:type="dxa"/>
          </w:tcPr>
          <w:p>
            <w:pPr>
              <w:pStyle w:val="Compact"/>
              <w:jc w:val="left"/>
            </w:pPr>
            <w:r>
              <w:rPr>
                <w:sz w:val="18"/>
              </w:rPr>
              <w:t xml:space="preserve">VHCURES operational with 2-year lag; VITL partial; no analytics vendor; AI governance absent</w:t>
            </w:r>
          </w:p>
        </w:tc>
        <w:tc>
          <w:tcPr>
            <w:tcW w:w="2177" w:type="dxa"/>
          </w:tcPr>
          <w:p>
            <w:pPr>
              <w:pStyle w:val="Compact"/>
              <w:jc w:val="left"/>
            </w:pPr>
            <w:r>
              <w:rPr>
                <w:sz w:val="18"/>
              </w:rPr>
              <w:t xml:space="preserve">Analytics vendor procurement underway; CIN in development; AI scribes deployed; FHIR upgrades in progress</w:t>
            </w:r>
          </w:p>
        </w:tc>
        <w:tc>
          <w:tcPr>
            <w:tcW w:w="2177" w:type="dxa"/>
          </w:tcPr>
          <w:p>
            <w:pPr>
              <w:pStyle w:val="Compact"/>
              <w:jc w:val="left"/>
            </w:pPr>
            <w:r>
              <w:rPr>
                <w:sz w:val="18"/>
              </w:rPr>
              <w:t xml:space="preserve">Real-time VHCURES; analytics vendor fully deployed; CIN operational; AI-governance framework in place</w:t>
            </w:r>
          </w:p>
        </w:tc>
        <w:tc>
          <w:tcPr>
            <w:tcW w:w="2177" w:type="dxa"/>
          </w:tcPr>
          <w:p>
            <w:pPr>
              <w:pStyle w:val="Compact"/>
              <w:jc w:val="left"/>
            </w:pPr>
            <w:r>
              <w:rPr>
                <w:sz w:val="18"/>
              </w:rPr>
              <w:t xml:space="preserve">AT RISK — analytics vendor gap vs. Jan 2028 AHEAD start</w:t>
            </w:r>
          </w:p>
        </w:tc>
      </w:tr>
      <w:tr>
        <w:trPr/>
        <w:tc>
          <w:tcPr>
            <w:tcW w:w="362" w:type="dxa"/>
          </w:tcPr>
          <w:p>
            <w:pPr>
              <w:pStyle w:val="Compact"/>
              <w:jc w:val="left"/>
            </w:pPr>
            <w:r>
              <w:rPr>
                <w:sz w:val="18"/>
              </w:rPr>
              <w:t xml:space="preserve">Economics</w:t>
            </w:r>
          </w:p>
        </w:tc>
        <w:tc>
          <w:tcPr>
            <w:tcW w:w="2177" w:type="dxa"/>
          </w:tcPr>
          <w:p>
            <w:pPr>
              <w:pStyle w:val="Compact"/>
              <w:jc w:val="left"/>
            </w:pPr>
            <w:r>
              <w:rPr>
                <w:sz w:val="18"/>
              </w:rPr>
              <w:t xml:space="preserve">9/14 hospitals in losses; UVMMC at 300%+ of Medicare; $700M–$2.4B 5-year deficit projection</w:t>
            </w:r>
          </w:p>
        </w:tc>
        <w:tc>
          <w:tcPr>
            <w:tcW w:w="2177" w:type="dxa"/>
          </w:tcPr>
          <w:p>
            <w:pPr>
              <w:pStyle w:val="Compact"/>
              <w:jc w:val="left"/>
            </w:pPr>
            <w:r>
              <w:rPr>
                <w:sz w:val="18"/>
              </w:rPr>
              <w:t xml:space="preserve">RBP mandatory FY2027 enacted; global-budget methodology under design; AHEAD launches Jan 2028; deficit trajectory unchanged</w:t>
            </w:r>
          </w:p>
        </w:tc>
        <w:tc>
          <w:tcPr>
            <w:tcW w:w="2177" w:type="dxa"/>
          </w:tcPr>
          <w:p>
            <w:pPr>
              <w:pStyle w:val="Compact"/>
              <w:jc w:val="left"/>
            </w:pPr>
            <w:r>
              <w:rPr>
                <w:sz w:val="18"/>
              </w:rPr>
              <w:t xml:space="preserve">All hospitals at or below RBP ceiling; cross-subsidy reduced 40%+; deficit trajectory reversed; break-even by FY2030</w:t>
            </w:r>
          </w:p>
        </w:tc>
        <w:tc>
          <w:tcPr>
            <w:tcW w:w="2177" w:type="dxa"/>
          </w:tcPr>
          <w:p>
            <w:pPr>
              <w:pStyle w:val="Compact"/>
              <w:jc w:val="left"/>
            </w:pPr>
            <w:r>
              <w:rPr>
                <w:sz w:val="18"/>
              </w:rPr>
              <w:t xml:space="preserve">WATCH — methodology design is the critical near-term decision</w:t>
            </w:r>
          </w:p>
        </w:tc>
      </w:tr>
      <w:tr>
        <w:trPr/>
        <w:tc>
          <w:tcPr>
            <w:tcW w:w="362" w:type="dxa"/>
          </w:tcPr>
          <w:p>
            <w:pPr>
              <w:pStyle w:val="Compact"/>
              <w:jc w:val="left"/>
            </w:pPr>
            <w:r>
              <w:rPr>
                <w:sz w:val="18"/>
              </w:rPr>
              <w:t xml:space="preserve">Clinical</w:t>
            </w:r>
          </w:p>
        </w:tc>
        <w:tc>
          <w:tcPr>
            <w:tcW w:w="2177" w:type="dxa"/>
          </w:tcPr>
          <w:p>
            <w:pPr>
              <w:pStyle w:val="Compact"/>
              <w:jc w:val="left"/>
            </w:pPr>
            <w:r>
              <w:rPr>
                <w:sz w:val="18"/>
              </w:rPr>
              <w:t xml:space="preserve">Blueprint 90%+ PCMH; BH follow-up 76% (mental health), 68% (SUD); 370-FTE workforce gap; zero CCBHCs</w:t>
            </w:r>
          </w:p>
        </w:tc>
        <w:tc>
          <w:tcPr>
            <w:tcW w:w="2177" w:type="dxa"/>
          </w:tcPr>
          <w:p>
            <w:pPr>
              <w:pStyle w:val="Compact"/>
              <w:jc w:val="left"/>
            </w:pPr>
            <w:r>
              <w:rPr>
                <w:sz w:val="18"/>
              </w:rPr>
              <w:t xml:space="preserve">5 CCBHCs planned; CoCM pilots underway; team-based care deploying; readmission at 14.8% (unchanged)</w:t>
            </w:r>
          </w:p>
        </w:tc>
        <w:tc>
          <w:tcPr>
            <w:tcW w:w="2177" w:type="dxa"/>
          </w:tcPr>
          <w:p>
            <w:pPr>
              <w:pStyle w:val="Compact"/>
              <w:jc w:val="left"/>
            </w:pPr>
            <w:r>
              <w:rPr>
                <w:sz w:val="18"/>
              </w:rPr>
              <w:t xml:space="preserve">100% PCMH; 7+ CCBHCs; readmission below 12%; workforce gap below 200 FTEs</w:t>
            </w:r>
          </w:p>
        </w:tc>
        <w:tc>
          <w:tcPr>
            <w:tcW w:w="2177" w:type="dxa"/>
          </w:tcPr>
          <w:p>
            <w:pPr>
              <w:pStyle w:val="Compact"/>
              <w:jc w:val="left"/>
            </w:pPr>
            <w:r>
              <w:rPr>
                <w:sz w:val="18"/>
              </w:rPr>
              <w:t xml:space="preserve">PROGRESSING — CCBHC certification on track; workforce gap remains structural</w:t>
            </w:r>
          </w:p>
        </w:tc>
      </w:tr>
      <w:tr>
        <w:trPr/>
        <w:tc>
          <w:tcPr>
            <w:tcW w:w="362" w:type="dxa"/>
          </w:tcPr>
          <w:p>
            <w:pPr>
              <w:pStyle w:val="Compact"/>
              <w:jc w:val="left"/>
            </w:pPr>
            <w:r>
              <w:rPr>
                <w:sz w:val="18"/>
              </w:rPr>
              <w:t xml:space="preserve">Equity</w:t>
            </w:r>
          </w:p>
        </w:tc>
        <w:tc>
          <w:tcPr>
            <w:tcW w:w="2177" w:type="dxa"/>
          </w:tcPr>
          <w:p>
            <w:pPr>
              <w:pStyle w:val="Compact"/>
              <w:jc w:val="left"/>
            </w:pPr>
            <w:r>
              <w:rPr>
                <w:sz w:val="18"/>
              </w:rPr>
              <w:t xml:space="preserve">11-pt primary care access gap (BIPOC vs. white); Essex County 8% uninsured; no systematic SDOH screening; no HEROI</w:t>
            </w:r>
          </w:p>
        </w:tc>
        <w:tc>
          <w:tcPr>
            <w:tcW w:w="2177" w:type="dxa"/>
          </w:tcPr>
          <w:p>
            <w:pPr>
              <w:pStyle w:val="Compact"/>
              <w:jc w:val="left"/>
            </w:pPr>
            <w:r>
              <w:rPr>
                <w:sz w:val="18"/>
              </w:rPr>
              <w:t xml:space="preserve">HEROI framework developed; Blueprint HRSN screening at 60%+ of practices; equity gap unchanged; SRA methodology in design</w:t>
            </w:r>
          </w:p>
        </w:tc>
        <w:tc>
          <w:tcPr>
            <w:tcW w:w="2177" w:type="dxa"/>
          </w:tcPr>
          <w:p>
            <w:pPr>
              <w:pStyle w:val="Compact"/>
              <w:jc w:val="left"/>
            </w:pPr>
            <w:r>
              <w:rPr>
                <w:sz w:val="18"/>
              </w:rPr>
              <w:t xml:space="preserve">BIPOC access gap below 6 pts; universal HRSN screening; SRA in global-budget methodology; HEROI scores for all 14 HSAs</w:t>
            </w:r>
          </w:p>
        </w:tc>
        <w:tc>
          <w:tcPr>
            <w:tcW w:w="2177" w:type="dxa"/>
          </w:tcPr>
          <w:p>
            <w:pPr>
              <w:pStyle w:val="Compact"/>
              <w:jc w:val="left"/>
            </w:pPr>
            <w:r>
              <w:rPr>
                <w:sz w:val="18"/>
              </w:rPr>
              <w:t xml:space="preserve">LAGGING — equity gaps unchanged in 2026; SRA design is critical equity safeguard</w:t>
            </w:r>
          </w:p>
        </w:tc>
      </w:tr>
      <w:tr>
        <w:trPr>
          <w:cantSplit/>
        </w:trPr>
        <w:tc>
          <w:tcPr>
            <w:tcW w:w="362" w:type="dxa"/>
          </w:tcPr>
          <w:p>
            <w:pPr>
              <w:pStyle w:val="Compact"/>
              <w:jc w:val="left"/>
            </w:pPr>
            <w:r>
              <w:rPr>
                <w:sz w:val="18"/>
              </w:rPr>
              <w:t xml:space="preserve">Operations</w:t>
            </w:r>
          </w:p>
        </w:tc>
        <w:tc>
          <w:tcPr>
            <w:tcW w:w="2177" w:type="dxa"/>
          </w:tcPr>
          <w:p>
            <w:pPr>
              <w:pStyle w:val="Compact"/>
              <w:jc w:val="left"/>
            </w:pPr>
            <w:r>
              <w:rPr>
                <w:sz w:val="18"/>
              </w:rPr>
              <w:t xml:space="preserve">RHRC not deployed; no PMO; no CIN; admin cost 91%+ above benchmark; no transformation reporting</w:t>
            </w:r>
          </w:p>
        </w:tc>
        <w:tc>
          <w:tcPr>
            <w:tcW w:w="2177" w:type="dxa"/>
          </w:tcPr>
          <w:p>
            <w:pPr>
              <w:pStyle w:val="Compact"/>
              <w:jc w:val="left"/>
            </w:pPr>
            <w:r>
              <w:rPr>
                <w:sz w:val="18"/>
              </w:rPr>
              <w:t xml:space="preserve">RHRC engaged all 14 hospitals; PMO being established; CIN under development; two AHS transformation reports delivered</w:t>
            </w:r>
          </w:p>
        </w:tc>
        <w:tc>
          <w:tcPr>
            <w:tcW w:w="2177" w:type="dxa"/>
          </w:tcPr>
          <w:p>
            <w:pPr>
              <w:pStyle w:val="Compact"/>
              <w:jc w:val="left"/>
            </w:pPr>
            <w:r>
              <w:rPr>
                <w:sz w:val="18"/>
              </w:rPr>
              <w:t xml:space="preserve">All 14 hospitals with approved transformation plans; PMO operational; CIN live; admin cost below 150% of benchmark</w:t>
            </w:r>
          </w:p>
        </w:tc>
        <w:tc>
          <w:tcPr>
            <w:tcW w:w="2177" w:type="dxa"/>
          </w:tcPr>
          <w:p>
            <w:pPr>
              <w:pStyle w:val="Compact"/>
              <w:jc w:val="left"/>
            </w:pPr>
            <w:r>
              <w:rPr>
                <w:sz w:val="18"/>
              </w:rPr>
              <w:t xml:space="preserve">PROGRESSING — RHRC engagement is the right investment at the right time</w:t>
            </w:r>
          </w:p>
        </w:tc>
      </w:tr>
    </w:tbl>
    <w:p>
      <w:pPr>
        <w:pStyle w:val="Caption"/>
        <w:spacing w:before="120"/>
      </w:pPr>
      <w:r>
        <w:rPr>
          <w:i/>
          <w:iCs/>
        </w:rPr>
        <w:t xml:space="preserve">Figure 13.1 — Vermont Six-Pillar Transformation Scorecard, April 2026. Technology and Equity are the two pillars where 2026 status most diverges from the 2028 target. Full scorecard with sources: Appendix F.</w:t>
      </w:r>
    </w:p>
    <w:p>
      <w:pPr>
        <w:pStyle w:val="BodyText"/>
      </w:pPr>
      <w:r>
        <w:t xml:space="preserve">Reading this scorecard as a system rather than as six independent measures is essential. The most dangerous pattern is not a single pillar failing — it is the combination of Policy and Economics on track while Technology remains at risk. Mandatory financial accountability (January 2028) without the analytics infrastructure to manage it is precisely the</w:t>
      </w:r>
      <w:r>
        <w:t xml:space="preserve"> </w:t>
      </w:r>
      <w:r>
        <w:t xml:space="preserve">“Managing Blind”</w:t>
      </w:r>
      <w:r>
        <w:t xml:space="preserve"> </w:t>
      </w:r>
      <w:r>
        <w:t xml:space="preserve">failure mode that destroyed OneCare Vermont. The Technology signal is therefore the most consequential number on this table.</w:t>
      </w:r>
    </w:p>
    <w:p>
      <w:pPr>
        <w:pStyle w:val="Heading2"/>
        <w:pBdr>
          <w:top w:val="single" w:sz="6" w:space="10" w:color="C9D2DF"/>
        </w:pBdr>
      </w:pPr>
      <w:r>
        <w:rPr>
          <w:color w:val="161B22"/>
        </w:rPr>
        <w:t xml:space="preserve">13.2  </w:t>
      </w:r>
      <w:bookmarkStart w:id="1378" w:name="_Toc1377"/>
      <w:r>
        <w:rPr>
          <w:b/>
          <w:bCs/>
          <w:color w:val="161B22"/>
        </w:rPr>
        <w:t xml:space="preserve">Where the System Stands in April 2026 — A Necessary Update</w:t>
      </w:r>
      <w:bookmarkEnd w:id="1378"/>
    </w:p>
    <w:p>
      <w:pPr>
        <w:pStyle w:val="FirstParagraph"/>
      </w:pPr>
      <w: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pPr>
        <w:pStyle w:val="BodyText"/>
      </w:pPr>
      <w:r>
        <w:t xml:space="preserve">On July 4, 2025, the One Big Beautiful Bill Act (H.R. 1) became law. Its healthcare provisions represent the largest single reduction in federal health-program spending in American history. The Congressional Budget Office estimates $911 billion in Medicaid spending reductions over ten years, producing an estimated 10 million additional uninsured Americans by 2034. The law imposes work and community-engagement requirements on Medicaid-expansion enrollees beginning in late 2026, requires eligibility redeterminations every six months instead of annually, caps state provider taxes, restricts state-directed payments, and phases out financing mechanisms that states have relied on for decades to fund their share of Medicaid.</w:t>
      </w:r>
    </w:p>
    <w:p>
      <w:pPr>
        <w:pStyle w:val="BodyText"/>
        <w:keepNext w:val="false"/>
      </w:pPr>
      <w: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in December 2025.</w:t>
      </w:r>
    </w:p>
    <w:p>
      <w:pPr>
        <w:pStyle w:val="BodyText"/>
        <w:keepNext w:val="false"/>
      </w:pPr>
      <w:r>
        <w:t xml:space="preserve">The juxtaposition defines the policy moment: the largest healthcare-coverage contraction in American history, partially offset by a historic but time-limited and front-loaded capital investment in rural infrastructure. Understanding the interaction between these two forces — the Medicaid contraction and the RHT investment — is essential for every healthcare leader, policymaker, and analyst working in the system today.</w:t>
      </w:r>
    </w:p>
    <w:tbl>
      <w:tblPr>
        <w:tblStyle w:val="HTRTable"/>
        <w:tblLook w:firstRow="1" w:lastRow="0" w:firstColumn="0" w:lastColumn="0" w:noHBand="0" w:noVBand="1" w:val="0020"/>
        <w:tblW w:w="9072" w:type="dxa"/>
        <w:tblLayout w:type="fixed"/>
      </w:tblPr>
      <w:tblGrid>
        <w:gridCol w:w="3954"/>
        <w:gridCol w:w="465"/>
        <w:gridCol w:w="4652"/>
      </w:tblGrid>
      <w:tr>
        <w:trPr>
          <w:tblHeader w:val="on"/>
          <w:cantSplit/>
        </w:trPr>
        <w:tc>
          <w:tcPr>
            <w:shd w:val="clear" w:color="auto" w:fill="1B3A6B"/>
            <w:tcW w:w="3954" w:type="dxa"/>
          </w:tcPr>
          <w:p>
            <w:pPr>
              <w:pStyle w:val="Compact"/>
              <w:jc w:val="left"/>
            </w:pPr>
            <w:r>
              <w:rPr>
                <w:b/>
                <w:color w:val="FFFFFF"/>
                <w:sz w:val="18"/>
              </w:rPr>
              <w:t xml:space="preserve">Measure</w:t>
            </w:r>
          </w:p>
        </w:tc>
        <w:tc>
          <w:tcPr>
            <w:shd w:val="clear" w:color="auto" w:fill="1B3A6B"/>
            <w:tcW w:w="465" w:type="dxa"/>
          </w:tcPr>
          <w:p>
            <w:pPr>
              <w:pStyle w:val="Compact"/>
              <w:jc w:val="left"/>
            </w:pPr>
            <w:r>
              <w:rPr>
                <w:b/>
                <w:color w:val="FFFFFF"/>
                <w:sz w:val="18"/>
              </w:rPr>
              <w:t xml:space="preserve">Figure</w:t>
            </w:r>
          </w:p>
        </w:tc>
        <w:tc>
          <w:tcPr>
            <w:shd w:val="clear" w:color="auto" w:fill="1B3A6B"/>
            <w:tcW w:w="4652" w:type="dxa"/>
          </w:tcPr>
          <w:p>
            <w:pPr>
              <w:pStyle w:val="Compact"/>
              <w:jc w:val="left"/>
            </w:pPr>
            <w:r>
              <w:rPr>
                <w:b/>
                <w:color w:val="FFFFFF"/>
                <w:sz w:val="18"/>
              </w:rPr>
              <w:t xml:space="preserve">Detail</w:t>
            </w:r>
          </w:p>
        </w:tc>
      </w:tr>
      <w:tr>
        <w:trPr>
          <w:cantSplit/>
        </w:trPr>
        <w:tc>
          <w:tcPr>
            <w:tcW w:w="3954" w:type="dxa"/>
          </w:tcPr>
          <w:p>
            <w:pPr>
              <w:pStyle w:val="Compact"/>
              <w:jc w:val="left"/>
            </w:pPr>
            <w:r>
              <w:rPr>
                <w:sz w:val="18"/>
              </w:rPr>
              <w:t xml:space="preserve">Federal Medicaid spending reduction, H.R. 1 (10 yr)</w:t>
            </w:r>
          </w:p>
        </w:tc>
        <w:tc>
          <w:tcPr>
            <w:tcW w:w="465" w:type="dxa"/>
          </w:tcPr>
          <w:p>
            <w:pPr>
              <w:pStyle w:val="Compact"/>
              <w:jc w:val="left"/>
            </w:pPr>
            <w:r>
              <w:rPr>
                <w:sz w:val="18"/>
              </w:rPr>
              <w:t xml:space="preserve">$911B</w:t>
            </w:r>
          </w:p>
        </w:tc>
        <w:tc>
          <w:tcPr>
            <w:tcW w:w="4652" w:type="dxa"/>
          </w:tcPr>
          <w:p>
            <w:pPr>
              <w:pStyle w:val="Compact"/>
              <w:jc w:val="left"/>
            </w:pPr>
            <w:r>
              <w:rPr>
                <w:sz w:val="18"/>
              </w:rPr>
              <w:t xml:space="preserve">CBO estimate; ~10 million more uninsured by 2034</w:t>
            </w:r>
          </w:p>
        </w:tc>
      </w:tr>
      <w:tr>
        <w:trPr/>
        <w:tc>
          <w:tcPr>
            <w:tcW w:w="3954" w:type="dxa"/>
          </w:tcPr>
          <w:p>
            <w:pPr>
              <w:pStyle w:val="Compact"/>
              <w:jc w:val="left"/>
            </w:pPr>
            <w:r>
              <w:rPr>
                <w:sz w:val="18"/>
              </w:rPr>
              <w:t xml:space="preserve">Rural Medicaid spending reduction (10 yr)</w:t>
            </w:r>
          </w:p>
        </w:tc>
        <w:tc>
          <w:tcPr>
            <w:tcW w:w="465" w:type="dxa"/>
          </w:tcPr>
          <w:p>
            <w:pPr>
              <w:pStyle w:val="Compact"/>
              <w:jc w:val="left"/>
            </w:pPr>
            <w:r>
              <w:rPr>
                <w:sz w:val="18"/>
              </w:rPr>
              <w:t xml:space="preserve">$137B</w:t>
            </w:r>
          </w:p>
        </w:tc>
        <w:tc>
          <w:tcPr>
            <w:tcW w:w="4652" w:type="dxa"/>
          </w:tcPr>
          <w:p>
            <w:pPr>
              <w:pStyle w:val="Compact"/>
              <w:jc w:val="left"/>
            </w:pPr>
            <w:r>
              <w:rPr>
                <w:sz w:val="18"/>
              </w:rPr>
              <w:t xml:space="preserve">KFF estimate; rural areas disproportionately affected — Medicaid covers 1 in 4 rural adults</w:t>
            </w:r>
          </w:p>
        </w:tc>
      </w:tr>
      <w:tr>
        <w:trPr/>
        <w:tc>
          <w:tcPr>
            <w:tcW w:w="3954" w:type="dxa"/>
          </w:tcPr>
          <w:p>
            <w:pPr>
              <w:pStyle w:val="Compact"/>
              <w:jc w:val="left"/>
            </w:pPr>
            <w:r>
              <w:rPr>
                <w:sz w:val="18"/>
              </w:rPr>
              <w:t xml:space="preserve">Rural Health Transformation Program (5 yr)</w:t>
            </w:r>
          </w:p>
        </w:tc>
        <w:tc>
          <w:tcPr>
            <w:tcW w:w="465" w:type="dxa"/>
          </w:tcPr>
          <w:p>
            <w:pPr>
              <w:pStyle w:val="Compact"/>
              <w:jc w:val="left"/>
            </w:pPr>
            <w:r>
              <w:rPr>
                <w:sz w:val="18"/>
              </w:rPr>
              <w:t xml:space="preserve">$50B</w:t>
            </w:r>
          </w:p>
        </w:tc>
        <w:tc>
          <w:tcPr>
            <w:tcW w:w="4652" w:type="dxa"/>
          </w:tcPr>
          <w:p>
            <w:pPr>
              <w:pStyle w:val="Compact"/>
              <w:jc w:val="left"/>
            </w:pPr>
            <w:r>
              <w:rPr>
                <w:sz w:val="18"/>
              </w:rPr>
              <w:t xml:space="preserve">$10B/yr FY2026–FY2030; temporary, front-loaded; does not offset the Medicaid cuts</w:t>
            </w:r>
          </w:p>
        </w:tc>
      </w:tr>
      <w:tr>
        <w:trPr>
          <w:cantSplit/>
        </w:trPr>
        <w:tc>
          <w:tcPr>
            <w:tcW w:w="3954" w:type="dxa"/>
          </w:tcPr>
          <w:p>
            <w:pPr>
              <w:pStyle w:val="Compact"/>
              <w:jc w:val="left"/>
            </w:pPr>
            <w:r>
              <w:rPr>
                <w:sz w:val="18"/>
              </w:rPr>
              <w:t xml:space="preserve">Rural hospitals operating at a loss</w:t>
            </w:r>
          </w:p>
        </w:tc>
        <w:tc>
          <w:tcPr>
            <w:tcW w:w="465" w:type="dxa"/>
          </w:tcPr>
          <w:p>
            <w:pPr>
              <w:pStyle w:val="Compact"/>
              <w:jc w:val="left"/>
            </w:pPr>
            <w:r>
              <w:rPr>
                <w:sz w:val="18"/>
              </w:rPr>
              <w:t xml:space="preserve">&gt;40%</w:t>
            </w:r>
          </w:p>
        </w:tc>
        <w:tc>
          <w:tcPr>
            <w:tcW w:w="4652" w:type="dxa"/>
          </w:tcPr>
          <w:p>
            <w:pPr>
              <w:pStyle w:val="Compact"/>
              <w:jc w:val="left"/>
            </w:pPr>
            <w:r>
              <w:rPr>
                <w:sz w:val="18"/>
              </w:rPr>
              <w:t xml:space="preserve">Before Medicaid cuts; 52% in non-expansion states (Chartis, 2026)</w:t>
            </w:r>
          </w:p>
        </w:tc>
      </w:tr>
    </w:tbl>
    <w:p>
      <w:pPr>
        <w:pStyle w:val="Caption"/>
        <w:spacing w:before="120"/>
      </w:pPr>
      <w:r>
        <w:rPr>
          <w:i/>
          <w:iCs/>
        </w:rPr>
        <w:t xml:space="preserve">Figure 13.2 — The 2025 federal healthcare policy inflection point. Sources: KFF; CBO; Chartis, 2026 State of Rural Health.</w:t>
      </w:r>
    </w:p>
    <w:p>
      <w:pPr>
        <w:pStyle w:val="BodyText"/>
      </w:pPr>
      <w: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pPr>
        <w:pStyle w:val="BodyText"/>
      </w:pPr>
      <w:r>
        <w:t xml:space="preserve">For Vermont, this landscape has direct operational consequences. Medicaid covers roughly 19% of the state’s insured population and is a significant revenue source for all 14 hospitals. The Medicaid cuts will pressure hospital finances beginning in 2026–2027; the work-requirement implementation, starting in late 2026, will add administrative burden on the Department of Vermont Health Access (DVHA) and risks coverage losses among the expansion population. Vermont’s already-distressed hospitals face new revenue pressure at exactly the moment they must execute transformation plans.</w:t>
      </w:r>
    </w:p>
    <w:p>
      <w:pPr>
        <w:pStyle w:val="BodyText"/>
      </w:pPr>
      <w:r>
        <w:t xml:space="preserve">Vermont’s response is the correct one. AHS Secretary Jenney Samuelson’s framing — that the RHT funding is a tool for executing reform, not a substitute for reform — is the analytical frame every state should adopt. Vermont is directing its $195 million toward infrastructure that reduces ongoing structural costs: AI scribes that expand effective provider capacity, remote patient monitoring that prevents hospitalizations, and broadband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pPr>
        <w:pStyle w:val="Heading2"/>
        <w:pBdr>
          <w:top w:val="single" w:sz="6" w:space="10" w:color="C9D2DF"/>
        </w:pBdr>
      </w:pPr>
      <w:r>
        <w:rPr>
          <w:color w:val="161B22"/>
        </w:rPr>
        <w:t xml:space="preserve">13.3  </w:t>
      </w:r>
      <w:bookmarkStart w:id="1379" w:name="_Toc1378"/>
      <w:r>
        <w:rPr>
          <w:b/>
          <w:bCs/>
          <w:color w:val="161B22"/>
        </w:rPr>
        <w:t xml:space="preserve">Five Forces Shaping the Next Decade</w:t>
      </w:r>
      <w:bookmarkEnd w:id="1379"/>
    </w:p>
    <w:p>
      <w:pPr>
        <w:pStyle w:val="Heading3"/>
      </w:pPr>
      <w:r>
        <w:rPr>
          <w:color w:val="161B22"/>
        </w:rPr>
        <w:t xml:space="preserve">13.3.1  </w:t>
      </w:r>
      <w:bookmarkStart w:id="1380" w:name="_Toc1379"/>
      <w:r>
        <w:rPr>
          <w:b/>
          <w:bCs/>
          <w:color w:val="161B22"/>
        </w:rPr>
        <w:t xml:space="preserve">Force 1: The Medicaid–RHT Tension — the Defining Policy Dynamic</w:t>
      </w:r>
      <w:bookmarkEnd w:id="1380"/>
    </w:p>
    <w:p>
      <w:pPr>
        <w:pStyle w:val="FirstParagraph"/>
      </w:pPr>
      <w: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pPr>
        <w:pStyle w:val="BodyText"/>
      </w:pPr>
      <w: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pPr>
        <w:pStyle w:val="BodyText"/>
      </w:pPr>
      <w: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pPr>
        <w:pStyle w:val="BodyText"/>
      </w:pPr>
      <w:r>
        <w:rPr>
          <w:b/>
          <w:bCs/>
        </w:rPr>
        <w:t xml:space="preserve">UPDATE — JUNE 2026 —</w:t>
      </w:r>
      <w:r>
        <w:t xml:space="preserve"> </w:t>
      </w:r>
      <w:r>
        <w:rPr>
          <w:i/>
          <w:iCs/>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The rule is in public comment as of this writing and its final terms are unsettled,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p>
    <w:p>
      <w:pPr>
        <w:pStyle w:val="Heading3"/>
      </w:pPr>
      <w:r>
        <w:rPr>
          <w:color w:val="161B22"/>
        </w:rPr>
        <w:t xml:space="preserve">13.3.2  </w:t>
      </w:r>
      <w:bookmarkStart w:id="1381" w:name="_Toc1380"/>
      <w:r>
        <w:rPr>
          <w:b/>
          <w:bCs/>
          <w:color w:val="161B22"/>
        </w:rPr>
        <w:t xml:space="preserve">Force 2: AI Clinical Transformation — Accelerating Faster Than Governance</w:t>
      </w:r>
      <w:bookmarkEnd w:id="1381"/>
    </w:p>
    <w:p>
      <w:pPr>
        <w:pStyle w:val="FirstParagraph"/>
      </w:pPr>
      <w: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practices nationally reporting significant reductions in documentation burden. Vermont’s RHT Program explicitly funds AI-scribe grants for rural and independent practices.</w:t>
      </w:r>
    </w:p>
    <w:p>
      <w:pPr>
        <w:pStyle w:val="BodyText"/>
      </w:pPr>
      <w:r>
        <w:t xml:space="preserve">The next wave — individual-level predictive population health, diagnostic AI as standard in high-volume imaging and pathology, AI-enabled triage that reduces unnecessary ED utilization — is 18 to 36 months behind ambient documentation.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pPr>
        <w:pStyle w:val="BodyText"/>
      </w:pPr>
      <w:r>
        <w:t xml:space="preserve">Governance is the critical gap. The FDA, ONC, and CMS are developing AI-governance frameworks, but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developed in Chapter 1 is the organizational response to this challenge.</w:t>
      </w:r>
    </w:p>
    <w:p>
      <w:pPr>
        <w:pStyle w:val="Heading3"/>
      </w:pPr>
      <w:r>
        <w:rPr>
          <w:color w:val="161B22"/>
        </w:rPr>
        <w:t xml:space="preserve">13.3.3  </w:t>
      </w:r>
      <w:bookmarkStart w:id="1382" w:name="_Toc1381"/>
      <w:r>
        <w:rPr>
          <w:b/>
          <w:bCs/>
          <w:color w:val="161B22"/>
        </w:rPr>
        <w:t xml:space="preserve">Force 3: The Demographic Reckoning — No Longer a Future Problem</w:t>
      </w:r>
      <w:bookmarkEnd w:id="1382"/>
    </w:p>
    <w:p>
      <w:pPr>
        <w:pStyle w:val="FirstParagraph"/>
      </w:pPr>
      <w: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pPr>
        <w:pStyle w:val="BodyText"/>
      </w:pPr>
      <w:r>
        <w:t xml:space="preserve">Vermont is the national canary for demographic healthcare stress. By 2035, the challenge Vermont faces today will be present in every Northeastern state, most Midwestern states, and increasingly nationally. The Baby Boom generation, fully in Medicare by 2030, will be in its eighties by 2040 — the frailty, dementia, and multi-morbidity phase that drives the highest costs and the most inadequate care models. Vermont’s work to develop dementia-care infrastructure, PACE programs, and home- and community-based services (HCBS) capacity is investment in solving a problem that will be national within fifteen years.</w:t>
      </w:r>
    </w:p>
    <w:p>
      <w:pPr>
        <w:pStyle w:val="Heading3"/>
      </w:pPr>
      <w:r>
        <w:rPr>
          <w:color w:val="161B22"/>
        </w:rPr>
        <w:t xml:space="preserve">13.3.4  </w:t>
      </w:r>
      <w:bookmarkStart w:id="1383" w:name="_Toc1382"/>
      <w:r>
        <w:rPr>
          <w:b/>
          <w:bCs/>
          <w:color w:val="161B22"/>
        </w:rPr>
        <w:t xml:space="preserve">Force 4: The Drug-Pricing Reckoning — Complexity Compounding</w:t>
      </w:r>
      <w:bookmarkEnd w:id="1383"/>
    </w:p>
    <w:p>
      <w:pPr>
        <w:pStyle w:val="FirstParagraph"/>
      </w:pPr>
      <w:r>
        <w:t xml:space="preserve">The GLP-1 agonist spending wave is the most consequential near-term pharmaceutical challenge for state systems. At full obesity-indication coverage for Medicaid and Medicare, GLP-1s would add hundreds of billions of dollars annually to program spending — while potentially delivering transformative reductions in the chronic-disease burden that drives the highest utilization. CMS’s BALANCE Model (December 2025) is the federal attempt to thread this needle: negotiating lower GLP-1 prices to enable coverage expansion without fiscal catastrophe.</w:t>
      </w:r>
    </w:p>
    <w:p>
      <w:pPr>
        <w:pStyle w:val="BodyText"/>
      </w:pPr>
      <w:r>
        <w:t xml:space="preserve">Vermont’s DVHA must make a BALANCE participation decision in 2026 that balances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negotiated prices effective in 2027 at roughly $274 for a 30-day supply, down from over $1,000 — will meaningfully reduce the cost of coverage expansion for states and plans that participate in BALANCE. Vermont should evaluate participation explicitly as an equity and population-health decision, not purely a budget decision.</w:t>
      </w:r>
    </w:p>
    <w:p>
      <w:pPr>
        <w:pStyle w:val="Heading3"/>
      </w:pPr>
      <w:r>
        <w:rPr>
          <w:color w:val="161B22"/>
        </w:rPr>
        <w:t xml:space="preserve">13.3.5  </w:t>
      </w:r>
      <w:bookmarkStart w:id="1384" w:name="_Toc1383"/>
      <w:r>
        <w:rPr>
          <w:b/>
          <w:bCs/>
          <w:color w:val="161B22"/>
        </w:rPr>
        <w:t xml:space="preserve">Force 5: The Value-Based-Care Tipping Point — Still Approaching</w:t>
      </w:r>
      <w:bookmarkEnd w:id="1384"/>
    </w:p>
    <w:p>
      <w:pPr>
        <w:pStyle w:val="FirstParagraph"/>
        <w:keepNext w:val="false"/>
      </w:pPr>
      <w:r>
        <w:t xml:space="preserve">Despite fifteen years of payment-reform effort, the majority of U.S. healthcare spending remains in fee-for-service. VBC penetration is real — roughly 58% of commercially insured Americans are in some value-based arrangement — but it has not reached the tipping point at which fee-for-service becomes the minority mode of payment. Vermont’s mandatory reference-based pricing (RBP) and global-budget approach is a direct legislative response to the failure of voluntary VBC to reach that point.</w:t>
      </w:r>
    </w:p>
    <w:p>
      <w:pPr>
        <w:pStyle w:val="BodyText"/>
        <w:keepNext w:val="false"/>
      </w:pPr>
      <w:r>
        <w:t xml:space="preserve">The AHEAD Model — now operating in six states (Maryland, Connecticut, Hawaii, Vermont, Rhode Island, and New York) — is the most serious federal commitment to all-payer total-cost-of-care accountability since CMMI’s founding.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heading into the period that matters most for Vermont. If Vermont’s Cohort 2 participation (beginning January 2028) produces documented savings and quality improvement by 2030, the policy case for expanding AHEAD strengthens significantly. Vermont’s performance is not only a Vermont question — it is national evidence for or against the most ambitious federal payment reform currently operating.</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STATES TO WATCH</w:t>
            </w:r>
          </w:p>
          <w:p>
            <w:pPr>
              <w:spacing w:after="60" w:line="264" w:lineRule="auto"/>
            </w:pPr>
            <w:r>
              <w:rPr>
                <w:sz w:val="20"/>
                <w:szCs w:val="2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Cohort 1 and Cohort 2 states, each adapting the same federal model to a different starting structure — Connecticut and Rhode Island both have existing cost-growth benchmark programs analogous in function to Vermont’s GMCB, while New York’s scale puts it closer to the</w:t>
            </w:r>
            <w:r>
              <w:rPr>
                <w:sz w:val="20"/>
                <w:szCs w:val="20"/>
              </w:rPr>
              <w:t xml:space="preserve"> </w:t>
            </w:r>
            <w:r>
              <w:rPr>
                <w:sz w:val="20"/>
                <w:szCs w:val="20"/>
              </w:rPr>
              <w:t xml:space="preserve">“large, fragmented state”</w:t>
            </w:r>
            <w:r>
              <w:rPr>
                <w:sz w:val="20"/>
                <w:szCs w:val="20"/>
              </w:rPr>
              <w:t xml:space="preserve"> </w:t>
            </w:r>
            <w:r>
              <w:rPr>
                <w:sz w:val="20"/>
                <w:szCs w:val="20"/>
              </w:rPr>
              <w:t xml:space="preserve">scenario discussed in the Introduction. Pennsylvania and several Midwestern states have active rural hospital transformation programs working on problems structurally similar to Vermont’s Northeast Kingdom challenge, without AHEAD’s federal framework. A reader tracking whether this book’s framework generalizes has a growing set of natural comparison cases to watch over the next several years, not just Vermont’s.</w:t>
            </w:r>
          </w:p>
        </w:tc>
      </w:tr>
    </w:tbl>
    <w:p>
      <w:pPr>
        <w:spacing w:after="120"/>
        <w:keepNext w:val="false"/>
      </w:pPr>
    </w:p>
    <w:p>
      <w:pPr>
        <w:pStyle w:val="Heading2"/>
        <w:pBdr>
          <w:top w:val="single" w:sz="6" w:space="10" w:color="C9D2DF"/>
        </w:pBdr>
        <w:keepNext w:val="false"/>
      </w:pPr>
      <w:r>
        <w:rPr>
          <w:color w:val="161B22"/>
        </w:rPr>
        <w:t xml:space="preserve">13.4  </w:t>
      </w:r>
      <w:bookmarkStart w:id="1385" w:name="_Toc1384"/>
      <w:r>
        <w:rPr>
          <w:b/>
          <w:bCs/>
          <w:color w:val="161B22"/>
        </w:rPr>
        <w:t xml:space="preserve">The Six-Pillar Forecast: 2026–2035</w:t>
      </w:r>
      <w:bookmarkEnd w:id="1385"/>
    </w:p>
    <w:tbl>
      <w:tblPr>
        <w:tblStyle w:val="HTRTable"/>
        <w:tblLook w:firstRow="1" w:lastRow="0" w:firstColumn="0" w:lastColumn="0" w:noHBand="0" w:noVBand="1" w:val="0020"/>
        <w:tblW w:w="9072" w:type="dxa"/>
        <w:tblLayout w:type="fixed"/>
      </w:tblPr>
      <w:tblGrid>
        <w:gridCol w:w="362"/>
        <w:gridCol w:w="2177"/>
        <w:gridCol w:w="2177"/>
        <w:gridCol w:w="2177"/>
        <w:gridCol w:w="2177"/>
      </w:tblGrid>
      <w:tr>
        <w:trPr>
          <w:tblHeader w:val="on"/>
          <w:cantSplit/>
        </w:trPr>
        <w:tc>
          <w:tcPr>
            <w:shd w:val="clear" w:color="auto" w:fill="1B3A6B"/>
            <w:tcW w:w="362" w:type="dxa"/>
          </w:tcPr>
          <w:p>
            <w:pPr>
              <w:pStyle w:val="Compact"/>
              <w:spacing w:before="0" w:after="0" w:line="240" w:lineRule="auto"/>
              <w:jc w:val="left"/>
            </w:pPr>
            <w:r>
              <w:rPr>
                <w:b/>
                <w:color w:val="FFFFFF"/>
                <w:sz w:val="17"/>
              </w:rPr>
              <w:t xml:space="preserve">Pillar</w:t>
            </w:r>
          </w:p>
        </w:tc>
        <w:tc>
          <w:tcPr>
            <w:shd w:val="clear" w:color="auto" w:fill="1B3A6B"/>
            <w:tcW w:w="2177" w:type="dxa"/>
          </w:tcPr>
          <w:p>
            <w:pPr>
              <w:pStyle w:val="Compact"/>
              <w:spacing w:before="0" w:after="0" w:line="240" w:lineRule="auto"/>
              <w:jc w:val="left"/>
            </w:pPr>
            <w:r>
              <w:rPr>
                <w:b/>
                <w:color w:val="FFFFFF"/>
                <w:sz w:val="17"/>
              </w:rPr>
              <w:t xml:space="preserve">2026 starting point</w:t>
            </w:r>
          </w:p>
        </w:tc>
        <w:tc>
          <w:tcPr>
            <w:shd w:val="clear" w:color="auto" w:fill="1B3A6B"/>
            <w:tcW w:w="2177" w:type="dxa"/>
          </w:tcPr>
          <w:p>
            <w:pPr>
              <w:pStyle w:val="Compact"/>
              <w:spacing w:before="0" w:after="0" w:line="240" w:lineRule="auto"/>
              <w:jc w:val="left"/>
            </w:pPr>
            <w:r>
              <w:rPr>
                <w:b/>
                <w:color w:val="FFFFFF"/>
                <w:sz w:val="17"/>
              </w:rPr>
              <w:t xml:space="preserve">Primary headwinds</w:t>
            </w:r>
          </w:p>
        </w:tc>
        <w:tc>
          <w:tcPr>
            <w:shd w:val="clear" w:color="auto" w:fill="1B3A6B"/>
            <w:tcW w:w="2177" w:type="dxa"/>
          </w:tcPr>
          <w:p>
            <w:pPr>
              <w:pStyle w:val="Compact"/>
              <w:spacing w:before="0" w:after="0" w:line="240" w:lineRule="auto"/>
              <w:jc w:val="left"/>
            </w:pPr>
            <w:r>
              <w:rPr>
                <w:b/>
                <w:color w:val="FFFFFF"/>
                <w:sz w:val="17"/>
              </w:rPr>
              <w:t xml:space="preserve">Primary tailwinds</w:t>
            </w:r>
          </w:p>
        </w:tc>
        <w:tc>
          <w:tcPr>
            <w:shd w:val="clear" w:color="auto" w:fill="1B3A6B"/>
            <w:tcW w:w="2177" w:type="dxa"/>
          </w:tcPr>
          <w:p>
            <w:pPr>
              <w:pStyle w:val="Compact"/>
              <w:spacing w:before="0" w:after="0" w:line="240" w:lineRule="auto"/>
              <w:jc w:val="left"/>
            </w:pPr>
            <w:r>
              <w:rPr>
                <w:b/>
                <w:color w:val="FFFFFF"/>
                <w:sz w:val="17"/>
              </w:rPr>
              <w:t xml:space="preserve">2035 assessment</w:t>
            </w:r>
          </w:p>
        </w:tc>
      </w:tr>
      <w:tr>
        <w:trPr>
          <w:cantSplit/>
        </w:trPr>
        <w:tc>
          <w:tcPr>
            <w:tcW w:w="362" w:type="dxa"/>
          </w:tcPr>
          <w:p>
            <w:pPr>
              <w:pStyle w:val="Compact"/>
              <w:spacing w:before="0" w:after="0" w:line="240" w:lineRule="auto"/>
              <w:jc w:val="left"/>
            </w:pPr>
            <w:r>
              <w:rPr>
                <w:sz w:val="17"/>
              </w:rPr>
              <w:t xml:space="preserve">Policy</w:t>
            </w:r>
          </w:p>
        </w:tc>
        <w:tc>
          <w:tcPr>
            <w:tcW w:w="2177" w:type="dxa"/>
          </w:tcPr>
          <w:p>
            <w:pPr>
              <w:pStyle w:val="Compact"/>
              <w:spacing w:before="0" w:after="0" w:line="240" w:lineRule="auto"/>
              <w:jc w:val="left"/>
            </w:pPr>
            <w:r>
              <w:rPr>
                <w:sz w:val="17"/>
              </w:rPr>
              <w:t xml:space="preserve">VT: Acts 167/68/AHEAD form the most complete state reform mandate in the country. National: H.R. 1 Medicaid cuts; RHT front-loaded.</w:t>
            </w:r>
          </w:p>
        </w:tc>
        <w:tc>
          <w:tcPr>
            <w:tcW w:w="2177" w:type="dxa"/>
          </w:tcPr>
          <w:p>
            <w:pPr>
              <w:pStyle w:val="Compact"/>
              <w:spacing w:before="0" w:after="0" w:line="240" w:lineRule="auto"/>
              <w:jc w:val="left"/>
            </w:pPr>
            <w:r>
              <w:rPr>
                <w:sz w:val="17"/>
              </w:rPr>
              <w:t xml:space="preserve">Medicaid work requirements (late 2026); federal policy instability; provider-tax restrictions pressuring state budgets.</w:t>
            </w:r>
          </w:p>
        </w:tc>
        <w:tc>
          <w:tcPr>
            <w:tcW w:w="2177" w:type="dxa"/>
          </w:tcPr>
          <w:p>
            <w:pPr>
              <w:pStyle w:val="Compact"/>
              <w:spacing w:before="0" w:after="0" w:line="240" w:lineRule="auto"/>
              <w:jc w:val="left"/>
            </w:pPr>
            <w:r>
              <w:rPr>
                <w:sz w:val="17"/>
              </w:rPr>
              <w:t xml:space="preserve">AHEAD expanding (6 states); VT mandatory RBP/global budgets as template; price-transparency momentum; BALANCE GLP-1 access.</w:t>
            </w:r>
          </w:p>
        </w:tc>
        <w:tc>
          <w:tcPr>
            <w:tcW w:w="2177" w:type="dxa"/>
          </w:tcPr>
          <w:p>
            <w:pPr>
              <w:pStyle w:val="Compact"/>
              <w:spacing w:before="0" w:after="0" w:line="240" w:lineRule="auto"/>
              <w:jc w:val="left"/>
            </w:pPr>
            <w:r>
              <w:rPr>
                <w:sz w:val="17"/>
              </w:rPr>
              <w:t xml:space="preserve">Moderate national progress; high VT-specific progress if execution holds. Mandatory APM participation is the critical unresolved national question.</w:t>
            </w:r>
          </w:p>
        </w:tc>
      </w:tr>
      <w:tr>
        <w:trPr/>
        <w:tc>
          <w:tcPr>
            <w:tcW w:w="362" w:type="dxa"/>
          </w:tcPr>
          <w:p>
            <w:pPr>
              <w:pStyle w:val="Compact"/>
              <w:spacing w:before="0" w:after="0" w:line="240" w:lineRule="auto"/>
              <w:jc w:val="left"/>
            </w:pPr>
            <w:r>
              <w:rPr>
                <w:sz w:val="17"/>
              </w:rPr>
              <w:t xml:space="preserve">Technology</w:t>
            </w:r>
          </w:p>
        </w:tc>
        <w:tc>
          <w:tcPr>
            <w:tcW w:w="2177" w:type="dxa"/>
          </w:tcPr>
          <w:p>
            <w:pPr>
              <w:pStyle w:val="Compact"/>
              <w:spacing w:before="0" w:after="0" w:line="240" w:lineRule="auto"/>
              <w:jc w:val="left"/>
            </w:pPr>
            <w:r>
              <w:rPr>
                <w:sz w:val="17"/>
              </w:rPr>
              <w:t xml:space="preserve">VT: VHCURES solid; VITL/HIE voluntary and incomplete; analytics vendor procured; CIN in development. National: FHIR improving interoperability; AI outpacing governance.</w:t>
            </w:r>
          </w:p>
        </w:tc>
        <w:tc>
          <w:tcPr>
            <w:tcW w:w="2177" w:type="dxa"/>
          </w:tcPr>
          <w:p>
            <w:pPr>
              <w:pStyle w:val="Compact"/>
              <w:spacing w:before="0" w:after="0" w:line="240" w:lineRule="auto"/>
              <w:jc w:val="left"/>
            </w:pPr>
            <w:r>
              <w:rPr>
                <w:sz w:val="17"/>
              </w:rPr>
              <w:t xml:space="preserve">Two-year VHCURES data lag; incomplete FHIR at smaller hospitals; absent AI governance in most states.</w:t>
            </w:r>
          </w:p>
        </w:tc>
        <w:tc>
          <w:tcPr>
            <w:tcW w:w="2177" w:type="dxa"/>
          </w:tcPr>
          <w:p>
            <w:pPr>
              <w:pStyle w:val="Compact"/>
              <w:spacing w:before="0" w:after="0" w:line="240" w:lineRule="auto"/>
              <w:jc w:val="left"/>
            </w:pPr>
            <w:r>
              <w:rPr>
                <w:sz w:val="17"/>
              </w:rPr>
              <w:t xml:space="preserve">VT CIN providing shared analytics and AI governance; RHT IT grants funding FHIR upgrades; ambient AI reducing burden nationally.</w:t>
            </w:r>
          </w:p>
        </w:tc>
        <w:tc>
          <w:tcPr>
            <w:tcW w:w="2177" w:type="dxa"/>
          </w:tcPr>
          <w:p>
            <w:pPr>
              <w:pStyle w:val="Compact"/>
              <w:spacing w:before="0" w:after="0" w:line="240" w:lineRule="auto"/>
              <w:jc w:val="left"/>
            </w:pPr>
            <w:r>
              <w:rPr>
                <w:sz w:val="17"/>
              </w:rPr>
              <w:t xml:space="preserve">Fastest-improving pillar nationally; FHIR operationally complete for major EHRs by ~2028. AI deployment rapid, governance lagging — safety and equity risk if governance does not catch up.</w:t>
            </w:r>
          </w:p>
        </w:tc>
      </w:tr>
      <w:tr>
        <w:trPr/>
        <w:tc>
          <w:tcPr>
            <w:tcW w:w="362" w:type="dxa"/>
          </w:tcPr>
          <w:p>
            <w:pPr>
              <w:pStyle w:val="Compact"/>
              <w:spacing w:before="0" w:after="0" w:line="240" w:lineRule="auto"/>
              <w:jc w:val="left"/>
            </w:pPr>
            <w:r>
              <w:rPr>
                <w:sz w:val="17"/>
              </w:rPr>
              <w:t xml:space="preserve">Economics</w:t>
            </w:r>
          </w:p>
        </w:tc>
        <w:tc>
          <w:tcPr>
            <w:tcW w:w="2177" w:type="dxa"/>
          </w:tcPr>
          <w:p>
            <w:pPr>
              <w:pStyle w:val="Compact"/>
              <w:spacing w:before="0" w:after="0" w:line="240" w:lineRule="auto"/>
              <w:jc w:val="left"/>
            </w:pPr>
            <w:r>
              <w:rPr>
                <w:sz w:val="17"/>
              </w:rPr>
              <w:t xml:space="preserve">VT: RBP implementing (FY2027); global budgets mandated (FY2028). National: VBC ~58% commercial; global budgets rare outside VT/MD.</w:t>
            </w:r>
          </w:p>
        </w:tc>
        <w:tc>
          <w:tcPr>
            <w:tcW w:w="2177" w:type="dxa"/>
          </w:tcPr>
          <w:p>
            <w:pPr>
              <w:pStyle w:val="Compact"/>
              <w:spacing w:before="0" w:after="0" w:line="240" w:lineRule="auto"/>
              <w:jc w:val="left"/>
            </w:pPr>
            <w:r>
              <w:rPr>
                <w:sz w:val="17"/>
              </w:rPr>
              <w:t xml:space="preserve">H.R. 1 Medicaid revenue reductions; GLP-1 wave threatening IRA savings; commercial premium pressure.</w:t>
            </w:r>
          </w:p>
        </w:tc>
        <w:tc>
          <w:tcPr>
            <w:tcW w:w="2177" w:type="dxa"/>
          </w:tcPr>
          <w:p>
            <w:pPr>
              <w:pStyle w:val="Compact"/>
              <w:spacing w:before="0" w:after="0" w:line="240" w:lineRule="auto"/>
              <w:jc w:val="left"/>
            </w:pPr>
            <w:r>
              <w:rPr>
                <w:sz w:val="17"/>
              </w:rPr>
              <w:t xml:space="preserve">VT RBP producing documented savings; IRA GLP-1 negotiation (2027); Maryland AHEAD validating global budgets; ACO REACH maturing.</w:t>
            </w:r>
          </w:p>
        </w:tc>
        <w:tc>
          <w:tcPr>
            <w:tcW w:w="2177" w:type="dxa"/>
          </w:tcPr>
          <w:p>
            <w:pPr>
              <w:pStyle w:val="Compact"/>
              <w:spacing w:before="0" w:after="0" w:line="240" w:lineRule="auto"/>
              <w:jc w:val="left"/>
            </w:pPr>
            <w:r>
              <w:rPr>
                <w:sz w:val="17"/>
              </w:rPr>
              <w:t xml:space="preserve">VT: strong progress if global budgets land on schedule. National: VBC ~70–75% commercial by 2030; global budgets stay limited absent mandatory policy.</w:t>
            </w:r>
          </w:p>
        </w:tc>
      </w:tr>
      <w:tr>
        <w:trPr/>
        <w:tc>
          <w:tcPr>
            <w:tcW w:w="362" w:type="dxa"/>
          </w:tcPr>
          <w:p>
            <w:pPr>
              <w:pStyle w:val="Compact"/>
              <w:spacing w:before="0" w:after="0" w:line="240" w:lineRule="auto"/>
              <w:jc w:val="left"/>
            </w:pPr>
            <w:r>
              <w:rPr>
                <w:sz w:val="17"/>
              </w:rPr>
              <w:t xml:space="preserve">Clinical</w:t>
            </w:r>
          </w:p>
        </w:tc>
        <w:tc>
          <w:tcPr>
            <w:tcW w:w="2177" w:type="dxa"/>
          </w:tcPr>
          <w:p>
            <w:pPr>
              <w:pStyle w:val="Compact"/>
              <w:spacing w:before="0" w:after="0" w:line="240" w:lineRule="auto"/>
              <w:jc w:val="left"/>
            </w:pPr>
            <w:r>
              <w:rPr>
                <w:sz w:val="17"/>
              </w:rPr>
              <w:t xml:space="preserve">VT: Blueprint strong; CoCM/MHI effective but not permanently funded; CCBHC expanding; PACE gap; primary-care productivity constraint. National: BH access crisis worsening.</w:t>
            </w:r>
          </w:p>
        </w:tc>
        <w:tc>
          <w:tcPr>
            <w:tcW w:w="2177" w:type="dxa"/>
          </w:tcPr>
          <w:p>
            <w:pPr>
              <w:pStyle w:val="Compact"/>
              <w:spacing w:before="0" w:after="0" w:line="240" w:lineRule="auto"/>
              <w:jc w:val="left"/>
            </w:pPr>
            <w:r>
              <w:rPr>
                <w:sz w:val="17"/>
              </w:rPr>
              <w:t xml:space="preserve">MHI sustainability uncertain without AHEAD EAST Fund commitment; primary-care shortage (370-FTE gap by 2030 in VT); Medicaid cuts threatening safety-net providers.</w:t>
            </w:r>
          </w:p>
        </w:tc>
        <w:tc>
          <w:tcPr>
            <w:tcW w:w="2177" w:type="dxa"/>
          </w:tcPr>
          <w:p>
            <w:pPr>
              <w:pStyle w:val="Compact"/>
              <w:spacing w:before="0" w:after="0" w:line="240" w:lineRule="auto"/>
              <w:jc w:val="left"/>
            </w:pPr>
            <w:r>
              <w:rPr>
                <w:sz w:val="17"/>
              </w:rPr>
              <w:t xml:space="preserve">Blueprint among strongest PCMH infrastructure in the country; CCBHC expansion; AHEAD EAST Fund targeting primary care/BH; CoCM Medicare billing enabling sustainable financing.</w:t>
            </w:r>
          </w:p>
        </w:tc>
        <w:tc>
          <w:tcPr>
            <w:tcW w:w="2177" w:type="dxa"/>
          </w:tcPr>
          <w:p>
            <w:pPr>
              <w:pStyle w:val="Compact"/>
              <w:spacing w:before="0" w:after="0" w:line="240" w:lineRule="auto"/>
              <w:jc w:val="left"/>
            </w:pPr>
            <w:r>
              <w:rPr>
                <w:sz w:val="17"/>
              </w:rPr>
              <w:t xml:space="preserve">Steady national improvement in primary care and BH integration. VT: Blueprint + AHEAD primary-care investment strongest in country; BH integration is the critical clinical variable.</w:t>
            </w:r>
          </w:p>
        </w:tc>
      </w:tr>
      <w:tr>
        <w:trPr/>
        <w:tc>
          <w:tcPr>
            <w:tcW w:w="362" w:type="dxa"/>
          </w:tcPr>
          <w:p>
            <w:pPr>
              <w:pStyle w:val="Compact"/>
              <w:spacing w:before="0" w:after="0" w:line="240" w:lineRule="auto"/>
              <w:jc w:val="left"/>
            </w:pPr>
            <w:r>
              <w:rPr>
                <w:sz w:val="17"/>
              </w:rPr>
              <w:t xml:space="preserve">Equity</w:t>
            </w:r>
          </w:p>
        </w:tc>
        <w:tc>
          <w:tcPr>
            <w:tcW w:w="2177" w:type="dxa"/>
          </w:tcPr>
          <w:p>
            <w:pPr>
              <w:pStyle w:val="Compact"/>
              <w:spacing w:before="0" w:after="0" w:line="240" w:lineRule="auto"/>
              <w:jc w:val="left"/>
            </w:pPr>
            <w:r>
              <w:rPr>
                <w:sz w:val="17"/>
              </w:rPr>
              <w:t xml:space="preserve">VT: geographic disparities documented; BIPOC gaps smaller but real; SDOH screening operational; GLP-1 Medicaid gap; NEK access vulnerability. National: racial disparities not narrowing.</w:t>
            </w:r>
          </w:p>
        </w:tc>
        <w:tc>
          <w:tcPr>
            <w:tcW w:w="2177" w:type="dxa"/>
          </w:tcPr>
          <w:p>
            <w:pPr>
              <w:pStyle w:val="Compact"/>
              <w:spacing w:before="0" w:after="0" w:line="240" w:lineRule="auto"/>
              <w:jc w:val="left"/>
            </w:pPr>
            <w:r>
              <w:rPr>
                <w:sz w:val="17"/>
              </w:rPr>
              <w:t xml:space="preserve">H.R. 1 cuts hitting low-income/rural hardest; federal equity-program funding reductions; GLP-1 access gap for Medicaid.</w:t>
            </w:r>
          </w:p>
        </w:tc>
        <w:tc>
          <w:tcPr>
            <w:tcW w:w="2177" w:type="dxa"/>
          </w:tcPr>
          <w:p>
            <w:pPr>
              <w:pStyle w:val="Compact"/>
              <w:spacing w:before="0" w:after="0" w:line="240" w:lineRule="auto"/>
              <w:jc w:val="left"/>
            </w:pPr>
            <w:r>
              <w:rPr>
                <w:sz w:val="17"/>
              </w:rPr>
              <w:t xml:space="preserve">VT BALANCE participation could close the GLP-1 gap; CCBHC serve-all policy; Blueprint HRSN universal screening; Act 68 equity requirements embedded.</w:t>
            </w:r>
          </w:p>
        </w:tc>
        <w:tc>
          <w:tcPr>
            <w:tcW w:w="2177" w:type="dxa"/>
          </w:tcPr>
          <w:p>
            <w:pPr>
              <w:pStyle w:val="Compact"/>
              <w:spacing w:before="0" w:after="0" w:line="240" w:lineRule="auto"/>
              <w:jc w:val="left"/>
            </w:pPr>
            <w:r>
              <w:rPr>
                <w:sz w:val="17"/>
              </w:rPr>
              <w:t xml:space="preserve">Highest-risk pillar nationally and in VT. Without explicit GLP-1 coverage, SDOH investment, and NEK access protection, VT equity gaps widen as Medicaid cuts bite.</w:t>
            </w:r>
          </w:p>
        </w:tc>
      </w:tr>
      <w:tr>
        <w:trPr>
          <w:cantSplit/>
        </w:trPr>
        <w:tc>
          <w:tcPr>
            <w:tcW w:w="362" w:type="dxa"/>
          </w:tcPr>
          <w:p>
            <w:pPr>
              <w:pStyle w:val="Compact"/>
              <w:spacing w:before="0" w:after="0" w:line="240" w:lineRule="auto"/>
              <w:jc w:val="left"/>
            </w:pPr>
            <w:r>
              <w:rPr>
                <w:sz w:val="17"/>
              </w:rPr>
              <w:t xml:space="preserve">Operations</w:t>
            </w:r>
          </w:p>
        </w:tc>
        <w:tc>
          <w:tcPr>
            <w:tcW w:w="2177" w:type="dxa"/>
          </w:tcPr>
          <w:p>
            <w:pPr>
              <w:pStyle w:val="Compact"/>
              <w:spacing w:before="0" w:after="0" w:line="240" w:lineRule="auto"/>
              <w:jc w:val="left"/>
            </w:pPr>
            <w:r>
              <w:rPr>
                <w:sz w:val="17"/>
              </w:rPr>
              <w:t xml:space="preserve">VT: hospital plans in development; AHS restructuring underway; PMO being established; CIN in development. National: administrative complexity not declining.</w:t>
            </w:r>
          </w:p>
        </w:tc>
        <w:tc>
          <w:tcPr>
            <w:tcW w:w="2177" w:type="dxa"/>
          </w:tcPr>
          <w:p>
            <w:pPr>
              <w:pStyle w:val="Compact"/>
              <w:spacing w:before="0" w:after="0" w:line="240" w:lineRule="auto"/>
              <w:jc w:val="left"/>
            </w:pPr>
            <w:r>
              <w:rPr>
                <w:sz w:val="17"/>
              </w:rPr>
              <w:t xml:space="preserve">14 plans at varying stages; analytics vendor not yet operational; AHS capacity must be built; RHT requires PM infrastructure VT is hiring.</w:t>
            </w:r>
          </w:p>
        </w:tc>
        <w:tc>
          <w:tcPr>
            <w:tcW w:w="2177" w:type="dxa"/>
          </w:tcPr>
          <w:p>
            <w:pPr>
              <w:pStyle w:val="Compact"/>
              <w:spacing w:before="0" w:after="0" w:line="240" w:lineRule="auto"/>
              <w:jc w:val="left"/>
            </w:pPr>
            <w:r>
              <w:rPr>
                <w:sz w:val="17"/>
              </w:rPr>
              <w:t xml:space="preserve">$195M RHT capital; all 14 hospitals engaged; GMCB capacity added under Act 68; joint AHS-GMCB analytics procurement; CIN shared services.</w:t>
            </w:r>
          </w:p>
        </w:tc>
        <w:tc>
          <w:tcPr>
            <w:tcW w:w="2177" w:type="dxa"/>
          </w:tcPr>
          <w:p>
            <w:pPr>
              <w:pStyle w:val="Compact"/>
              <w:spacing w:before="0" w:after="0" w:line="240" w:lineRule="auto"/>
              <w:jc w:val="left"/>
            </w:pPr>
            <w:r>
              <w:rPr>
                <w:sz w:val="17"/>
              </w:rPr>
              <w:t xml:space="preserve">VT transformation underway — the question is whether execution pace matches statutory deadlines. National: administrative simplification slow without federal prior-auth reform.</w:t>
            </w:r>
          </w:p>
        </w:tc>
      </w:tr>
    </w:tbl>
    <w:p>
      <w:pPr>
        <w:pStyle w:val="Caption"/>
        <w:spacing w:before="120"/>
      </w:pPr>
      <w:r>
        <w:rPr>
          <w:i/>
          <w:iCs/>
        </w:rPr>
        <w:t xml:space="preserve">Figure 13.3 — Six-pillar forecast, 2026–2035: Vermont and national. Sources: HTR analysis; sources cited throughout this chapter.</w:t>
      </w:r>
    </w:p>
    <w:p>
      <w:pPr>
        <w:pStyle w:val="Heading2"/>
        <w:pBdr>
          <w:top w:val="single" w:sz="6" w:space="10" w:color="C9D2DF"/>
        </w:pBdr>
      </w:pPr>
      <w:r>
        <w:rPr>
          <w:color w:val="161B22"/>
        </w:rPr>
        <w:t xml:space="preserve">13.5  </w:t>
      </w:r>
      <w:bookmarkStart w:id="1386" w:name="_Toc1385"/>
      <w:r>
        <w:rPr>
          <w:b/>
          <w:bCs/>
          <w:color w:val="161B22"/>
        </w:rPr>
        <w:t xml:space="preserve">Vermont’s Ten-Year Trajectory: Two Scenarios</w:t>
      </w:r>
      <w:bookmarkEnd w:id="1386"/>
    </w:p>
    <w:p>
      <w:pPr>
        <w:pStyle w:val="FirstParagraph"/>
      </w:pPr>
      <w: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pPr>
        <w:pStyle w:val="Heading3"/>
      </w:pPr>
      <w:r>
        <w:rPr>
          <w:color w:val="161B22"/>
        </w:rPr>
        <w:t xml:space="preserve">13.5.1  </w:t>
      </w:r>
      <w:bookmarkStart w:id="1387" w:name="_Toc1386"/>
      <w:r>
        <w:rPr>
          <w:b/>
          <w:bCs/>
          <w:color w:val="161B22"/>
        </w:rPr>
        <w:t xml:space="preserve">The Transformation-Success Scenario</w:t>
      </w:r>
      <w:bookmarkEnd w:id="1387"/>
    </w:p>
    <w:p>
      <w:pPr>
        <w:pStyle w:val="FirstParagraph"/>
      </w:pPr>
      <w:r>
        <w:t xml:space="preserve">Vermont executes on or near the statutory timelines, uses its capital wisely, and demonstrates by 2030 that a small rural state can achieve genuine all-payer transformation.</w:t>
      </w:r>
    </w:p>
    <w:p>
      <w:pPr>
        <w:pStyle w:val="BodyText"/>
      </w:pPr>
      <w:r>
        <w:t xml:space="preserve">FY2027: RBP implemented; commercial rates decline toward benchmark; premium growth slows for the first time in a decade — the first concrete evidence that mandatory price regulation can reduce premiums without hospital closures.</w:t>
      </w:r>
    </w:p>
    <w:p>
      <w:pPr>
        <w:pStyle w:val="BodyText"/>
      </w:pPr>
      <w:r>
        <w:t xml:space="preserve">FY2028: Non-CAH global budgets operational; AHEAD Cohort 2 fully running; the hospital sector begins demonstrating the population-health improvements — fewer avoidable hospitalizations, better chronic-disease management — that global budgets are designed to incentivize.</w:t>
      </w:r>
    </w:p>
    <w:p>
      <w:pPr>
        <w:pStyle w:val="BodyText"/>
      </w:pPr>
      <w: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pPr>
        <w:pStyle w:val="BodyText"/>
      </w:pPr>
      <w:r>
        <w:t xml:space="preserve">2030: RHT capital fully deployed; the hospital sector stabilized at 10–12 sustainable facilities with 2–4 REH or CACC conversions; Medicaid reductions absorbed through efficiency gains; per-capita cost growth below GDP growth for the first time.</w:t>
      </w:r>
    </w:p>
    <w:p>
      <w:pPr>
        <w:pStyle w:val="BodyText"/>
      </w:pPr>
      <w:r>
        <w:t xml:space="preserve">2031–2035: Vermont serves as a national template; AHEAD expands using Vermont’s documented results; Blueprint + AHEAD primary-care investment produces measurable chronic-disease improvements; the AHS restructuring model is studied by other states.</w:t>
      </w:r>
    </w:p>
    <w:p>
      <w:pPr>
        <w:pStyle w:val="Heading3"/>
      </w:pPr>
      <w:r>
        <w:rPr>
          <w:color w:val="161B22"/>
        </w:rPr>
        <w:t xml:space="preserve">13.5.2  </w:t>
      </w:r>
      <w:bookmarkStart w:id="1388" w:name="_Toc1387"/>
      <w:r>
        <w:rPr>
          <w:b/>
          <w:bCs/>
          <w:color w:val="161B22"/>
        </w:rPr>
        <w:t xml:space="preserve">The Partial-Transformation Scenario</w:t>
      </w:r>
      <w:bookmarkEnd w:id="1388"/>
    </w:p>
    <w:p>
      <w:pPr>
        <w:pStyle w:val="FirstParagraph"/>
      </w:pPr>
      <w:r>
        <w:t xml:space="preserve">Vermont makes meaningful progress but hits execution gaps that prevent full realization by the statutory deadlines.</w:t>
      </w:r>
    </w:p>
    <w:p>
      <w:pPr>
        <w:pStyle w:val="BodyText"/>
      </w:pPr>
      <w:r>
        <w:t xml:space="preserve">FY2027: RBP implemented but contested — UVMMC and other large systems seek legislative relief from specific rate provisions; GMCB holds implementation on a modified glide path that delays full impact.</w:t>
      </w:r>
    </w:p>
    <w:p>
      <w:pPr>
        <w:pStyle w:val="BodyText"/>
      </w:pPr>
      <w:r>
        <w:t xml:space="preserve">FY2028: Non-CAH global-budget methodology not finalized due to GMCB resource constraints and AHEAD complexity; deadline extended; planning delayed.</w:t>
      </w:r>
    </w:p>
    <w:p>
      <w:pPr>
        <w:pStyle w:val="BodyText"/>
      </w:pPr>
      <w: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pPr>
        <w:pStyle w:val="BodyText"/>
      </w:pPr>
      <w:r>
        <w:t xml:space="preserve">2030: RHT capital deployed but partly misdirected toward operating support; Medicaid reductions begin arriving; several CAHs face renewed distress without the structural change that would have let them absorb the cuts.</w:t>
      </w:r>
    </w:p>
    <w:p>
      <w:pPr>
        <w:pStyle w:val="BodyText"/>
      </w:pPr>
      <w:r>
        <w:t xml:space="preserve">2031–2035: Transformation is real but incomplete — more sustainable than the status-quo trajectory, but costs remain above what full transformation would achieve. A second reform wave is required to close the gaps.</w:t>
      </w:r>
    </w:p>
    <w:p>
      <w:pPr>
        <w:pStyle w:val="BodyText"/>
      </w:pPr>
      <w: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 prescribes — is meant to make the success scenario more likely.</w:t>
      </w:r>
    </w:p>
    <w:p>
      <w:pPr>
        <w:pStyle w:val="PullQuote"/>
      </w:pPr>
      <w:r>
        <w:rPr>
          <w:rFonts w:ascii="Garamond" w:hAnsi="Garamond"/>
          <w:i/>
          <w:color w:val="1A1A1A"/>
          <w:sz w:val="22"/>
        </w:rPr>
        <w:t xml:space="preserve">“The RHT funding is a tool that lets us put affordability plans into action. This is not our health care reform plan. This is an opportunity that we’ll use to support all of the health care reform work that we’re already doing in the state.”</w:t>
      </w:r>
    </w:p>
    <w:p>
      <w:pPr>
        <w:pStyle w:val="QuoteAttr"/>
      </w:pPr>
      <w:r>
        <w:rPr>
          <w:rFonts w:ascii="Garamond" w:hAnsi="Garamond"/>
          <w:b w:val="0"/>
          <w:i w:val="0"/>
          <w:color w:val="333333"/>
          <w:sz w:val="19"/>
        </w:rPr>
        <w:t xml:space="preserve">— Jenney Samuelson, Vermont AHS Secretary, January 2026</w:t>
      </w:r>
    </w:p>
    <w:p>
      <w:pPr>
        <w:pStyle w:val="Heading2"/>
        <w:pBdr>
          <w:top w:val="single" w:sz="6" w:space="10" w:color="C9D2DF"/>
        </w:pBdr>
        <w:keepNext w:val="false"/>
      </w:pPr>
      <w:r>
        <w:rPr>
          <w:color w:val="161B22"/>
        </w:rPr>
        <w:t xml:space="preserve">13.6  </w:t>
      </w:r>
      <w:bookmarkStart w:id="1389" w:name="_Toc1388"/>
      <w:r>
        <w:rPr>
          <w:b/>
          <w:bCs/>
          <w:color w:val="161B22"/>
        </w:rPr>
        <w:t xml:space="preserve">Vermont as National Template — The Decisions That Will Determine Outcomes</w:t>
      </w:r>
      <w:bookmarkEnd w:id="1389"/>
    </w:p>
    <w:p>
      <w:pPr>
        <w:pStyle w:val="FirstParagraph"/>
        <w:keepNext w:val="false"/>
      </w:pPr>
      <w: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tbl>
      <w:tblPr>
        <w:tblStyle w:val="HTRTable"/>
        <w:tblLook w:firstRow="1" w:lastRow="0" w:firstColumn="0" w:lastColumn="0" w:noHBand="0" w:noVBand="1" w:val="0020"/>
        <w:tblW w:w="9072" w:type="dxa"/>
        <w:tblLayout w:type="fixed"/>
      </w:tblPr>
      <w:tblGrid>
        <w:gridCol w:w="2376"/>
        <w:gridCol w:w="1941"/>
        <w:gridCol w:w="2376"/>
        <w:gridCol w:w="2376"/>
      </w:tblGrid>
      <w:tr>
        <w:trPr>
          <w:tblHeader w:val="on"/>
          <w:cantSplit/>
        </w:trPr>
        <w:tc>
          <w:tcPr>
            <w:shd w:val="clear" w:color="auto" w:fill="1B3A6B"/>
            <w:tcW w:w="2376" w:type="dxa"/>
          </w:tcPr>
          <w:p>
            <w:pPr>
              <w:pStyle w:val="Compact"/>
              <w:jc w:val="left"/>
            </w:pPr>
            <w:r>
              <w:rPr>
                <w:b/>
                <w:color w:val="FFFFFF"/>
                <w:sz w:val="18"/>
              </w:rPr>
              <w:t xml:space="preserve">Decision</w:t>
            </w:r>
          </w:p>
        </w:tc>
        <w:tc>
          <w:tcPr>
            <w:shd w:val="clear" w:color="auto" w:fill="1B3A6B"/>
            <w:tcW w:w="1941" w:type="dxa"/>
          </w:tcPr>
          <w:p>
            <w:pPr>
              <w:pStyle w:val="Compact"/>
              <w:jc w:val="left"/>
            </w:pPr>
            <w:r>
              <w:rPr>
                <w:b/>
                <w:color w:val="FFFFFF"/>
                <w:sz w:val="18"/>
              </w:rPr>
              <w:t xml:space="preserve">Vermont timeline</w:t>
            </w:r>
          </w:p>
        </w:tc>
        <w:tc>
          <w:tcPr>
            <w:shd w:val="clear" w:color="auto" w:fill="1B3A6B"/>
            <w:tcW w:w="2376" w:type="dxa"/>
          </w:tcPr>
          <w:p>
            <w:pPr>
              <w:pStyle w:val="Compact"/>
              <w:jc w:val="left"/>
            </w:pPr>
            <w:r>
              <w:rPr>
                <w:b/>
                <w:color w:val="FFFFFF"/>
                <w:sz w:val="18"/>
              </w:rPr>
              <w:t xml:space="preserve">If Vermont succeeds</w:t>
            </w:r>
          </w:p>
        </w:tc>
        <w:tc>
          <w:tcPr>
            <w:shd w:val="clear" w:color="auto" w:fill="1B3A6B"/>
            <w:tcW w:w="2376" w:type="dxa"/>
          </w:tcPr>
          <w:p>
            <w:pPr>
              <w:pStyle w:val="Compact"/>
              <w:jc w:val="left"/>
            </w:pPr>
            <w:r>
              <w:rPr>
                <w:b/>
                <w:color w:val="FFFFFF"/>
                <w:sz w:val="18"/>
              </w:rPr>
              <w:t xml:space="preserve">If Vermont struggles</w:t>
            </w:r>
          </w:p>
        </w:tc>
      </w:tr>
      <w:tr>
        <w:trPr>
          <w:cantSplit/>
        </w:trPr>
        <w:tc>
          <w:tcPr>
            <w:tcW w:w="2376" w:type="dxa"/>
          </w:tcPr>
          <w:p>
            <w:pPr>
              <w:pStyle w:val="Compact"/>
              <w:jc w:val="left"/>
            </w:pPr>
            <w:r>
              <w:rPr>
                <w:sz w:val="18"/>
              </w:rPr>
              <w:t xml:space="preserve">Will mandatory all-payer RBP reduce hospital prices without reducing access?</w:t>
            </w:r>
          </w:p>
        </w:tc>
        <w:tc>
          <w:tcPr>
            <w:tcW w:w="1941" w:type="dxa"/>
          </w:tcPr>
          <w:p>
            <w:pPr>
              <w:pStyle w:val="Compact"/>
              <w:jc w:val="left"/>
            </w:pPr>
            <w:r>
              <w:rPr>
                <w:sz w:val="18"/>
              </w:rPr>
              <w:t xml:space="preserve">FY2027 implementation; first evidence FY2028</w:t>
            </w:r>
          </w:p>
        </w:tc>
        <w:tc>
          <w:tcPr>
            <w:tcW w:w="2376" w:type="dxa"/>
          </w:tcPr>
          <w:p>
            <w:pPr>
              <w:pStyle w:val="Compact"/>
              <w:jc w:val="left"/>
            </w:pPr>
            <w:r>
              <w:rPr>
                <w:sz w:val="18"/>
              </w:rPr>
              <w:t xml:space="preserve">Confirms mandatory price regulation can close the price gap without the closures opponents predict; accelerates state adoption.</w:t>
            </w:r>
          </w:p>
        </w:tc>
        <w:tc>
          <w:tcPr>
            <w:tcW w:w="2376" w:type="dxa"/>
          </w:tcPr>
          <w:p>
            <w:pPr>
              <w:pStyle w:val="Compact"/>
              <w:jc w:val="left"/>
            </w:pPr>
            <w:r>
              <w:rPr>
                <w:sz w:val="18"/>
              </w:rPr>
              <w:t xml:space="preserve">Arms RBP opponents; may delay national adoption 5–10 years.</w:t>
            </w:r>
          </w:p>
        </w:tc>
      </w:tr>
      <w:tr>
        <w:trPr/>
        <w:tc>
          <w:tcPr>
            <w:tcW w:w="2376" w:type="dxa"/>
          </w:tcPr>
          <w:p>
            <w:pPr>
              <w:pStyle w:val="Compact"/>
              <w:jc w:val="left"/>
            </w:pPr>
            <w:r>
              <w:rPr>
                <w:sz w:val="18"/>
              </w:rPr>
              <w:t xml:space="preserve">Can hospital global budgets shift behavior toward population health?</w:t>
            </w:r>
          </w:p>
        </w:tc>
        <w:tc>
          <w:tcPr>
            <w:tcW w:w="1941" w:type="dxa"/>
          </w:tcPr>
          <w:p>
            <w:pPr>
              <w:pStyle w:val="Compact"/>
              <w:jc w:val="left"/>
            </w:pPr>
            <w:r>
              <w:rPr>
                <w:sz w:val="18"/>
              </w:rPr>
              <w:t xml:space="preserve">FY2028 budgets; AHEAD data 2027–2030</w:t>
            </w:r>
          </w:p>
        </w:tc>
        <w:tc>
          <w:tcPr>
            <w:tcW w:w="2376" w:type="dxa"/>
          </w:tcPr>
          <w:p>
            <w:pPr>
              <w:pStyle w:val="Compact"/>
              <w:jc w:val="left"/>
            </w:pPr>
            <w:r>
              <w:rPr>
                <w:sz w:val="18"/>
              </w:rPr>
              <w:t xml:space="preserve">Shows global budgets produce the improvements Maryland demonstrated, beyond Maryland-specific conditions.</w:t>
            </w:r>
          </w:p>
        </w:tc>
        <w:tc>
          <w:tcPr>
            <w:tcW w:w="2376" w:type="dxa"/>
          </w:tcPr>
          <w:p>
            <w:pPr>
              <w:pStyle w:val="Compact"/>
              <w:jc w:val="left"/>
            </w:pPr>
            <w:r>
              <w:rPr>
                <w:sz w:val="18"/>
              </w:rPr>
              <w:t xml:space="preserve">Suggests budgets without primary-care/SDOH infrastructure don’t improve population health; strengthens the case for community investment first.</w:t>
            </w:r>
          </w:p>
        </w:tc>
      </w:tr>
      <w:tr>
        <w:trPr/>
        <w:tc>
          <w:tcPr>
            <w:tcW w:w="2376" w:type="dxa"/>
          </w:tcPr>
          <w:p>
            <w:pPr>
              <w:pStyle w:val="Compact"/>
              <w:jc w:val="left"/>
            </w:pPr>
            <w:r>
              <w:rPr>
                <w:sz w:val="18"/>
              </w:rPr>
              <w:t xml:space="preserve">Can AHS deliver a comprehensive Strategic Plan by December 2028?</w:t>
            </w:r>
          </w:p>
        </w:tc>
        <w:tc>
          <w:tcPr>
            <w:tcW w:w="1941" w:type="dxa"/>
          </w:tcPr>
          <w:p>
            <w:pPr>
              <w:pStyle w:val="Compact"/>
              <w:jc w:val="left"/>
            </w:pPr>
            <w:r>
              <w:rPr>
                <w:sz w:val="18"/>
              </w:rPr>
              <w:t xml:space="preserve">December 2028 statutory deadline</w:t>
            </w:r>
          </w:p>
        </w:tc>
        <w:tc>
          <w:tcPr>
            <w:tcW w:w="2376" w:type="dxa"/>
          </w:tcPr>
          <w:p>
            <w:pPr>
              <w:pStyle w:val="Compact"/>
              <w:jc w:val="left"/>
            </w:pPr>
            <w:r>
              <w:rPr>
                <w:sz w:val="18"/>
              </w:rPr>
              <w:t xml:space="preserve">Proves a state agency can restructure itself into a population-health system operator; provides a template.</w:t>
            </w:r>
          </w:p>
        </w:tc>
        <w:tc>
          <w:tcPr>
            <w:tcW w:w="2376" w:type="dxa"/>
          </w:tcPr>
          <w:p>
            <w:pPr>
              <w:pStyle w:val="Compact"/>
              <w:jc w:val="left"/>
            </w:pPr>
            <w:r>
              <w:rPr>
                <w:sz w:val="18"/>
              </w:rPr>
              <w:t xml:space="preserve">Reveals capacity constraints other states must address first; valuable learning regardless.</w:t>
            </w:r>
          </w:p>
        </w:tc>
      </w:tr>
      <w:tr>
        <w:trPr/>
        <w:tc>
          <w:tcPr>
            <w:tcW w:w="2376" w:type="dxa"/>
          </w:tcPr>
          <w:p>
            <w:pPr>
              <w:pStyle w:val="Compact"/>
              <w:jc w:val="left"/>
            </w:pPr>
            <w:r>
              <w:rPr>
                <w:sz w:val="18"/>
              </w:rPr>
              <w:t xml:space="preserve">Can RHT capital fund structural transformation rather than operating support?</w:t>
            </w:r>
          </w:p>
        </w:tc>
        <w:tc>
          <w:tcPr>
            <w:tcW w:w="1941" w:type="dxa"/>
          </w:tcPr>
          <w:p>
            <w:pPr>
              <w:pStyle w:val="Compact"/>
              <w:jc w:val="left"/>
            </w:pPr>
            <w:r>
              <w:rPr>
                <w:sz w:val="18"/>
              </w:rPr>
              <w:t xml:space="preserve">FY2026–FY2030 spending window</w:t>
            </w:r>
          </w:p>
        </w:tc>
        <w:tc>
          <w:tcPr>
            <w:tcW w:w="2376" w:type="dxa"/>
          </w:tcPr>
          <w:p>
            <w:pPr>
              <w:pStyle w:val="Compact"/>
              <w:jc w:val="left"/>
            </w:pPr>
            <w:r>
              <w:rPr>
                <w:sz w:val="18"/>
              </w:rPr>
              <w:t xml:space="preserve">Shows one-time capital can produce durable structural change — the core question about whether the $50B was well spent.</w:t>
            </w:r>
          </w:p>
        </w:tc>
        <w:tc>
          <w:tcPr>
            <w:tcW w:w="2376" w:type="dxa"/>
          </w:tcPr>
          <w:p>
            <w:pPr>
              <w:pStyle w:val="Compact"/>
              <w:jc w:val="left"/>
            </w:pPr>
            <w:r>
              <w:rPr>
                <w:sz w:val="18"/>
              </w:rPr>
              <w:t xml:space="preserve">Suggests rural challenges need ongoing revenue support, not just capital; major implication for post-2030 federal policy.</w:t>
            </w:r>
          </w:p>
        </w:tc>
      </w:tr>
      <w:tr>
        <w:trPr>
          <w:cantSplit/>
        </w:trPr>
        <w:tc>
          <w:tcPr>
            <w:tcW w:w="2376" w:type="dxa"/>
          </w:tcPr>
          <w:p>
            <w:pPr>
              <w:pStyle w:val="Compact"/>
              <w:jc w:val="left"/>
            </w:pPr>
            <w:r>
              <w:rPr>
                <w:sz w:val="18"/>
              </w:rPr>
              <w:t xml:space="preserve">Will AHEAD participation demonstrate savings and quality improvement?</w:t>
            </w:r>
          </w:p>
        </w:tc>
        <w:tc>
          <w:tcPr>
            <w:tcW w:w="1941" w:type="dxa"/>
          </w:tcPr>
          <w:p>
            <w:pPr>
              <w:pStyle w:val="Compact"/>
              <w:jc w:val="left"/>
            </w:pPr>
            <w:r>
              <w:rPr>
                <w:sz w:val="18"/>
              </w:rPr>
              <w:t xml:space="preserve">AHEAD data from 2027; CMS evaluation through 2035</w:t>
            </w:r>
          </w:p>
        </w:tc>
        <w:tc>
          <w:tcPr>
            <w:tcW w:w="2376" w:type="dxa"/>
          </w:tcPr>
          <w:p>
            <w:pPr>
              <w:pStyle w:val="Compact"/>
              <w:jc w:val="left"/>
            </w:pPr>
            <w:r>
              <w:rPr>
                <w:sz w:val="18"/>
              </w:rPr>
              <w:t xml:space="preserve">Builds the national evidence base for state TCOC accountability; may accelerate AHEAD expansion.</w:t>
            </w:r>
          </w:p>
        </w:tc>
        <w:tc>
          <w:tcPr>
            <w:tcW w:w="2376" w:type="dxa"/>
          </w:tcPr>
          <w:p>
            <w:pPr>
              <w:pStyle w:val="Compact"/>
              <w:jc w:val="left"/>
            </w:pPr>
            <w:r>
              <w:rPr>
                <w:sz w:val="18"/>
              </w:rPr>
              <w:t xml:space="preserve">May lead CMS to modify AHEAD; still valuable as evidence.</w:t>
            </w:r>
          </w:p>
        </w:tc>
      </w:tr>
    </w:tbl>
    <w:p>
      <w:pPr>
        <w:pStyle w:val="Caption"/>
        <w:spacing w:before="120"/>
      </w:pPr>
      <w:r>
        <w:rPr>
          <w:i/>
          <w:iCs/>
        </w:rPr>
        <w:t xml:space="preserve">Figure 13.4 — Vermont’s transformation decisions and their national implications. Sources: HTR analysis; Vermont AHEAD State Agreement; Act 68 of 2025.</w:t>
      </w:r>
    </w:p>
    <w:p>
      <w:pPr>
        <w:pStyle w:val="Heading2"/>
        <w:pBdr>
          <w:top w:val="single" w:sz="6" w:space="10" w:color="C9D2DF"/>
        </w:pBdr>
        <w:keepNext w:val="false"/>
      </w:pPr>
      <w:r>
        <w:rPr>
          <w:color w:val="161B22"/>
        </w:rPr>
        <w:t xml:space="preserve">13.7  </w:t>
      </w:r>
      <w:bookmarkStart w:id="1390" w:name="_Toc1389"/>
      <w:r>
        <w:rPr>
          <w:b/>
          <w:bCs/>
          <w:color w:val="161B22"/>
        </w:rPr>
        <w:t xml:space="preserve">Work This Chapter on the Platform</w:t>
      </w:r>
      <w:bookmarkEnd w:id="1390"/>
    </w:p>
    <w:p>
      <w:pPr>
        <w:pStyle w:val="FirstParagraph"/>
        <w:keepNext w:val="false"/>
      </w:pPr>
      <w:r>
        <w:t xml:space="preserve">A forecast is only useful if you can watch it resolve. These tools track the indicators this chapter projects forward, so the reader can check the book’s predictions against the record as it accumulates.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Track Vermont’s six-pillar status as it moves, rather than at the single April 2026 snapshot this chapter reports</w:t>
            </w:r>
          </w:p>
        </w:tc>
        <w:tc>
          <w:tcPr>
            <w:tcW w:w="947" w:type="dxa"/>
          </w:tcPr>
          <w:p>
            <w:pPr>
              <w:pStyle w:val="Compact"/>
              <w:jc w:val="left"/>
            </w:pPr>
            <w:hyperlink r:id="rId426">
              <w:r>
                <w:rPr>
                  <w:rStyle w:val="Hyperlink"/>
                  <w:b/>
                  <w:bCs/>
                </w:rPr>
                <w:t xml:space="preserve">HTI Dashboard</w:t>
              </w:r>
            </w:hyperlink>
          </w:p>
        </w:tc>
        <w:tc>
          <w:tcPr>
            <w:tcW w:w="4062" w:type="dxa"/>
          </w:tcPr>
          <w:p>
            <w:pPr>
              <w:pStyle w:val="Compact"/>
              <w:jc w:val="left"/>
            </w:pPr>
            <w:r>
              <w:rPr>
                <w:sz w:val="18"/>
              </w:rPr>
              <w:t xml:space="preserve">Whether a pillar is improving, flat, or decaying between reporting intervals — the trend that decides which of the chapter’s two scenarios is unfolding.</w:t>
            </w:r>
          </w:p>
        </w:tc>
      </w:tr>
      <w:tr>
        <w:trPr/>
        <w:tc>
          <w:tcPr>
            <w:tcW w:w="4062" w:type="dxa"/>
          </w:tcPr>
          <w:p>
            <w:pPr>
              <w:pStyle w:val="Compact"/>
              <w:jc w:val="left"/>
            </w:pPr>
            <w:r>
              <w:rPr>
                <w:sz w:val="18"/>
              </w:rPr>
              <w:t xml:space="preserve">Compare Vermont against the other states pursuing structural reform</w:t>
            </w:r>
          </w:p>
        </w:tc>
        <w:tc>
          <w:tcPr>
            <w:tcW w:w="947" w:type="dxa"/>
          </w:tcPr>
          <w:p>
            <w:pPr>
              <w:pStyle w:val="Compact"/>
              <w:jc w:val="left"/>
            </w:pPr>
            <w:hyperlink r:id="rId427">
              <w:r>
                <w:rPr>
                  <w:rStyle w:val="Hyperlink"/>
                  <w:b/>
                  <w:bCs/>
                </w:rPr>
                <w:t xml:space="preserve">Innovation Leaderboard</w:t>
              </w:r>
            </w:hyperlink>
          </w:p>
        </w:tc>
        <w:tc>
          <w:tcPr>
            <w:tcW w:w="4062" w:type="dxa"/>
          </w:tcPr>
          <w:p>
            <w:pPr>
              <w:pStyle w:val="Compact"/>
              <w:jc w:val="left"/>
            </w:pPr>
            <w:r>
              <w:rPr>
                <w:sz w:val="18"/>
              </w:rPr>
              <w:t xml:space="preserve">Which states are moving on which pillars. Vermont being early is the premise of this book; the leaderboard is where you check whether it stays true.</w:t>
            </w:r>
          </w:p>
        </w:tc>
      </w:tr>
      <w:tr>
        <w:trPr/>
        <w:tc>
          <w:tcPr>
            <w:tcW w:w="4062" w:type="dxa"/>
          </w:tcPr>
          <w:p>
            <w:pPr>
              <w:pStyle w:val="Compact"/>
              <w:jc w:val="left"/>
            </w:pPr>
            <w:r>
              <w:rPr>
                <w:sz w:val="18"/>
              </w:rPr>
              <w:t xml:space="preserve">Follow the policy and regulatory record as it is made</w:t>
            </w:r>
          </w:p>
        </w:tc>
        <w:tc>
          <w:tcPr>
            <w:tcW w:w="947" w:type="dxa"/>
          </w:tcPr>
          <w:p>
            <w:pPr>
              <w:pStyle w:val="Compact"/>
              <w:jc w:val="left"/>
            </w:pPr>
            <w:hyperlink r:id="rId428">
              <w:r>
                <w:rPr>
                  <w:rStyle w:val="Hyperlink"/>
                  <w:b/>
                  <w:bCs/>
                </w:rPr>
                <w:t xml:space="preserve">The Wire</w:t>
              </w:r>
            </w:hyperlink>
          </w:p>
        </w:tc>
        <w:tc>
          <w:tcPr>
            <w:tcW w:w="4062" w:type="dxa"/>
          </w:tcPr>
          <w:p>
            <w:pPr>
              <w:pStyle w:val="Compact"/>
              <w:jc w:val="left"/>
            </w:pPr>
            <w:r>
              <w:rPr>
                <w:sz w:val="18"/>
              </w:rPr>
              <w:t xml:space="preserve">GMCB decisions, AHS reports, and CMS model changes — the raw material from which the next version of this chapter’s forecast will be written.</w:t>
            </w:r>
          </w:p>
        </w:tc>
      </w:tr>
      <w:tr>
        <w:trPr>
          <w:cantSplit/>
        </w:trPr>
        <w:tc>
          <w:tcPr>
            <w:tcW w:w="4062" w:type="dxa"/>
          </w:tcPr>
          <w:p>
            <w:pPr>
              <w:pStyle w:val="Compact"/>
              <w:jc w:val="left"/>
            </w:pPr>
            <w:r>
              <w:rPr>
                <w:sz w:val="18"/>
              </w:rPr>
              <w:t xml:space="preserve">Score a state’s readiness on the six pillars and test the chapter’s scenarios yourself</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What has to be true, pillar by pillar, for the optimistic scenario rather than the pessimistic one to hold.</w:t>
            </w:r>
          </w:p>
        </w:tc>
      </w:tr>
    </w:tbl>
    <w:p>
      <w:pPr>
        <w:pStyle w:val="Caption"/>
        <w:spacing w:before="120"/>
      </w:pPr>
      <w:r>
        <w:rPr>
          <w:i/>
          <w:iCs/>
        </w:rPr>
        <w:t xml:space="preserve">Figure 13.H — Hands-on platform tools for Chapter 13: tracking the forecast against the record.</w:t>
      </w:r>
    </w:p>
    <w:p>
      <w:pPr>
        <w:pStyle w:val="Heading2"/>
        <w:pBdr>
          <w:top w:val="single" w:sz="6" w:space="10" w:color="C9D2DF"/>
        </w:pBdr>
      </w:pPr>
      <w:r>
        <w:rPr>
          <w:color w:val="161B22"/>
        </w:rPr>
        <w:t xml:space="preserve">13.8  </w:t>
      </w:r>
      <w:bookmarkStart w:id="1391" w:name="_Toc1390"/>
      <w:r>
        <w:rPr>
          <w:b/>
          <w:bCs/>
          <w:color w:val="161B22"/>
        </w:rPr>
        <w:t xml:space="preserve">Implications for You</w:t>
      </w:r>
      <w:bookmarkEnd w:id="1391"/>
    </w:p>
    <w:p>
      <w:pPr>
        <w:pStyle w:val="FirstParagraph"/>
      </w:pPr>
      <w:r>
        <w:rPr>
          <w:b/>
          <w:bCs/>
        </w:rPr>
        <w:t xml:space="preserve">If you are a Vermont official:</w:t>
      </w:r>
      <w:r>
        <w:t xml:space="preserve"> </w:t>
      </w:r>
      <w:r>
        <w:t xml:space="preserve">this chapter’s two scenarios differ on a small number of decisions that are still open in 2026 — whether the analytics capability is operational before AHEAD financial accountability begins, whether social risk adjustment is embedded in global budget design or appended to it, and whether the December 2028 Strategic Plan commits to measurable outcomes or describes intentions. Those three are worth more attention than the forecast’s aggregate numbers.</w:t>
      </w:r>
    </w:p>
    <w:p>
      <w:pPr>
        <w:pStyle w:val="BodyText"/>
      </w:pPr>
      <w:r>
        <w:rPr>
          <w:b/>
          <w:bCs/>
        </w:rPr>
        <w:t xml:space="preserve">If you lead a healthcare organization outside Vermont:</w:t>
      </w:r>
      <w:r>
        <w:t xml:space="preserve"> </w:t>
      </w:r>
      <w:r>
        <w:t xml:space="preserve">the five forces this chapter identifies are not Vermont-specific, and the ten-year horizon is a planning window, not a prediction. The practical question is which of the five is already visible in your own market, and how much lead time your organization has before it becomes binding. A payer or system that treats demographic cross-subsidy erosion as a 2035 problem will discover it as a 2029 problem.</w:t>
      </w:r>
    </w:p>
    <w:p>
      <w:pPr>
        <w:pStyle w:val="BodyText"/>
      </w:pPr>
      <w:r>
        <w:rPr>
          <w:b/>
          <w:bCs/>
        </w:rPr>
        <w:t xml:space="preserve">If you are a policymaker in another state:</w:t>
      </w:r>
      <w:r>
        <w:t xml:space="preserve"> </w:t>
      </w:r>
      <w:r>
        <w:t xml:space="preserve">Vermont’s value to you is as an early instance, not a template. Watch which of the decisions above Vermont gets right and which it gets wrong, and treat both as information you are receiving several years before you would have generated it yourself. That is the only sense in which this chapter is a forecast for anyone but Vermont.</w:t>
      </w:r>
    </w:p>
    <w:p>
      <w:pPr>
        <w:pStyle w:val="BodyText"/>
      </w:pPr>
      <w:r>
        <w:rPr>
          <w:b/>
          <w:bCs/>
        </w:rPr>
        <w:t xml:space="preserve">If you are a researcher:</w:t>
      </w:r>
      <w:r>
        <w:t xml:space="preserve"> </w:t>
      </w:r>
      <w:r>
        <w:t xml:space="preserve">the scenarios in this chapter are falsifiable and dated. That is deliberate. The indicators are public — GMCB hospital data, AHS transformation reports, CMS AHEAD documentation — and a reader in 2029 will be able to say plainly which scenario occurred. Hold the book to that.</w:t>
      </w:r>
    </w:p>
    <w:p>
      <w:pPr>
        <w:pStyle w:val="Heading2"/>
        <w:pBdr>
          <w:top w:val="single" w:sz="6" w:space="10" w:color="C9D2DF"/>
        </w:pBdr>
      </w:pPr>
      <w:r>
        <w:rPr>
          <w:color w:val="161B22"/>
        </w:rPr>
        <w:t xml:space="preserve">13.9  </w:t>
      </w:r>
      <w:bookmarkStart w:id="1392" w:name="_Toc1391"/>
      <w:r>
        <w:rPr>
          <w:b/>
          <w:bCs/>
          <w:color w:val="161B22"/>
        </w:rPr>
        <w:t xml:space="preserve">Key Concepts in This Chapter</w:t>
      </w:r>
      <w:bookmarkEnd w:id="1392"/>
    </w:p>
    <w:p>
      <w:pPr>
        <w:pStyle w:val="FirstParagraph"/>
        <w:spacing w:before="160" w:after="120"/>
      </w:pPr>
      <w:r>
        <w:rPr>
          <w:rFonts w:ascii="Calibri" w:hAnsi="Calibri"/>
          <w:color w:val="000000"/>
          <w:sz w:val="18"/>
        </w:rPr>
        <w:t xml:space="preserve">Five forces · six-pillar forecast · optimistic and pessimistic scenario · national template · transformation trajectory · falsifiable forecast · decision points</w:t>
      </w:r>
    </w:p>
    <w:p>
      <w:pPr>
        <w:pStyle w:val="Heading2"/>
        <w:pBdr>
          <w:top w:val="single" w:sz="6" w:space="10" w:color="C9D2DF"/>
        </w:pBdr>
      </w:pPr>
      <w:r>
        <w:rPr>
          <w:color w:val="161B22"/>
        </w:rPr>
        <w:t xml:space="preserve">13.10  </w:t>
      </w:r>
      <w:bookmarkStart w:id="1393" w:name="_Toc1392"/>
      <w:r>
        <w:rPr>
          <w:b/>
          <w:bCs/>
          <w:color w:val="161B22"/>
        </w:rPr>
        <w:t xml:space="preserve">A Closing Note: What This Book Is Betting On</w:t>
      </w:r>
      <w:bookmarkEnd w:id="1393"/>
    </w:p>
    <w:p>
      <w:pPr>
        <w:pStyle w:val="FirstParagraph"/>
      </w:pPr>
      <w:r>
        <w:t xml:space="preserve">Every analytical framework contains implicit bets. It is worth making this book’s explicit.</w:t>
      </w:r>
    </w:p>
    <w:p>
      <w:pPr>
        <w:pStyle w:val="BodyText"/>
      </w:pPr>
      <w: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pPr>
        <w:pStyle w:val="BodyText"/>
      </w:pPr>
      <w: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pPr>
        <w:pStyle w:val="BodyText"/>
      </w:pPr>
      <w: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pPr>
        <w:pStyle w:val="BodyText"/>
      </w:pPr>
      <w: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“A Closer Look at the $50 Billion Rural Health Fund in the New Reconciliation Law”</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(September 2025);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“How Might Federal Medicaid Cuts in the Enacted Reconciliation Package Affect Rural Areas?”</w:t>
      </w:r>
      <w:r>
        <w:rPr>
          <w:rFonts w:ascii="Garamond" w:hAnsi="Garamond" w:cs="Garamond"/>
          <w:rFonts w:ascii="Garamond" w:hAnsi="Garamond"/>
          <w:b w:val="0"/>
          <w:i/>
          <w:color w:val="404040"/>
          <w:sz w:val="18"/>
        </w:rPr>
        <w:t xml:space="preserve">;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“What to Know About the BALANCE Model for GLP-1s in Medicare and Medicaid”</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(2026); Chartis, 2026 State of Rural Health (February 2026); Peterson-KFF Health System Tracker,</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“Eight Trends Shaping 2026 Healthcare Costs”</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(March 2026); Pew Charitable Trusts (January 2026); Georgetown Center for Children and Families (March 2026); CMS BALANCE Model announcement (December 23, 2025); AHS Secretary Samuelson remarks (January 29, 2026); Oliver Wyman Act 167 Recommendations (2024); Vermont AHEAD State Agreement (January 2025); Vermont RHT Program Application (November 2025).</w:t>
      </w:r>
    </w:p>
    <w:p>
      <w:r>
        <w:br w:type="page"/>
      </w:r>
    </w:p>
    <w:p>
      <w:pPr>
        <w:pStyle w:val="Heading1"/>
      </w:pPr>
      <w:bookmarkStart w:id="1394" w:name="_Toc1393"/>
      <w:r>
        <w:rPr>
          <w:b/>
          <w:bCs/>
          <w:color w:val="161B22"/>
        </w:rPr>
        <w:t xml:space="preserve">Chapter 14 — Political Sustainability: Protecting Transformation Across Election Cycles</w:t>
      </w:r>
      <w:bookmarkEnd w:id="139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p>
    <w:p>
      <w:pPr>
        <w:pStyle w:val="BodyText"/>
      </w:pPr>
      <w: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pPr>
        <w:pStyle w:val="Heading2"/>
        <w:pBdr>
          <w:top w:val="single" w:sz="6" w:space="10" w:color="C9D2DF"/>
        </w:pBdr>
      </w:pPr>
      <w:r>
        <w:rPr>
          <w:color w:val="161B22"/>
        </w:rPr>
        <w:t xml:space="preserve">14.1  </w:t>
      </w:r>
      <w:bookmarkStart w:id="1395" w:name="_Toc1394"/>
      <w:r>
        <w:rPr>
          <w:b/>
          <w:bCs/>
          <w:color w:val="161B22"/>
        </w:rPr>
        <w:t xml:space="preserve">Why Political Sustainability Is an Analytical Problem, Not Only a Political One</w:t>
      </w:r>
      <w:bookmarkEnd w:id="1395"/>
    </w:p>
    <w:p>
      <w:pPr>
        <w:pStyle w:val="FirstParagraph"/>
      </w:pPr>
      <w:r>
        <w:t xml:space="preserve">This book has treated the Policy pillar as settled: Acts 167 and 68 are law, the AHEAD State Agreement is signed, and the mandatory RBP and global-budget architecture is in place. That is analytically correct as of April 2026. It is also politically provisional in a way practitioners and organizational leaders must account for.</w:t>
      </w:r>
    </w:p>
    <w:p>
      <w:pPr>
        <w:pStyle w:val="BodyText"/>
      </w:pPr>
      <w: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w:t>
      </w:r>
    </w:p>
    <w:p>
      <w:pPr>
        <w:pStyle w:val="BodyText"/>
      </w:pPr>
      <w: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pPr>
        <w:pStyle w:val="Heading2"/>
        <w:pBdr>
          <w:top w:val="single" w:sz="6" w:space="10" w:color="C9D2DF"/>
        </w:pBdr>
      </w:pPr>
      <w:r>
        <w:rPr>
          <w:color w:val="161B22"/>
        </w:rPr>
        <w:t xml:space="preserve">14.2  </w:t>
      </w:r>
      <w:bookmarkStart w:id="1396" w:name="_Toc1395"/>
      <w:r>
        <w:rPr>
          <w:b/>
          <w:bCs/>
          <w:color w:val="161B22"/>
        </w:rPr>
        <w:t xml:space="preserve">The Structural Durability of Vermont’s Reform Architecture</w:t>
      </w:r>
      <w:bookmarkEnd w:id="1396"/>
    </w:p>
    <w:p>
      <w:pPr>
        <w:pStyle w:val="Heading3"/>
      </w:pPr>
      <w:r>
        <w:rPr>
          <w:color w:val="161B22"/>
        </w:rPr>
        <w:t xml:space="preserve">14.2.1  </w:t>
      </w:r>
      <w:bookmarkStart w:id="1397" w:name="_Toc1396"/>
      <w:r>
        <w:rPr>
          <w:b/>
          <w:bCs/>
          <w:color w:val="161B22"/>
        </w:rPr>
        <w:t xml:space="preserve">What Is Hard to Reverse</w:t>
      </w:r>
      <w:bookmarkEnd w:id="1397"/>
    </w:p>
    <w:p>
      <w:pPr>
        <w:pStyle w:val="FirstParagraph"/>
      </w:pPr>
      <w:r>
        <w:t xml:space="preserve">Federal agreements. The AHEAD State Agreement, signed with CMS in January 2025, is a binding federal-state agreement with a nine-year performance period. Reversal requires CMS consent, and the cost of exit — forfeiting enhanced PMPM payments and capital — is significant. AHEAD provides structural insulation against state-level disruption.</w:t>
      </w:r>
    </w:p>
    <w:p>
      <w:pPr>
        <w:pStyle w:val="BodyText"/>
      </w:pPr>
      <w:r>
        <w:t xml:space="preserve">Capital investments. The RHT Program’s roughly $195 million per year over five years is federal capital already flowing into Vermont’s system. The CIN infrastructure, IT upgrades, and analytics platforms, once built, create constituencies for their continuation and are difficult to defund without visible harm to politically protected rural communities.</w:t>
      </w:r>
    </w:p>
    <w:p>
      <w:pPr>
        <w:pStyle w:val="BodyText"/>
      </w:pPr>
      <w:r>
        <w:t xml:space="preserve">The reform cascade. Vermont’s Act 167 → Act 51 → Act 68 sequence built legitimacy incrementally. Each act created institutions — the Health Care Delivery Advisory Committee, expanded GMCB authority, the AHS HSA-coordinator model — that become constituencies for the next reform. Dismantling Act 68 would mean dismantling these institutions, which now have staff, missions, and legislative relationships that make reversal costly.</w:t>
      </w:r>
    </w:p>
    <w:p>
      <w:pPr>
        <w:pStyle w:val="BodyText"/>
      </w:pPr>
      <w: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pPr>
        <w:pStyle w:val="Heading3"/>
      </w:pPr>
      <w:r>
        <w:rPr>
          <w:color w:val="161B22"/>
        </w:rPr>
        <w:t xml:space="preserve">14.2.2  </w:t>
      </w:r>
      <w:bookmarkStart w:id="1398" w:name="_Toc1397"/>
      <w:r>
        <w:rPr>
          <w:b/>
          <w:bCs/>
          <w:color w:val="161B22"/>
        </w:rPr>
        <w:t xml:space="preserve">What Is Politically Exposed</w:t>
      </w:r>
      <w:bookmarkEnd w:id="1398"/>
    </w:p>
    <w:p>
      <w:pPr>
        <w:pStyle w:val="FirstParagraph"/>
      </w:pPr>
      <w:r>
        <w:t xml:space="preserve">RBP methodology. RBP is mandatory from FY2027, but the *methodology*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pPr>
        <w:pStyle w:val="BodyText"/>
      </w:pPr>
      <w:r>
        <w:t xml:space="preserve">Global-budget levels. Act 68 requires global budgets from FY2028, but GMCB sets the levels. Budgets set at levels that require no behavioral change produce no transformation. The risk is not repeal — it is budgets calibrated to produce the appearance of accountability without the substance.</w:t>
      </w:r>
    </w:p>
    <w:p>
      <w:pPr>
        <w:pStyle w:val="BodyText"/>
      </w:pPr>
      <w:r>
        <w:t xml:space="preserve">Strategic Plan scope. Act 68 requires the December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pPr>
        <w:pStyle w:val="BodyText"/>
        <w:keepNext w:val="false"/>
      </w:pPr>
      <w:r>
        <w:t xml:space="preserve">Federal Medicaid funding. H.R. 1’s $911 billion in Medicaid cuts (enacted July 2025) pressure Vermont’s transformation financing directly. The AHEAD EAST Fund investments in primary care, behavioral health, and long-term care are partly financed through enhanced federal PMPM payments; if federal Medicaid funding falls significantly, EAST Fund investments become harder to sustain, reducing the Clinical-pillar capacity that makes global budgets viable. This is the federal-state dependency Vermont cannot fully insulate against.</w:t>
      </w:r>
    </w:p>
    <w:p>
      <w:pPr>
        <w:pStyle w:val="Heading2"/>
        <w:pBdr>
          <w:top w:val="single" w:sz="6" w:space="10" w:color="C9D2DF"/>
        </w:pBdr>
        <w:keepNext w:val="false"/>
      </w:pPr>
      <w:r>
        <w:rPr>
          <w:color w:val="161B22"/>
        </w:rPr>
        <w:t xml:space="preserve">14.3  </w:t>
      </w:r>
      <w:bookmarkStart w:id="1399" w:name="_Toc1398"/>
      <w:r>
        <w:rPr>
          <w:b/>
          <w:bCs/>
          <w:color w:val="161B22"/>
        </w:rPr>
        <w:t xml:space="preserve">Early-Warning Signals of Political Risk</w:t>
      </w:r>
      <w:bookmarkEnd w:id="1399"/>
    </w:p>
    <w:tbl>
      <w:tblPr>
        <w:tblStyle w:val="HTRTable"/>
        <w:tblLook w:firstRow="1" w:lastRow="0" w:firstColumn="0" w:lastColumn="0" w:noHBand="0" w:noVBand="1" w:val="0020"/>
        <w:tblW w:w="9072" w:type="dxa"/>
        <w:tblLayout w:type="fixed"/>
      </w:tblPr>
      <w:tblGrid>
        <w:gridCol w:w="2958"/>
        <w:gridCol w:w="2958"/>
        <w:gridCol w:w="443"/>
        <w:gridCol w:w="2711"/>
      </w:tblGrid>
      <w:tr>
        <w:trPr>
          <w:tblHeader w:val="on"/>
          <w:cantSplit/>
        </w:trPr>
        <w:tc>
          <w:tcPr>
            <w:shd w:val="clear" w:color="auto" w:fill="1B3A6B"/>
            <w:tcW w:w="2958" w:type="dxa"/>
          </w:tcPr>
          <w:p>
            <w:pPr>
              <w:pStyle w:val="Compact"/>
              <w:jc w:val="left"/>
            </w:pPr>
            <w:r>
              <w:rPr>
                <w:b/>
                <w:color w:val="FFFFFF"/>
                <w:sz w:val="18"/>
              </w:rPr>
              <w:t xml:space="preserve">Signal</w:t>
            </w:r>
          </w:p>
        </w:tc>
        <w:tc>
          <w:tcPr>
            <w:shd w:val="clear" w:color="auto" w:fill="1B3A6B"/>
            <w:tcW w:w="2958" w:type="dxa"/>
          </w:tcPr>
          <w:p>
            <w:pPr>
              <w:pStyle w:val="Compact"/>
              <w:jc w:val="left"/>
            </w:pPr>
            <w:r>
              <w:rPr>
                <w:b/>
                <w:color w:val="FFFFFF"/>
                <w:sz w:val="18"/>
              </w:rPr>
              <w:t xml:space="preserve">What it indicates</w:t>
            </w:r>
          </w:p>
        </w:tc>
        <w:tc>
          <w:tcPr>
            <w:shd w:val="clear" w:color="auto" w:fill="1B3A6B"/>
            <w:tcW w:w="443" w:type="dxa"/>
          </w:tcPr>
          <w:p>
            <w:pPr>
              <w:pStyle w:val="Compact"/>
              <w:jc w:val="left"/>
            </w:pPr>
            <w:r>
              <w:rPr>
                <w:b/>
                <w:color w:val="FFFFFF"/>
                <w:sz w:val="18"/>
              </w:rPr>
              <w:t xml:space="preserve">Severity</w:t>
            </w:r>
          </w:p>
        </w:tc>
        <w:tc>
          <w:tcPr>
            <w:shd w:val="clear" w:color="auto" w:fill="1B3A6B"/>
            <w:tcW w:w="2711" w:type="dxa"/>
          </w:tcPr>
          <w:p>
            <w:pPr>
              <w:pStyle w:val="Compact"/>
              <w:jc w:val="left"/>
            </w:pPr>
            <w:r>
              <w:rPr>
                <w:b/>
                <w:color w:val="FFFFFF"/>
                <w:sz w:val="18"/>
              </w:rPr>
              <w:t xml:space="preserve">Monitoring source</w:t>
            </w:r>
          </w:p>
        </w:tc>
      </w:tr>
      <w:tr>
        <w:trPr>
          <w:cantSplit/>
        </w:trPr>
        <w:tc>
          <w:tcPr>
            <w:tcW w:w="2958" w:type="dxa"/>
          </w:tcPr>
          <w:p>
            <w:pPr>
              <w:pStyle w:val="Compact"/>
              <w:jc w:val="left"/>
            </w:pPr>
            <w:r>
              <w:rPr>
                <w:sz w:val="18"/>
              </w:rPr>
              <w:t xml:space="preserve">Hospital lobbying focused on RBP methodology rather than the mandate</w:t>
            </w:r>
          </w:p>
        </w:tc>
        <w:tc>
          <w:tcPr>
            <w:tcW w:w="2958" w:type="dxa"/>
          </w:tcPr>
          <w:p>
            <w:pPr>
              <w:pStyle w:val="Compact"/>
              <w:jc w:val="left"/>
            </w:pPr>
            <w:r>
              <w:rPr>
                <w:sz w:val="18"/>
              </w:rPr>
              <w:t xml:space="preserve">Effort to hollow out RBP through the regulatory process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docket; Vermont Hospital Association statements</w:t>
            </w:r>
          </w:p>
        </w:tc>
      </w:tr>
      <w:tr>
        <w:trPr/>
        <w:tc>
          <w:tcPr>
            <w:tcW w:w="2958" w:type="dxa"/>
          </w:tcPr>
          <w:p>
            <w:pPr>
              <w:pStyle w:val="Compact"/>
              <w:jc w:val="left"/>
            </w:pPr>
            <w:r>
              <w:rPr>
                <w:sz w:val="18"/>
              </w:rPr>
              <w:t xml:space="preserve">Bills to extend RBP or global-budget deadlines</w:t>
            </w:r>
          </w:p>
        </w:tc>
        <w:tc>
          <w:tcPr>
            <w:tcW w:w="2958" w:type="dxa"/>
          </w:tcPr>
          <w:p>
            <w:pPr>
              <w:pStyle w:val="Compact"/>
              <w:jc w:val="left"/>
            </w:pPr>
            <w:r>
              <w:rPr>
                <w:sz w:val="18"/>
              </w:rPr>
              <w:t xml:space="preserve">Direct challenge to Act 68’s mandatory timeline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Legislature bill tracker; HCAC testimony</w:t>
            </w:r>
          </w:p>
        </w:tc>
      </w:tr>
      <w:tr>
        <w:trPr/>
        <w:tc>
          <w:tcPr>
            <w:tcW w:w="2958" w:type="dxa"/>
          </w:tcPr>
          <w:p>
            <w:pPr>
              <w:pStyle w:val="Compact"/>
              <w:jc w:val="left"/>
            </w:pPr>
            <w:r>
              <w:rPr>
                <w:sz w:val="18"/>
              </w:rPr>
              <w:t xml:space="preserve">Global-budget levels set within 5% of current commercial rates</w:t>
            </w:r>
          </w:p>
        </w:tc>
        <w:tc>
          <w:tcPr>
            <w:tcW w:w="2958" w:type="dxa"/>
          </w:tcPr>
          <w:p>
            <w:pPr>
              <w:pStyle w:val="Compact"/>
              <w:jc w:val="left"/>
            </w:pPr>
            <w:r>
              <w:rPr>
                <w:sz w:val="18"/>
              </w:rPr>
              <w:t xml:space="preserve">Regulatory capture; budgets without pressure</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FY2028 budget guidance</w:t>
            </w:r>
          </w:p>
        </w:tc>
      </w:tr>
      <w:tr>
        <w:trPr/>
        <w:tc>
          <w:tcPr>
            <w:tcW w:w="2958" w:type="dxa"/>
          </w:tcPr>
          <w:p>
            <w:pPr>
              <w:pStyle w:val="Compact"/>
              <w:jc w:val="left"/>
            </w:pPr>
            <w:r>
              <w:rPr>
                <w:sz w:val="18"/>
              </w:rPr>
              <w:t xml:space="preserve">December 2028 Strategic Plan described as</w:t>
            </w:r>
            <w:r>
              <w:rPr>
                <w:sz w:val="18"/>
              </w:rPr>
              <w:t xml:space="preserve"> </w:t>
            </w:r>
            <w:r>
              <w:rPr>
                <w:sz w:val="18"/>
              </w:rPr>
              <w:t xml:space="preserve">“in progress”</w:t>
            </w:r>
            <w:r>
              <w:rPr>
                <w:sz w:val="18"/>
              </w:rPr>
              <w:t xml:space="preserve"> </w:t>
            </w:r>
            <w:r>
              <w:rPr>
                <w:sz w:val="18"/>
              </w:rPr>
              <w:t xml:space="preserve">in November 2028 reports</w:t>
            </w:r>
          </w:p>
        </w:tc>
        <w:tc>
          <w:tcPr>
            <w:tcW w:w="2958" w:type="dxa"/>
          </w:tcPr>
          <w:p>
            <w:pPr>
              <w:pStyle w:val="Compact"/>
              <w:jc w:val="left"/>
            </w:pPr>
            <w:r>
              <w:rPr>
                <w:sz w:val="18"/>
              </w:rPr>
              <w:t xml:space="preserve">Operations failure; deadline unlikely to be met</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AHS monthly transformation reports</w:t>
            </w:r>
          </w:p>
        </w:tc>
      </w:tr>
      <w:tr>
        <w:trPr/>
        <w:tc>
          <w:tcPr>
            <w:tcW w:w="2958" w:type="dxa"/>
          </w:tcPr>
          <w:p>
            <w:pPr>
              <w:pStyle w:val="Compact"/>
              <w:jc w:val="left"/>
            </w:pPr>
            <w:r>
              <w:rPr>
                <w:sz w:val="18"/>
              </w:rPr>
              <w:t xml:space="preserve">CMS AHEAD waiver-modification request</w:t>
            </w:r>
          </w:p>
        </w:tc>
        <w:tc>
          <w:tcPr>
            <w:tcW w:w="2958" w:type="dxa"/>
          </w:tcPr>
          <w:p>
            <w:pPr>
              <w:pStyle w:val="Compact"/>
              <w:jc w:val="left"/>
            </w:pPr>
            <w:r>
              <w:rPr>
                <w:sz w:val="18"/>
              </w:rPr>
              <w:t xml:space="preserve">Federal pressure (or Vermont request) to weaken AHEAD accountability</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CMS AHEAD communications; AHS federal-relations reports</w:t>
            </w:r>
          </w:p>
        </w:tc>
      </w:tr>
      <w:tr>
        <w:trPr/>
        <w:tc>
          <w:tcPr>
            <w:tcW w:w="2958" w:type="dxa"/>
          </w:tcPr>
          <w:p>
            <w:pPr>
              <w:pStyle w:val="Compact"/>
              <w:jc w:val="left"/>
            </w:pPr>
            <w:r>
              <w:rPr>
                <w:sz w:val="18"/>
              </w:rPr>
              <w:t xml:space="preserve">Governor-candidate platforms including RBP repeal or delay</w:t>
            </w:r>
          </w:p>
        </w:tc>
        <w:tc>
          <w:tcPr>
            <w:tcW w:w="2958" w:type="dxa"/>
          </w:tcPr>
          <w:p>
            <w:pPr>
              <w:pStyle w:val="Compact"/>
              <w:jc w:val="left"/>
            </w:pPr>
            <w:r>
              <w:rPr>
                <w:sz w:val="18"/>
              </w:rPr>
              <w:t xml:space="preserve">Political threat to mandatory architecture in 2026 cycle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Governor-race coverage; candidate policy statements</w:t>
            </w:r>
          </w:p>
        </w:tc>
      </w:tr>
      <w:tr>
        <w:trPr/>
        <w:tc>
          <w:tcPr>
            <w:tcW w:w="2958" w:type="dxa"/>
          </w:tcPr>
          <w:p>
            <w:pPr>
              <w:pStyle w:val="Compact"/>
              <w:jc w:val="left"/>
            </w:pPr>
            <w:r>
              <w:rPr>
                <w:sz w:val="18"/>
              </w:rPr>
              <w:t xml:space="preserve">EAST Fund spending well below authorized levels</w:t>
            </w:r>
          </w:p>
        </w:tc>
        <w:tc>
          <w:tcPr>
            <w:tcW w:w="2958" w:type="dxa"/>
          </w:tcPr>
          <w:p>
            <w:pPr>
              <w:pStyle w:val="Compact"/>
              <w:jc w:val="left"/>
            </w:pPr>
            <w:r>
              <w:rPr>
                <w:sz w:val="18"/>
              </w:rPr>
              <w:t xml:space="preserve">Resistance to transformation investment despite authorization</w:t>
            </w:r>
          </w:p>
        </w:tc>
        <w:tc>
          <w:tcPr>
            <w:tcW w:w="443" w:type="dxa"/>
          </w:tcPr>
          <w:p>
            <w:pPr>
              <w:pStyle w:val="Compact"/>
              <w:jc w:val="left"/>
            </w:pPr>
            <w:r>
              <w:rPr>
                <w:sz w:val="18"/>
              </w:rPr>
              <w:t xml:space="preserve">Moderate</w:t>
            </w:r>
          </w:p>
        </w:tc>
        <w:tc>
          <w:tcPr>
            <w:tcW w:w="2711" w:type="dxa"/>
          </w:tcPr>
          <w:p>
            <w:pPr>
              <w:pStyle w:val="Compact"/>
              <w:jc w:val="left"/>
            </w:pPr>
            <w:r>
              <w:rPr>
                <w:sz w:val="18"/>
              </w:rPr>
              <w:t xml:space="preserve">DVHA AHEAD spending reports; GMCB budget documentation</w:t>
            </w:r>
          </w:p>
        </w:tc>
      </w:tr>
      <w:tr>
        <w:trPr>
          <w:cantSplit/>
        </w:trPr>
        <w:tc>
          <w:tcPr>
            <w:tcW w:w="2958" w:type="dxa"/>
          </w:tcPr>
          <w:p>
            <w:pPr>
              <w:pStyle w:val="Compact"/>
              <w:jc w:val="left"/>
            </w:pPr>
            <w:r>
              <w:rPr>
                <w:sz w:val="18"/>
              </w:rPr>
              <w:t xml:space="preserve">HCAC failure to reach consensus on the Strategic Plan framework</w:t>
            </w:r>
          </w:p>
        </w:tc>
        <w:tc>
          <w:tcPr>
            <w:tcW w:w="2958" w:type="dxa"/>
          </w:tcPr>
          <w:p>
            <w:pPr>
              <w:pStyle w:val="Compact"/>
              <w:jc w:val="left"/>
            </w:pPr>
            <w:r>
              <w:rPr>
                <w:sz w:val="18"/>
              </w:rPr>
              <w:t xml:space="preserve">Governance breakdown; plan unlikely to produce binding commitments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HCAC meeting minutes; AHS reporting</w:t>
            </w:r>
          </w:p>
        </w:tc>
      </w:tr>
    </w:tbl>
    <w:p>
      <w:pPr>
        <w:pStyle w:val="Caption"/>
        <w:keepNext/>
        <w:spacing w:before="120"/>
      </w:pPr>
      <w:r>
        <w:rPr>
          <w:i/>
          <w:iCs/>
        </w:rPr>
        <w:t xml:space="preserve">Figure 14.1 — Early-warning signals of political risk to Vermont’s reform architecture. Sources: HTR Advisory risk-monitoring framework; Act 68 of 2025; GMCB regulatory process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These signal categories — a change in the governing party’s posture toward the reform, a high-profile enforcement challenge, a hospital-sector coalition campaign, and a federal policy shift that changes the reform’s financial assumptions — are the same four categories that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p>
        </w:tc>
      </w:tr>
    </w:tbl>
    <w:p>
      <w:pPr>
        <w:spacing w:after="120"/>
      </w:pPr>
    </w:p>
    <w:p>
      <w:pPr>
        <w:pStyle w:val="Heading2"/>
        <w:pBdr>
          <w:top w:val="single" w:sz="6" w:space="10" w:color="C9D2DF"/>
        </w:pBdr>
      </w:pPr>
      <w:r>
        <w:rPr>
          <w:color w:val="161B22"/>
        </w:rPr>
        <w:t xml:space="preserve">14.4  </w:t>
      </w:r>
      <w:bookmarkStart w:id="1400" w:name="_Toc1399"/>
      <w:r>
        <w:rPr>
          <w:b/>
          <w:bCs/>
          <w:color w:val="161B22"/>
        </w:rPr>
        <w:t xml:space="preserve">Organizational Strategies for Political Risk Management</w:t>
      </w:r>
      <w:bookmarkEnd w:id="1400"/>
    </w:p>
    <w:p>
      <w:pPr>
        <w:pStyle w:val="Heading3"/>
      </w:pPr>
      <w:r>
        <w:rPr>
          <w:color w:val="161B22"/>
        </w:rPr>
        <w:t xml:space="preserve">14.4.1  </w:t>
      </w:r>
      <w:bookmarkStart w:id="1401" w:name="_Toc1400"/>
      <w:r>
        <w:rPr>
          <w:b/>
          <w:bCs/>
          <w:color w:val="161B22"/>
        </w:rPr>
        <w:t xml:space="preserve">Strategy 1 — Build investments that are hard to reverse</w:t>
      </w:r>
      <w:bookmarkEnd w:id="1401"/>
    </w:p>
    <w:p>
      <w:pPr>
        <w:pStyle w:val="FirstParagraph"/>
      </w:pPr>
      <w:r>
        <w:t xml:space="preserve">The most effective protection against disruption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Hospitals that complete NCQA PCMH recognition before FY2027 hold a clinical-infrastructure investment that serves their population regardless of AHEAD’s fate. Blueprint PCMHs that deploy the Collaborative Care Model build capability that produces value under any payment model. HCC gap closure that sharpens the AHEAD risk-adjustment factor also improves commercial risk adjustment.</w:t>
      </w:r>
    </w:p>
    <w:p>
      <w:pPr>
        <w:pStyle w:val="BodyText"/>
      </w:pPr>
      <w: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w:t>
      </w:r>
    </w:p>
    <w:p>
      <w:pPr>
        <w:pStyle w:val="Heading3"/>
      </w:pPr>
      <w:r>
        <w:rPr>
          <w:color w:val="161B22"/>
        </w:rPr>
        <w:t xml:space="preserve">14.4.2  </w:t>
      </w:r>
      <w:bookmarkStart w:id="1402" w:name="_Toc1401"/>
      <w:r>
        <w:rPr>
          <w:b/>
          <w:bCs/>
          <w:color w:val="161B22"/>
        </w:rPr>
        <w:t xml:space="preserve">Strategy 2 — Engage the regulatory process early and substantively</w:t>
      </w:r>
      <w:bookmarkEnd w:id="1402"/>
    </w:p>
    <w:p>
      <w:pPr>
        <w:pStyle w:val="FirstParagraph"/>
      </w:pPr>
      <w: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pPr>
        <w:pStyle w:val="Heading3"/>
        <w:keepNext w:val="false"/>
      </w:pPr>
      <w:r>
        <w:rPr>
          <w:color w:val="161B22"/>
        </w:rPr>
        <w:t xml:space="preserve">14.4.3  </w:t>
      </w:r>
      <w:bookmarkStart w:id="1403" w:name="_Toc1402"/>
      <w:r>
        <w:rPr>
          <w:b/>
          <w:bCs/>
          <w:color w:val="161B22"/>
        </w:rPr>
        <w:t xml:space="preserve">Strategy 3 — Maintain scenario plans for policy disruption</w:t>
      </w:r>
      <w:bookmarkEnd w:id="1403"/>
    </w:p>
    <w:p>
      <w:pPr>
        <w:pStyle w:val="FirstParagraph"/>
        <w:keepNext w:val="false"/>
      </w:pPr>
      <w:r>
        <w:t xml:space="preserve">Every Vermont organization with AHEAD exposure should maintain scenario plans for at least three disruptions: RBP delayed 18+ months; global-budget levels set 10%+ above current commercial rates (effectively removing budget pressure); and EAST Fund investments cut 30%+ due to federal Medicaid reductions. These are planning inputs, not predictions. An organization that has modeled its investment portfolio under each scenario can prioritize investments that hold value across all three.</w:t>
      </w:r>
    </w:p>
    <w:tbl>
      <w:tblPr>
        <w:tblStyle w:val="HTRTable"/>
        <w:tblLook w:firstRow="1" w:lastRow="0" w:firstColumn="0" w:lastColumn="0" w:noHBand="0" w:noVBand="1" w:val="0020"/>
        <w:tblW w:w="9072" w:type="dxa"/>
        <w:tblLayout w:type="fixed"/>
      </w:tblPr>
      <w:tblGrid>
        <w:gridCol w:w="2392"/>
        <w:gridCol w:w="1263"/>
        <w:gridCol w:w="2708"/>
        <w:gridCol w:w="2708"/>
      </w:tblGrid>
      <w:tr>
        <w:trPr>
          <w:tblHeader w:val="on"/>
          <w:cantSplit/>
        </w:trPr>
        <w:tc>
          <w:tcPr>
            <w:shd w:val="clear" w:color="auto" w:fill="1B3A6B"/>
            <w:tcW w:w="2392" w:type="dxa"/>
          </w:tcPr>
          <w:p>
            <w:pPr>
              <w:pStyle w:val="Compact"/>
              <w:jc w:val="left"/>
            </w:pPr>
            <w:r>
              <w:rPr>
                <w:b/>
                <w:color w:val="FFFFFF"/>
                <w:sz w:val="18"/>
              </w:rPr>
              <w:t xml:space="preserve">Disruption scenario</w:t>
            </w:r>
          </w:p>
        </w:tc>
        <w:tc>
          <w:tcPr>
            <w:shd w:val="clear" w:color="auto" w:fill="1B3A6B"/>
            <w:tcW w:w="1263" w:type="dxa"/>
          </w:tcPr>
          <w:p>
            <w:pPr>
              <w:pStyle w:val="Compact"/>
              <w:jc w:val="left"/>
            </w:pPr>
            <w:r>
              <w:rPr>
                <w:b/>
                <w:color w:val="FFFFFF"/>
                <w:sz w:val="18"/>
              </w:rPr>
              <w:t xml:space="preserve">Probability (HTR assessment)</w:t>
            </w:r>
          </w:p>
        </w:tc>
        <w:tc>
          <w:tcPr>
            <w:shd w:val="clear" w:color="auto" w:fill="1B3A6B"/>
            <w:tcW w:w="2708" w:type="dxa"/>
          </w:tcPr>
          <w:p>
            <w:pPr>
              <w:pStyle w:val="Compact"/>
              <w:jc w:val="left"/>
            </w:pPr>
            <w:r>
              <w:rPr>
                <w:b/>
                <w:color w:val="FFFFFF"/>
                <w:sz w:val="18"/>
              </w:rPr>
              <w:t xml:space="preserve">Primary impact</w:t>
            </w:r>
          </w:p>
        </w:tc>
        <w:tc>
          <w:tcPr>
            <w:shd w:val="clear" w:color="auto" w:fill="1B3A6B"/>
            <w:tcW w:w="2708" w:type="dxa"/>
          </w:tcPr>
          <w:p>
            <w:pPr>
              <w:pStyle w:val="Compact"/>
              <w:jc w:val="left"/>
            </w:pPr>
            <w:r>
              <w:rPr>
                <w:b/>
                <w:color w:val="FFFFFF"/>
                <w:sz w:val="18"/>
              </w:rPr>
              <w:t xml:space="preserve">Organizational response</w:t>
            </w:r>
          </w:p>
        </w:tc>
      </w:tr>
      <w:tr>
        <w:trPr>
          <w:cantSplit/>
        </w:trPr>
        <w:tc>
          <w:tcPr>
            <w:tcW w:w="2392" w:type="dxa"/>
          </w:tcPr>
          <w:p>
            <w:pPr>
              <w:pStyle w:val="Compact"/>
              <w:jc w:val="left"/>
            </w:pPr>
            <w:r>
              <w:rPr>
                <w:sz w:val="18"/>
              </w:rPr>
              <w:t xml:space="preserve">RBP delayed 18+ months (methodology challenge)</w:t>
            </w:r>
          </w:p>
        </w:tc>
        <w:tc>
          <w:tcPr>
            <w:tcW w:w="1263" w:type="dxa"/>
          </w:tcPr>
          <w:p>
            <w:pPr>
              <w:pStyle w:val="Compact"/>
              <w:jc w:val="left"/>
            </w:pPr>
            <w:r>
              <w:rPr>
                <w:sz w:val="18"/>
              </w:rPr>
              <w:t xml:space="preserve">Moderate (25–35%)</w:t>
            </w:r>
          </w:p>
        </w:tc>
        <w:tc>
          <w:tcPr>
            <w:tcW w:w="2708" w:type="dxa"/>
          </w:tcPr>
          <w:p>
            <w:pPr>
              <w:pStyle w:val="Compact"/>
              <w:jc w:val="left"/>
            </w:pPr>
            <w:r>
              <w:rPr>
                <w:sz w:val="18"/>
              </w:rPr>
              <w:t xml:space="preserve">Commercial revenue maintained longer; urgency reduced</w:t>
            </w:r>
          </w:p>
        </w:tc>
        <w:tc>
          <w:tcPr>
            <w:tcW w:w="2708" w:type="dxa"/>
          </w:tcPr>
          <w:p>
            <w:pPr>
              <w:pStyle w:val="Compact"/>
              <w:jc w:val="left"/>
            </w:pPr>
            <w:r>
              <w:rPr>
                <w:sz w:val="18"/>
              </w:rPr>
              <w:t xml:space="preserve">Maintain investments; use extra time to build clinical infrastructure</w:t>
            </w:r>
          </w:p>
        </w:tc>
      </w:tr>
      <w:tr>
        <w:trPr/>
        <w:tc>
          <w:tcPr>
            <w:tcW w:w="2392" w:type="dxa"/>
          </w:tcPr>
          <w:p>
            <w:pPr>
              <w:pStyle w:val="Compact"/>
              <w:jc w:val="left"/>
            </w:pPr>
            <w:r>
              <w:rPr>
                <w:sz w:val="18"/>
              </w:rPr>
              <w:t xml:space="preserve">Global budgets set ~5% above current commercial rates</w:t>
            </w:r>
          </w:p>
        </w:tc>
        <w:tc>
          <w:tcPr>
            <w:tcW w:w="1263" w:type="dxa"/>
          </w:tcPr>
          <w:p>
            <w:pPr>
              <w:pStyle w:val="Compact"/>
              <w:jc w:val="left"/>
            </w:pPr>
            <w:r>
              <w:rPr>
                <w:sz w:val="18"/>
              </w:rPr>
              <w:t xml:space="preserve">Low–Moderate (15–25%)</w:t>
            </w:r>
          </w:p>
        </w:tc>
        <w:tc>
          <w:tcPr>
            <w:tcW w:w="2708" w:type="dxa"/>
          </w:tcPr>
          <w:p>
            <w:pPr>
              <w:pStyle w:val="Compact"/>
              <w:jc w:val="left"/>
            </w:pPr>
            <w:r>
              <w:rPr>
                <w:sz w:val="18"/>
              </w:rPr>
              <w:t xml:space="preserve">Minimal financial pressure; accountability without incentive</w:t>
            </w:r>
          </w:p>
        </w:tc>
        <w:tc>
          <w:tcPr>
            <w:tcW w:w="2708" w:type="dxa"/>
          </w:tcPr>
          <w:p>
            <w:pPr>
              <w:pStyle w:val="Compact"/>
              <w:jc w:val="left"/>
            </w:pPr>
            <w:r>
              <w:rPr>
                <w:sz w:val="18"/>
              </w:rPr>
              <w:t xml:space="preserve">Engage GMCB methodology process; document cost structure for future rounds</w:t>
            </w:r>
          </w:p>
        </w:tc>
      </w:tr>
      <w:tr>
        <w:trPr/>
        <w:tc>
          <w:tcPr>
            <w:tcW w:w="2392" w:type="dxa"/>
          </w:tcPr>
          <w:p>
            <w:pPr>
              <w:pStyle w:val="Compact"/>
              <w:jc w:val="left"/>
            </w:pPr>
            <w:r>
              <w:rPr>
                <w:sz w:val="18"/>
              </w:rPr>
              <w:t xml:space="preserve">EAST Fund cut 30%+ (federal Medicaid cuts)</w:t>
            </w:r>
          </w:p>
        </w:tc>
        <w:tc>
          <w:tcPr>
            <w:tcW w:w="1263" w:type="dxa"/>
          </w:tcPr>
          <w:p>
            <w:pPr>
              <w:pStyle w:val="Compact"/>
              <w:jc w:val="left"/>
            </w:pPr>
            <w:r>
              <w:rPr>
                <w:sz w:val="18"/>
              </w:rPr>
              <w:t xml:space="preserve">Moderate–High (35–45%)</w:t>
            </w:r>
          </w:p>
        </w:tc>
        <w:tc>
          <w:tcPr>
            <w:tcW w:w="2708" w:type="dxa"/>
          </w:tcPr>
          <w:p>
            <w:pPr>
              <w:pStyle w:val="Compact"/>
              <w:jc w:val="left"/>
            </w:pPr>
            <w:r>
              <w:rPr>
                <w:sz w:val="18"/>
              </w:rPr>
              <w:t xml:space="preserve">Primary-care/BH investment capacity reduced</w:t>
            </w:r>
          </w:p>
        </w:tc>
        <w:tc>
          <w:tcPr>
            <w:tcW w:w="2708" w:type="dxa"/>
          </w:tcPr>
          <w:p>
            <w:pPr>
              <w:pStyle w:val="Compact"/>
              <w:jc w:val="left"/>
            </w:pPr>
            <w:r>
              <w:rPr>
                <w:sz w:val="18"/>
              </w:rPr>
              <w:t xml:space="preserve">Prioritize highest-return investments; diversify funding</w:t>
            </w:r>
          </w:p>
        </w:tc>
      </w:tr>
      <w:tr>
        <w:trPr/>
        <w:tc>
          <w:tcPr>
            <w:tcW w:w="2392" w:type="dxa"/>
          </w:tcPr>
          <w:p>
            <w:pPr>
              <w:pStyle w:val="Compact"/>
              <w:jc w:val="left"/>
            </w:pPr>
            <w:r>
              <w:rPr>
                <w:sz w:val="18"/>
              </w:rPr>
              <w:t xml:space="preserve">2026 governor committed to Act 68 modification</w:t>
            </w:r>
          </w:p>
        </w:tc>
        <w:tc>
          <w:tcPr>
            <w:tcW w:w="1263" w:type="dxa"/>
          </w:tcPr>
          <w:p>
            <w:pPr>
              <w:pStyle w:val="Compact"/>
              <w:jc w:val="left"/>
            </w:pPr>
            <w:r>
              <w:rPr>
                <w:sz w:val="18"/>
              </w:rPr>
              <w:t xml:space="preserve">Low (10–15%)</w:t>
            </w:r>
          </w:p>
        </w:tc>
        <w:tc>
          <w:tcPr>
            <w:tcW w:w="2708" w:type="dxa"/>
          </w:tcPr>
          <w:p>
            <w:pPr>
              <w:pStyle w:val="Compact"/>
              <w:jc w:val="left"/>
            </w:pPr>
            <w:r>
              <w:rPr>
                <w:sz w:val="18"/>
              </w:rPr>
              <w:t xml:space="preserve">Legislative challenge in 2027 session</w:t>
            </w:r>
          </w:p>
        </w:tc>
        <w:tc>
          <w:tcPr>
            <w:tcW w:w="2708" w:type="dxa"/>
          </w:tcPr>
          <w:p>
            <w:pPr>
              <w:pStyle w:val="Compact"/>
              <w:jc w:val="left"/>
            </w:pPr>
            <w:r>
              <w:rPr>
                <w:sz w:val="18"/>
              </w:rPr>
              <w:t xml:space="preserve">Build legislative relationships; document progress and stabilization</w:t>
            </w:r>
          </w:p>
        </w:tc>
      </w:tr>
      <w:tr>
        <w:trPr>
          <w:cantSplit/>
        </w:trPr>
        <w:tc>
          <w:tcPr>
            <w:tcW w:w="2392" w:type="dxa"/>
          </w:tcPr>
          <w:p>
            <w:pPr>
              <w:pStyle w:val="Compact"/>
              <w:jc w:val="left"/>
            </w:pPr>
            <w:r>
              <w:rPr>
                <w:sz w:val="18"/>
              </w:rPr>
              <w:t xml:space="preserve">CMS AHEAD modification reducing accountability scope</w:t>
            </w:r>
          </w:p>
        </w:tc>
        <w:tc>
          <w:tcPr>
            <w:tcW w:w="1263" w:type="dxa"/>
          </w:tcPr>
          <w:p>
            <w:pPr>
              <w:pStyle w:val="Compact"/>
              <w:jc w:val="left"/>
            </w:pPr>
            <w:r>
              <w:rPr>
                <w:sz w:val="18"/>
              </w:rPr>
              <w:t xml:space="preserve">Low (10–20%)</w:t>
            </w:r>
          </w:p>
        </w:tc>
        <w:tc>
          <w:tcPr>
            <w:tcW w:w="2708" w:type="dxa"/>
          </w:tcPr>
          <w:p>
            <w:pPr>
              <w:pStyle w:val="Compact"/>
              <w:jc w:val="left"/>
            </w:pPr>
            <w:r>
              <w:rPr>
                <w:sz w:val="18"/>
              </w:rPr>
              <w:t xml:space="preserve">Reduced federal accountability; AHEAD less transformational</w:t>
            </w:r>
          </w:p>
        </w:tc>
        <w:tc>
          <w:tcPr>
            <w:tcW w:w="2708" w:type="dxa"/>
          </w:tcPr>
          <w:p>
            <w:pPr>
              <w:pStyle w:val="Compact"/>
              <w:jc w:val="left"/>
            </w:pPr>
            <w:r>
              <w:rPr>
                <w:sz w:val="18"/>
              </w:rPr>
              <w:t xml:space="preserve">Maintain state accountability via GMCB; protect EAST Fund commitments</w:t>
            </w:r>
          </w:p>
        </w:tc>
      </w:tr>
    </w:tbl>
    <w:p>
      <w:pPr>
        <w:pStyle w:val="Caption"/>
        <w:spacing w:before="120"/>
      </w:pPr>
      <w:r>
        <w:rPr>
          <w:i/>
          <w:iCs/>
        </w:rPr>
        <w:t xml:space="preserve">Figure 14.2 — Political-disruption scenario planning for Vermont healthcare organizations. Sources: HTR Advisory risk assessment; Vermont political-environment analysis (April 2026).</w:t>
      </w:r>
    </w:p>
    <w:p>
      <w:pPr>
        <w:pStyle w:val="Heading3"/>
      </w:pPr>
      <w:r>
        <w:rPr>
          <w:color w:val="161B22"/>
        </w:rPr>
        <w:t xml:space="preserve">14.4.4  </w:t>
      </w:r>
      <w:bookmarkStart w:id="1404" w:name="_Toc1403"/>
      <w:r>
        <w:rPr>
          <w:b/>
          <w:bCs/>
          <w:color w:val="161B22"/>
        </w:rPr>
        <w:t xml:space="preserve">Strategy 4 — Document and communicate transformation progress</w:t>
      </w:r>
      <w:bookmarkEnd w:id="1404"/>
    </w:p>
    <w:p>
      <w:pPr>
        <w:pStyle w:val="FirstParagraph"/>
      </w:pPr>
      <w: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pPr>
        <w:pStyle w:val="BodyText"/>
      </w:pPr>
      <w:r>
        <w:t xml:space="preserve">The political sustainability of Vermont’s reform ultimately rests on one thing: evidence that it is working. Hospital stabilization, primary-care access improvement, cost-growth moderation, and behavioral-health capacity expansion — demonstrated with the metrics in Act 167’s five goals and Act 68’s reporting requirements — are the most durable protection against reversal.</w:t>
      </w:r>
    </w:p>
    <w:p>
      <w:pPr>
        <w:pStyle w:val="Heading2"/>
        <w:pBdr>
          <w:top w:val="single" w:sz="6" w:space="10" w:color="C9D2DF"/>
        </w:pBdr>
      </w:pPr>
      <w:r>
        <w:rPr>
          <w:color w:val="161B22"/>
        </w:rPr>
        <w:t xml:space="preserve">14.5  </w:t>
      </w:r>
      <w:bookmarkStart w:id="1405" w:name="_Toc1404"/>
      <w:r>
        <w:rPr>
          <w:b/>
          <w:bCs/>
          <w:color w:val="161B22"/>
        </w:rPr>
        <w:t xml:space="preserve">Vermont’s Reform Cascade as Political-Sustainability Architecture</w:t>
      </w:r>
      <w:bookmarkEnd w:id="1405"/>
    </w:p>
    <w:p>
      <w:pPr>
        <w:pStyle w:val="FirstParagraph"/>
      </w:pPr>
      <w: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pPr>
        <w:pStyle w:val="BodyText"/>
      </w:pPr>
      <w: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quarterly GMCB rate-setting updates, and the December 2028 deadline create continuous public accountability. If Act 68 is weakened, the weakening will be documented in public reporting — a political accountability trail that makes deliberate erosion more costly.</w:t>
      </w:r>
    </w:p>
    <w:p>
      <w:pPr>
        <w:pStyle w:val="BodyText"/>
      </w:pPr>
      <w: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pPr>
        <w:pStyle w:val="Heading2"/>
        <w:pBdr>
          <w:top w:val="single" w:sz="6" w:space="10" w:color="C9D2DF"/>
        </w:pBdr>
        <w:keepNext w:val="false"/>
      </w:pPr>
      <w:r>
        <w:rPr>
          <w:color w:val="161B22"/>
        </w:rPr>
        <w:t xml:space="preserve">14.6  </w:t>
      </w:r>
      <w:bookmarkStart w:id="1406" w:name="_Toc1405"/>
      <w:r>
        <w:rPr>
          <w:b/>
          <w:bCs/>
          <w:color w:val="161B22"/>
        </w:rPr>
        <w:t xml:space="preserve">Work This Chapter on the Platform</w:t>
      </w:r>
      <w:bookmarkEnd w:id="1406"/>
    </w:p>
    <w:p>
      <w:pPr>
        <w:pStyle w:val="FirstParagraph"/>
        <w:keepNext w:val="false"/>
      </w:pPr>
      <w:r>
        <w:t xml:space="preserve">Political risk is easier to argue about than to measure. These tools turn the chapter’s early-warning signals into something you can check on a given date rather than debate.</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Watch the statutory and regulatory record for the early-warning signals this chapter names</w:t>
            </w:r>
          </w:p>
        </w:tc>
        <w:tc>
          <w:tcPr>
            <w:tcW w:w="947" w:type="dxa"/>
          </w:tcPr>
          <w:p>
            <w:pPr>
              <w:pStyle w:val="Compact"/>
              <w:jc w:val="left"/>
            </w:pPr>
            <w:hyperlink r:id="rId428">
              <w:r>
                <w:rPr>
                  <w:rStyle w:val="Hyperlink"/>
                  <w:b/>
                  <w:bCs/>
                </w:rPr>
                <w:t xml:space="preserve">The Wire</w:t>
              </w:r>
            </w:hyperlink>
          </w:p>
        </w:tc>
        <w:tc>
          <w:tcPr>
            <w:tcW w:w="4062" w:type="dxa"/>
          </w:tcPr>
          <w:p>
            <w:pPr>
              <w:pStyle w:val="Compact"/>
              <w:jc w:val="left"/>
            </w:pPr>
            <w:r>
              <w:rPr>
                <w:sz w:val="18"/>
              </w:rPr>
              <w:t xml:space="preserve">Bills that would amend Act 68, GMCB appointment changes, and shifts in enforcement posture — the leading indicators, well before any of them reaches a headline.</w:t>
            </w:r>
          </w:p>
        </w:tc>
      </w:tr>
      <w:tr>
        <w:trPr/>
        <w:tc>
          <w:tcPr>
            <w:tcW w:w="4062" w:type="dxa"/>
          </w:tcPr>
          <w:p>
            <w:pPr>
              <w:pStyle w:val="Compact"/>
              <w:jc w:val="left"/>
            </w:pPr>
            <w:r>
              <w:rPr>
                <w:sz w:val="18"/>
              </w:rPr>
              <w:t xml:space="preserve">Model what happens to the transformation if one pillar’s political support is withdrawn</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Drop the Policy score and watch Economics fall with it. The dependency structure is why political risk to one pillar is not contained to that pillar.</w:t>
            </w:r>
          </w:p>
        </w:tc>
      </w:tr>
      <w:tr>
        <w:trPr>
          <w:cantSplit/>
        </w:trPr>
        <w:tc>
          <w:tcPr>
            <w:tcW w:w="4062" w:type="dxa"/>
          </w:tcPr>
          <w:p>
            <w:pPr>
              <w:pStyle w:val="Compact"/>
              <w:jc w:val="left"/>
            </w:pPr>
            <w:r>
              <w:rPr>
                <w:sz w:val="18"/>
              </w:rPr>
              <w:t xml:space="preserve">Quantify where reform is losing momentum before it becomes a political story</w:t>
            </w:r>
          </w:p>
        </w:tc>
        <w:tc>
          <w:tcPr>
            <w:tcW w:w="947" w:type="dxa"/>
          </w:tcPr>
          <w:p>
            <w:pPr>
              <w:pStyle w:val="Compact"/>
              <w:jc w:val="left"/>
            </w:pPr>
            <w:hyperlink r:id="rId89">
              <w:r>
                <w:rPr>
                  <w:rStyle w:val="Hyperlink"/>
                  <w:b/>
                  <w:bCs/>
                </w:rPr>
                <w:t xml:space="preserve">Transformation Friction Index</w:t>
              </w:r>
            </w:hyperlink>
          </w:p>
        </w:tc>
        <w:tc>
          <w:tcPr>
            <w:tcW w:w="4062" w:type="dxa"/>
          </w:tcPr>
          <w:p>
            <w:pPr>
              <w:pStyle w:val="Compact"/>
              <w:jc w:val="left"/>
            </w:pPr>
            <w:r>
              <w:rPr>
                <w:sz w:val="18"/>
              </w:rPr>
              <w:t xml:space="preserve">Rising friction in a pillar is usually visible in the operating data a year before it becomes a legislative problem.</w:t>
            </w:r>
          </w:p>
        </w:tc>
      </w:tr>
    </w:tbl>
    <w:p>
      <w:pPr>
        <w:pStyle w:val="Caption"/>
        <w:spacing w:before="120"/>
      </w:pPr>
      <w:r>
        <w:rPr>
          <w:i/>
          <w:iCs/>
        </w:rPr>
        <w:t xml:space="preserve">Figure 14.H — Hands-on platform tools for Chapter 14: monitoring political risk.</w:t>
      </w:r>
    </w:p>
    <w:p>
      <w:pPr>
        <w:pStyle w:val="Heading2"/>
        <w:pBdr>
          <w:top w:val="single" w:sz="6" w:space="10" w:color="C9D2DF"/>
        </w:pBdr>
      </w:pPr>
      <w:r>
        <w:rPr>
          <w:color w:val="161B22"/>
        </w:rPr>
        <w:t xml:space="preserve">14.7  </w:t>
      </w:r>
      <w:bookmarkStart w:id="1407" w:name="_Toc1406"/>
      <w:r>
        <w:rPr>
          <w:b/>
          <w:bCs/>
          <w:color w:val="161B22"/>
        </w:rPr>
        <w:t xml:space="preserve">Implications for You</w:t>
      </w:r>
      <w:bookmarkEnd w:id="1407"/>
    </w:p>
    <w:p>
      <w:pPr>
        <w:pStyle w:val="FirstParagraph"/>
      </w:pPr>
      <w:r>
        <w:rPr>
          <w:b/>
          <w:bCs/>
        </w:rPr>
        <w:t xml:space="preserve">If you are a state official or legislator:</w:t>
      </w:r>
      <w:r>
        <w:t xml:space="preserve"> </w:t>
      </w:r>
      <w:r>
        <w:t xml:space="preserve">the durability argument in this chapter rests on structure, not on goodwill — mandatory statutory architecture, staggered effective dates, and federal agreements that carry their own obligations. The practical implication is that protecting transformation across an election cycle is mostly work done</w:t>
      </w:r>
      <w:r>
        <w:t xml:space="preserve"> </w:t>
      </w:r>
      <w:r>
        <w:rPr>
          <w:i/>
          <w:iCs/>
        </w:rPr>
        <w:t xml:space="preserve">before</w:t>
      </w:r>
      <w:r>
        <w:t xml:space="preserve"> </w:t>
      </w:r>
      <w:r>
        <w:t xml:space="preserve">the cycle: every deadline that lands inside a statute is one that does not depend on the next administration’s enthusiasm.</w:t>
      </w:r>
    </w:p>
    <w:p>
      <w:pPr>
        <w:pStyle w:val="BodyText"/>
      </w:pPr>
      <w:r>
        <w:rPr>
          <w:b/>
          <w:bCs/>
        </w:rPr>
        <w:t xml:space="preserve">If you lead a healthcare organization:</w:t>
      </w:r>
      <w:r>
        <w:t xml:space="preserve"> </w:t>
      </w:r>
      <w:r>
        <w:t xml:space="preserve">political risk to the reform is operational risk to you. An organization that has built its capital plan on global budgets arriving in FY2028 needs a stated position on what it does if that date moves. The chapter’s early-warning signals are worth monitoring not because you can influence them, but because they determine how much lead time you have.</w:t>
      </w:r>
    </w:p>
    <w:p>
      <w:pPr>
        <w:pStyle w:val="BodyText"/>
      </w:pPr>
      <w:r>
        <w:rPr>
          <w:b/>
          <w:bCs/>
        </w:rPr>
        <w:t xml:space="preserve">If you are an advocate:</w:t>
      </w:r>
      <w:r>
        <w:t xml:space="preserve"> </w:t>
      </w:r>
      <w:r>
        <w:t xml:space="preserve">the most durable protections in Vermont’s architecture were not the most rhetorically forceful ones. Mandatory participation, statutory deadlines, and federal-state agreements survive changes of government; strategic plans and voluntary commitments generally do not. That distinction is worth more than a stronger version of the same advocacy.</w:t>
      </w:r>
    </w:p>
    <w:p>
      <w:pPr>
        <w:pStyle w:val="BodyText"/>
      </w:pPr>
      <w:r>
        <w:rPr>
          <w:b/>
          <w:bCs/>
        </w:rPr>
        <w:t xml:space="preserve">If you are in another state:</w:t>
      </w:r>
      <w:r>
        <w:t xml:space="preserve"> </w:t>
      </w:r>
      <w:r>
        <w:t xml:space="preserve">the reform cascade this chapter describes — a diagnostic act, then an enabling act, then an operational act — is a political-sustainability structure as much as a policy one. Each act makes the next harder to reverse. States that attempt the whole architecture in a single bill give opponents one target instead of three.</w:t>
      </w:r>
    </w:p>
    <w:p>
      <w:pPr>
        <w:pStyle w:val="Heading2"/>
        <w:pBdr>
          <w:top w:val="single" w:sz="6" w:space="10" w:color="C9D2DF"/>
        </w:pBdr>
      </w:pPr>
      <w:r>
        <w:rPr>
          <w:color w:val="161B22"/>
        </w:rPr>
        <w:t xml:space="preserve">14.8  </w:t>
      </w:r>
      <w:bookmarkStart w:id="1408" w:name="_Toc1407"/>
      <w:r>
        <w:rPr>
          <w:b/>
          <w:bCs/>
          <w:color w:val="161B22"/>
        </w:rPr>
        <w:t xml:space="preserve">Key Concepts in This Chapter</w:t>
      </w:r>
      <w:bookmarkEnd w:id="1408"/>
    </w:p>
    <w:p>
      <w:pPr>
        <w:pStyle w:val="FirstParagraph"/>
        <w:spacing w:before="160" w:after="120"/>
      </w:pPr>
      <w:r>
        <w:rPr>
          <w:rFonts w:ascii="Calibri" w:hAnsi="Calibri"/>
          <w:color w:val="000000"/>
          <w:sz w:val="18"/>
        </w:rPr>
        <w:t xml:space="preserve">Political sustainability — the capacity of a reform architecture to maintain its essential functions across election cycles, budget battles, and environment shifts. Distinct from political *support*: a reform can lose majority support and remain structurally durable if it has built sufficient institutional and organizational constituencies.</w:t>
      </w:r>
    </w:p>
    <w:p>
      <w:pPr>
        <w:pStyle w:val="BodyText"/>
        <w:spacing w:before="160" w:after="120"/>
      </w:pPr>
      <w:r>
        <w:rPr>
          <w:rFonts w:ascii="Calibri" w:hAnsi="Calibri"/>
          <w:color w:val="000000"/>
          <w:sz w:val="18"/>
        </w:rPr>
        <w:t xml:space="preserve">Regulatory-capture risk — the risk that the process implementing a statutory mandate is captured by the interests the statute was meant to constrain (e.g., RBP methodology set to avoid meaningful repricing while the mandate remains formally intact).</w:t>
      </w:r>
    </w:p>
    <w:p>
      <w:pPr>
        <w:pStyle w:val="BodyText"/>
        <w:spacing w:before="160" w:after="120"/>
      </w:pPr>
      <w:r>
        <w:rPr>
          <w:rFonts w:ascii="Calibri" w:hAnsi="Calibri"/>
          <w:color w:val="000000"/>
          <w:sz w:val="18"/>
        </w:rPr>
        <w:t xml:space="preserve">Structural irreversibility — the condition in which a transformation investment is so embedded in operations that reversal is costly regardless of the political environment (PCMH recognition, CoCM deployment, population-health analytics).</w:t>
      </w:r>
    </w:p>
    <w:p>
      <w:pPr>
        <w:pStyle w:val="BodyText"/>
        <w:spacing w:before="160" w:after="120"/>
      </w:pPr>
      <w:r>
        <w:rPr>
          <w:rFonts w:ascii="Calibri" w:hAnsi="Calibri"/>
          <w:color w:val="000000"/>
          <w:sz w:val="18"/>
        </w:rPr>
        <w:t xml:space="preserve">Political-disruption scenario — a specified set of political conditions whose impact on an organization’s investment portfolio can be modeled and planned for; risk management, not forecasting.</w:t>
      </w:r>
    </w:p>
    <w:p>
      <w:pPr>
        <w:pStyle w:val="BodyText"/>
        <w:spacing w:before="160" w:after="120"/>
      </w:pPr>
      <w:r>
        <w:rPr>
          <w:rFonts w:ascii="Calibri" w:hAnsi="Calibri"/>
          <w:color w:val="000000"/>
          <w:sz w:val="18"/>
        </w:rPr>
        <w:t xml:space="preserve">Early-warning signal — an observable indicator that a risk is materializing *before* it becomes a statutory or regulatory change.</w:t>
      </w:r>
    </w:p>
    <w:p>
      <w:pPr>
        <w:pStyle w:val="BodyText"/>
        <w:spacing w:before="160" w:after="120"/>
      </w:pPr>
      <w:r>
        <w:rPr>
          <w:rFonts w:ascii="Calibri" w:hAnsi="Calibri"/>
          <w:color w:val="000000"/>
          <w:sz w:val="18"/>
        </w:rPr>
        <w:t xml:space="preserve">Reform cascade — a legislatively structured sequence in which each intervention builds on the capacity and legitimacy of its predecessor (Act 167 → Act 51 → Act 68).</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68 of 2025; Act 167 of 2022; H.R. 1 (One Big Beautiful Bill Act, July 2025); Vermont Legislature bill tracker; GMCB regulatory docket; AHS monthly transformation reports (2025–2026); Oliver Wyman Act 167 Recommendations (August 2024); Vermont Hospital Association statements; HCAC meeting minutes; CMS AHEAD documentation; HTR Advisory political-risk monitoring framework.</w:t>
      </w:r>
    </w:p>
    <w:p>
      <w:r>
        <w:br w:type="page"/>
      </w:r>
    </w:p>
    <w:p>
      <w:pPr>
        <w:pStyle w:val="Heading1"/>
      </w:pPr>
      <w:bookmarkStart w:id="1409" w:name="_Toc1408"/>
      <w:r>
        <w:rPr>
          <w:b/>
          <w:bCs/>
          <w:color w:val="161B22"/>
        </w:rPr>
        <w:t xml:space="preserve">Chapter 15 — Healthcare Transformation as Portfolio Management: Applying PMI Standards to Six-Pillar Reform</w:t>
      </w:r>
      <w:bookmarkEnd w:id="1409"/>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six-pillar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Project Managers at each pillar, and provides the governance architecture, role definitions, performance framework, and risk register the Statewide Strategic Plan requires.</w:t>
      </w:r>
    </w:p>
    <w:p>
      <w:pPr>
        <w:pStyle w:val="BodyText"/>
      </w:pPr>
      <w:r>
        <w:t xml:space="preserve">PMI’s portfolio, program, and project standards are not Vermont-specific, or even healthcare-specific — they are a general-purpose discipline for managing interdependent work toward a strategic objective, used across industries. Any organization running a six-pillar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six-pillar framework.</w:t>
      </w:r>
    </w:p>
    <w:p>
      <w:pPr>
        <w:pStyle w:val="Heading2"/>
        <w:pBdr>
          <w:top w:val="single" w:sz="6" w:space="10" w:color="C9D2DF"/>
        </w:pBdr>
        <w:keepNext w:val="false"/>
      </w:pPr>
      <w:r>
        <w:rPr>
          <w:color w:val="161B22"/>
        </w:rPr>
        <w:t xml:space="preserve">15.1  </w:t>
      </w:r>
      <w:bookmarkStart w:id="1410" w:name="_Toc1409"/>
      <w:r>
        <w:rPr>
          <w:b/>
          <w:bCs/>
          <w:color w:val="161B22"/>
        </w:rPr>
        <w:t xml:space="preserve">The Project-Management Gap in Healthcare Transformation</w:t>
      </w:r>
      <w:bookmarkEnd w:id="1410"/>
    </w:p>
    <w:p>
      <w:pPr>
        <w:pStyle w:val="FirstParagraph"/>
        <w:keepNext w:val="false"/>
      </w:pPr>
      <w:r>
        <w:t xml:space="preserve">Every concept in the preceding chapters maps to a project-management discipline, whether or not it was introduced in those terms. Pillar definition is scope management. The execution sequence is schedule management with dependency logic. The failure cascade is risk management. The implementation matrix is cost and resource management. The Vermont Scorecard is benefits-realization management. The six-pillar framework is, in its entirety, a portfolio-management architecture — and Vermont’s transformation is failing to be managed as one.</w:t>
      </w:r>
    </w:p>
    <w:tbl>
      <w:tblPr>
        <w:tblStyle w:val="HTRTable"/>
        <w:tblLook w:firstRow="1" w:lastRow="0" w:firstColumn="0" w:lastColumn="0" w:noHBand="0" w:noVBand="1" w:val="0020"/>
        <w:tblW w:w="9072" w:type="dxa"/>
        <w:tblLayout w:type="fixed"/>
      </w:tblPr>
      <w:tblGrid>
        <w:gridCol w:w="2202"/>
        <w:gridCol w:w="2254"/>
        <w:gridCol w:w="2254"/>
        <w:gridCol w:w="2359"/>
      </w:tblGrid>
      <w:tr>
        <w:trPr>
          <w:tblHeader w:val="on"/>
          <w:cantSplit/>
        </w:trPr>
        <w:tc>
          <w:tcPr>
            <w:shd w:val="clear" w:color="auto" w:fill="1B3A6B"/>
            <w:tcW w:w="2202" w:type="dxa"/>
          </w:tcPr>
          <w:p>
            <w:pPr>
              <w:pStyle w:val="Compact"/>
              <w:jc w:val="left"/>
            </w:pPr>
            <w:r>
              <w:rPr>
                <w:b/>
                <w:color w:val="FFFFFF"/>
                <w:sz w:val="18"/>
              </w:rPr>
              <w:t xml:space="preserve">10 of 10</w:t>
            </w:r>
          </w:p>
        </w:tc>
        <w:tc>
          <w:tcPr>
            <w:shd w:val="clear" w:color="auto" w:fill="1B3A6B"/>
            <w:tcW w:w="2254" w:type="dxa"/>
          </w:tcPr>
          <w:p>
            <w:pPr>
              <w:pStyle w:val="Compact"/>
              <w:jc w:val="left"/>
            </w:pPr>
            <w:r>
              <w:rPr>
                <w:b/>
                <w:color w:val="FFFFFF"/>
                <w:sz w:val="18"/>
              </w:rPr>
              <w:t xml:space="preserve">19</w:t>
            </w:r>
          </w:p>
        </w:tc>
        <w:tc>
          <w:tcPr>
            <w:shd w:val="clear" w:color="auto" w:fill="1B3A6B"/>
            <w:tcW w:w="2254" w:type="dxa"/>
          </w:tcPr>
          <w:p>
            <w:pPr>
              <w:pStyle w:val="Compact"/>
              <w:jc w:val="left"/>
            </w:pPr>
            <w:r>
              <w:rPr>
                <w:b/>
                <w:color w:val="FFFFFF"/>
                <w:sz w:val="18"/>
              </w:rPr>
              <w:t xml:space="preserve">7</w:t>
            </w:r>
          </w:p>
        </w:tc>
        <w:tc>
          <w:tcPr>
            <w:shd w:val="clear" w:color="auto" w:fill="1B3A6B"/>
            <w:tcW w:w="2359" w:type="dxa"/>
          </w:tcPr>
          <w:p>
            <w:pPr>
              <w:pStyle w:val="Compact"/>
              <w:jc w:val="left"/>
            </w:pPr>
            <w:r>
              <w:rPr>
                <w:b/>
                <w:color w:val="FFFFFF"/>
                <w:sz w:val="18"/>
              </w:rPr>
              <w:t xml:space="preserve">14+</w:t>
            </w:r>
          </w:p>
        </w:tc>
      </w:tr>
      <w:tr>
        <w:trPr/>
        <w:tc>
          <w:tcPr>
            <w:tcW w:w="2202" w:type="dxa"/>
          </w:tcPr>
          <w:p>
            <w:pPr>
              <w:pStyle w:val="Compact"/>
              <w:jc w:val="left"/>
            </w:pPr>
            <w:r>
              <w:rPr>
                <w:sz w:val="18"/>
              </w:rPr>
              <w:t xml:space="preserve">PMI knowledge areas addressed by this book</w:t>
            </w:r>
          </w:p>
        </w:tc>
        <w:tc>
          <w:tcPr>
            <w:tcW w:w="2254" w:type="dxa"/>
          </w:tcPr>
          <w:p>
            <w:pPr>
              <w:pStyle w:val="Compact"/>
              <w:jc w:val="left"/>
            </w:pPr>
            <w:r>
              <w:rPr>
                <w:sz w:val="18"/>
              </w:rPr>
              <w:t xml:space="preserve">Vermont transformation portfolio components</w:t>
            </w:r>
          </w:p>
        </w:tc>
        <w:tc>
          <w:tcPr>
            <w:tcW w:w="2254" w:type="dxa"/>
          </w:tcPr>
          <w:p>
            <w:pPr>
              <w:pStyle w:val="Compact"/>
              <w:jc w:val="left"/>
            </w:pPr>
            <w:r>
              <w:rPr>
                <w:sz w:val="18"/>
              </w:rPr>
              <w:t xml:space="preserve">Statutory deadlines requiring PM discipline</w:t>
            </w:r>
          </w:p>
        </w:tc>
        <w:tc>
          <w:tcPr>
            <w:tcW w:w="2359" w:type="dxa"/>
          </w:tcPr>
          <w:p>
            <w:pPr>
              <w:pStyle w:val="Compact"/>
              <w:jc w:val="left"/>
            </w:pPr>
            <w:r>
              <w:rPr>
                <w:sz w:val="18"/>
              </w:rPr>
              <w:t xml:space="preserve">AHS programs requiring portfolio coordination</w:t>
            </w:r>
          </w:p>
        </w:tc>
      </w:tr>
    </w:tbl>
    <w:p>
      <w:pPr>
        <w:pStyle w:val="Caption"/>
        <w:spacing w:before="120"/>
      </w:pPr>
      <w:r>
        <w:rPr>
          <w:i/>
          <w:iCs/>
        </w:rPr>
        <w:t xml:space="preserve">Figure 15.1 — The project-management gap. Sources: PMI Standard for Portfolio Management (5th ed.); Oliver Wyman Act 167 Report; AHS November 2025 Transformation Report.</w:t>
      </w:r>
    </w:p>
    <w:p>
      <w:pPr>
        <w:pStyle w:val="Heading2"/>
        <w:pBdr>
          <w:top w:val="single" w:sz="6" w:space="10" w:color="C9D2DF"/>
        </w:pBdr>
        <w:keepNext w:val="false"/>
      </w:pPr>
      <w:r>
        <w:rPr>
          <w:color w:val="161B22"/>
        </w:rPr>
        <w:t xml:space="preserve">15.2  </w:t>
      </w:r>
      <w:bookmarkStart w:id="1411" w:name="_Toc1410"/>
      <w:r>
        <w:rPr>
          <w:b/>
          <w:bCs/>
          <w:color w:val="161B22"/>
        </w:rPr>
        <w:t xml:space="preserve">Project, Program, and Portfolio: Getting the Levels Right</w:t>
      </w:r>
      <w:bookmarkEnd w:id="1411"/>
    </w:p>
    <w:p>
      <w:pPr>
        <w:pStyle w:val="FirstParagraph"/>
        <w:keepNext w:val="false"/>
      </w:pPr>
      <w: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tbl>
      <w:tblPr>
        <w:tblStyle w:val="HTRTable"/>
        <w:tblLook w:firstRow="1" w:lastRow="0" w:firstColumn="0" w:lastColumn="0" w:noHBand="0" w:noVBand="1" w:val="0020"/>
        <w:tblW w:w="9072" w:type="dxa"/>
        <w:tblLayout w:type="fixed"/>
      </w:tblPr>
      <w:tblGrid>
        <w:gridCol w:w="960"/>
        <w:gridCol w:w="1620"/>
        <w:gridCol w:w="2220"/>
        <w:gridCol w:w="2070"/>
        <w:gridCol w:w="2220"/>
      </w:tblGrid>
      <w:tr>
        <w:trPr>
          <w:tblHeader w:val="on"/>
          <w:cantSplit/>
        </w:trPr>
        <w:tc>
          <w:tcPr>
            <w:shd w:val="clear" w:color="auto" w:fill="1B3A6B"/>
            <w:tcW w:w="960" w:type="dxa"/>
          </w:tcPr>
          <w:p>
            <w:pPr>
              <w:pStyle w:val="Compact"/>
              <w:jc w:val="left"/>
            </w:pPr>
            <w:r>
              <w:rPr>
                <w:b/>
                <w:color w:val="FFFFFF"/>
                <w:sz w:val="18"/>
              </w:rPr>
              <w:t xml:space="preserve">Level</w:t>
            </w:r>
          </w:p>
        </w:tc>
        <w:tc>
          <w:tcPr>
            <w:shd w:val="clear" w:color="auto" w:fill="1B3A6B"/>
            <w:tcW w:w="1620" w:type="dxa"/>
          </w:tcPr>
          <w:p>
            <w:pPr>
              <w:pStyle w:val="Compact"/>
              <w:jc w:val="left"/>
            </w:pPr>
            <w:r>
              <w:rPr>
                <w:b/>
                <w:color w:val="FFFFFF"/>
                <w:sz w:val="18"/>
              </w:rPr>
              <w:t xml:space="preserve">PMI definition</w:t>
            </w:r>
          </w:p>
        </w:tc>
        <w:tc>
          <w:tcPr>
            <w:shd w:val="clear" w:color="auto" w:fill="1B3A6B"/>
            <w:tcW w:w="2220" w:type="dxa"/>
          </w:tcPr>
          <w:p>
            <w:pPr>
              <w:pStyle w:val="Compact"/>
              <w:jc w:val="left"/>
            </w:pPr>
            <w:r>
              <w:rPr>
                <w:b/>
                <w:color w:val="FFFFFF"/>
                <w:sz w:val="18"/>
              </w:rPr>
              <w:t xml:space="preserve">Vermont example</w:t>
            </w:r>
          </w:p>
        </w:tc>
        <w:tc>
          <w:tcPr>
            <w:shd w:val="clear" w:color="auto" w:fill="1B3A6B"/>
            <w:tcW w:w="2070" w:type="dxa"/>
          </w:tcPr>
          <w:p>
            <w:pPr>
              <w:pStyle w:val="Compact"/>
              <w:jc w:val="left"/>
            </w:pPr>
            <w:r>
              <w:rPr>
                <w:b/>
                <w:color w:val="FFFFFF"/>
                <w:sz w:val="18"/>
              </w:rPr>
              <w:t xml:space="preserve">Who manages it</w:t>
            </w:r>
          </w:p>
        </w:tc>
        <w:tc>
          <w:tcPr>
            <w:shd w:val="clear" w:color="auto" w:fill="1B3A6B"/>
            <w:tcW w:w="2220" w:type="dxa"/>
          </w:tcPr>
          <w:p>
            <w:pPr>
              <w:pStyle w:val="Compact"/>
              <w:jc w:val="left"/>
            </w:pPr>
            <w:r>
              <w:rPr>
                <w:b/>
                <w:color w:val="FFFFFF"/>
                <w:sz w:val="18"/>
              </w:rPr>
              <w:t xml:space="preserve">Success measure</w:t>
            </w:r>
          </w:p>
        </w:tc>
      </w:tr>
      <w:tr>
        <w:trPr>
          <w:cantSplit/>
        </w:trPr>
        <w:tc>
          <w:tcPr>
            <w:tcW w:w="960" w:type="dxa"/>
          </w:tcPr>
          <w:p>
            <w:pPr>
              <w:pStyle w:val="Compact"/>
              <w:jc w:val="left"/>
            </w:pPr>
            <w:r>
              <w:rPr>
                <w:sz w:val="18"/>
              </w:rPr>
              <w:t xml:space="preserve">Project</w:t>
            </w:r>
          </w:p>
        </w:tc>
        <w:tc>
          <w:tcPr>
            <w:tcW w:w="1620" w:type="dxa"/>
          </w:tcPr>
          <w:p>
            <w:pPr>
              <w:pStyle w:val="Compact"/>
              <w:jc w:val="left"/>
            </w:pPr>
            <w:r>
              <w:rPr>
                <w:sz w:val="18"/>
              </w:rPr>
              <w:t xml:space="preserve">Temporary endeavor creating a unique result; defined scope, schedule, budget.</w:t>
            </w:r>
          </w:p>
        </w:tc>
        <w:tc>
          <w:tcPr>
            <w:tcW w:w="2220" w:type="dxa"/>
          </w:tcPr>
          <w:p>
            <w:pPr>
              <w:pStyle w:val="Compact"/>
              <w:jc w:val="left"/>
            </w:pPr>
            <w:r>
              <w:rPr>
                <w:sz w:val="18"/>
              </w:rPr>
              <w:t xml:space="preserve">VHCURES analytics-vendor deployment; HCC gap closure at Springfield; CoCM deployment at a Blueprint practice; RBP rulemaking.</w:t>
            </w:r>
          </w:p>
        </w:tc>
        <w:tc>
          <w:tcPr>
            <w:tcW w:w="2070" w:type="dxa"/>
          </w:tcPr>
          <w:p>
            <w:pPr>
              <w:pStyle w:val="Compact"/>
              <w:jc w:val="left"/>
            </w:pPr>
            <w:r>
              <w:rPr>
                <w:sz w:val="18"/>
              </w:rPr>
              <w:t xml:space="preserve">Project Manager (pillar-, hospital-, or program-level)</w:t>
            </w:r>
          </w:p>
        </w:tc>
        <w:tc>
          <w:tcPr>
            <w:tcW w:w="2220" w:type="dxa"/>
          </w:tcPr>
          <w:p>
            <w:pPr>
              <w:pStyle w:val="Compact"/>
              <w:jc w:val="left"/>
            </w:pPr>
            <w:r>
              <w:rPr>
                <w:sz w:val="18"/>
              </w:rPr>
              <w:t xml:space="preserve">On scope, schedule, budget; deliverable accepted.</w:t>
            </w:r>
          </w:p>
        </w:tc>
      </w:tr>
      <w:tr>
        <w:trPr/>
        <w:tc>
          <w:tcPr>
            <w:tcW w:w="960" w:type="dxa"/>
          </w:tcPr>
          <w:p>
            <w:pPr>
              <w:pStyle w:val="Compact"/>
              <w:jc w:val="left"/>
            </w:pPr>
            <w:r>
              <w:rPr>
                <w:sz w:val="18"/>
              </w:rPr>
              <w:t xml:space="preserve">Program</w:t>
            </w:r>
          </w:p>
        </w:tc>
        <w:tc>
          <w:tcPr>
            <w:tcW w:w="1620" w:type="dxa"/>
          </w:tcPr>
          <w:p>
            <w:pPr>
              <w:pStyle w:val="Compact"/>
              <w:jc w:val="left"/>
            </w:pPr>
            <w:r>
              <w:rPr>
                <w:sz w:val="18"/>
              </w:rPr>
              <w:t xml:space="preserve">Related projects managed together for benefits not achievable individually.</w:t>
            </w:r>
          </w:p>
        </w:tc>
        <w:tc>
          <w:tcPr>
            <w:tcW w:w="2220" w:type="dxa"/>
          </w:tcPr>
          <w:p>
            <w:pPr>
              <w:pStyle w:val="Compact"/>
              <w:jc w:val="left"/>
            </w:pPr>
            <w:r>
              <w:rPr>
                <w:sz w:val="18"/>
              </w:rPr>
              <w:t xml:space="preserve">Technology Pillar program (VHCURES + VITL + CIN + AI governance); Blueprint PCMH expansion (14 HSA projects); AHEAD Implementation Program.</w:t>
            </w:r>
          </w:p>
        </w:tc>
        <w:tc>
          <w:tcPr>
            <w:tcW w:w="2070" w:type="dxa"/>
          </w:tcPr>
          <w:p>
            <w:pPr>
              <w:pStyle w:val="Compact"/>
              <w:jc w:val="left"/>
            </w:pPr>
            <w:r>
              <w:rPr>
                <w:sz w:val="18"/>
              </w:rPr>
              <w:t xml:space="preserve">Program Manager (pillar-level)</w:t>
            </w:r>
          </w:p>
        </w:tc>
        <w:tc>
          <w:tcPr>
            <w:tcW w:w="2220" w:type="dxa"/>
          </w:tcPr>
          <w:p>
            <w:pPr>
              <w:pStyle w:val="Compact"/>
              <w:jc w:val="left"/>
            </w:pPr>
            <w:r>
              <w:rPr>
                <w:sz w:val="18"/>
              </w:rPr>
              <w:t xml:space="preserve">Benefits realized; interdependencies managed.</w:t>
            </w:r>
          </w:p>
        </w:tc>
      </w:tr>
      <w:tr>
        <w:trPr>
          <w:cantSplit/>
        </w:trPr>
        <w:tc>
          <w:tcPr>
            <w:tcW w:w="960" w:type="dxa"/>
          </w:tcPr>
          <w:p>
            <w:pPr>
              <w:pStyle w:val="Compact"/>
              <w:jc w:val="left"/>
            </w:pPr>
            <w:r>
              <w:rPr>
                <w:sz w:val="18"/>
              </w:rPr>
              <w:t xml:space="preserve">Portfolio</w:t>
            </w:r>
          </w:p>
        </w:tc>
        <w:tc>
          <w:tcPr>
            <w:tcW w:w="1620" w:type="dxa"/>
          </w:tcPr>
          <w:p>
            <w:pPr>
              <w:pStyle w:val="Compact"/>
              <w:jc w:val="left"/>
            </w:pPr>
            <w:r>
              <w:rPr>
                <w:sz w:val="18"/>
              </w:rPr>
              <w:t xml:space="preserve">A collection of programs/projects/operations managed as a group to achieve strategy.</w:t>
            </w:r>
          </w:p>
        </w:tc>
        <w:tc>
          <w:tcPr>
            <w:tcW w:w="2220" w:type="dxa"/>
          </w:tcPr>
          <w:p>
            <w:pPr>
              <w:pStyle w:val="Compact"/>
              <w:jc w:val="left"/>
            </w:pPr>
            <w:r>
              <w:rPr>
                <w:sz w:val="18"/>
              </w:rPr>
              <w:t xml:space="preserve">Vermont’s full six-pillar transformation: all 19 components across the pillars, aligned to Act 167’s five goals and the December 2028 plan.</w:t>
            </w:r>
          </w:p>
        </w:tc>
        <w:tc>
          <w:tcPr>
            <w:tcW w:w="2070" w:type="dxa"/>
          </w:tcPr>
          <w:p>
            <w:pPr>
              <w:pStyle w:val="Compact"/>
              <w:jc w:val="left"/>
            </w:pPr>
            <w:r>
              <w:rPr>
                <w:sz w:val="18"/>
              </w:rPr>
              <w:t xml:space="preserve">Portfolio Manager (AHS Secretary-level or dedicated CPO)</w:t>
            </w:r>
          </w:p>
        </w:tc>
        <w:tc>
          <w:tcPr>
            <w:tcW w:w="2220" w:type="dxa"/>
          </w:tcPr>
          <w:p>
            <w:pPr>
              <w:pStyle w:val="Compact"/>
              <w:jc w:val="left"/>
            </w:pPr>
            <w:r>
              <w:rPr>
                <w:sz w:val="18"/>
              </w:rPr>
              <w:t xml:space="preserve">Strategic objectives achieved; resources optimally allocated.</w:t>
            </w:r>
          </w:p>
        </w:tc>
      </w:tr>
    </w:tbl>
    <w:p>
      <w:pPr>
        <w:pStyle w:val="Caption"/>
        <w:spacing w:before="120"/>
      </w:pPr>
      <w:r>
        <w:rPr>
          <w:i/>
          <w:iCs/>
        </w:rPr>
        <w:t xml:space="preserve">Figure 15.2 — PMI hierarchy applied to Vermont’s transformation. Source: PMI Standard for Portfolio Management (5th ed.); PMBOK Guide 7th ed.; PMI Program Management Standard.</w:t>
      </w:r>
    </w:p>
    <w:p>
      <w:pPr>
        <w:pStyle w:val="BodyText"/>
      </w:pPr>
      <w: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December 2028 deadline makes the gap irreversible.</w:t>
      </w:r>
    </w:p>
    <w:p>
      <w:pPr>
        <w:pStyle w:val="Heading2"/>
        <w:pBdr>
          <w:top w:val="single" w:sz="6" w:space="10" w:color="C9D2DF"/>
        </w:pBdr>
        <w:keepNext w:val="false"/>
      </w:pPr>
      <w:r>
        <w:rPr>
          <w:color w:val="161B22"/>
        </w:rPr>
        <w:t xml:space="preserve">15.3  </w:t>
      </w:r>
      <w:bookmarkStart w:id="1412" w:name="_Toc1411"/>
      <w:r>
        <w:rPr>
          <w:b/>
          <w:bCs/>
          <w:color w:val="161B22"/>
        </w:rPr>
        <w:t xml:space="preserve">Vermont’s Transformation Portfolio: 19 Components</w:t>
      </w:r>
      <w:bookmarkEnd w:id="1412"/>
    </w:p>
    <w:p>
      <w:pPr>
        <w:pStyle w:val="FirstParagraph"/>
        <w:keepNext w:val="false"/>
      </w:pPr>
      <w:r>
        <w:t xml:space="preserve">PMI’s standard requires the portfolio to be defined — every component identified, classified, and assigned governance. Vermont has never published such a definition; the inventory below is HTR’s, assembled by reading Act 68, the AHEAD State Agreement, the RHT Program application, and the AHS transformation reports for every initiative that carries a named owner and a dated obligation, then assigning each to the pillar whose function it serves. Nineteen is what that exercise produces as of early 2026; it is not a number Vermont has adopted, and a reader repeating the exercise against later reports should expect it to move.</w:t>
      </w:r>
    </w:p>
    <w:tbl>
      <w:tblPr>
        <w:tblStyle w:val="HTRTable"/>
        <w:tblLook w:firstRow="1" w:lastRow="0" w:firstColumn="0" w:lastColumn="0" w:noHBand="0" w:noVBand="1" w:val="0020"/>
        <w:tblW w:w="9072" w:type="dxa"/>
        <w:tblLayout w:type="fixed"/>
      </w:tblPr>
      <w:tblGrid>
        <w:gridCol w:w="1050"/>
        <w:gridCol w:w="2025"/>
        <w:gridCol w:w="1335"/>
        <w:gridCol w:w="1050"/>
        <w:gridCol w:w="1350"/>
        <w:gridCol w:w="2280"/>
      </w:tblGrid>
      <w:tr>
        <w:trPr>
          <w:tblHeader w:val="on"/>
          <w:cantSplit/>
        </w:trPr>
        <w:tc>
          <w:tcPr>
            <w:shd w:val="clear" w:color="auto" w:fill="1B3A6B"/>
            <w:tcW w:w="1050" w:type="dxa"/>
          </w:tcPr>
          <w:p>
            <w:pPr>
              <w:pStyle w:val="Compact"/>
              <w:jc w:val="left"/>
            </w:pPr>
            <w:r>
              <w:rPr>
                <w:b/>
                <w:color w:val="FFFFFF"/>
                <w:sz w:val="18"/>
              </w:rPr>
              <w:t xml:space="preserve">Pillar</w:t>
            </w:r>
          </w:p>
        </w:tc>
        <w:tc>
          <w:tcPr>
            <w:shd w:val="clear" w:color="auto" w:fill="1B3A6B"/>
            <w:tcW w:w="2025" w:type="dxa"/>
          </w:tcPr>
          <w:p>
            <w:pPr>
              <w:pStyle w:val="Compact"/>
              <w:jc w:val="left"/>
            </w:pPr>
            <w:r>
              <w:rPr>
                <w:b/>
                <w:color w:val="FFFFFF"/>
                <w:sz w:val="18"/>
              </w:rPr>
              <w:t xml:space="preserve">Portfolio component</w:t>
            </w:r>
          </w:p>
        </w:tc>
        <w:tc>
          <w:tcPr>
            <w:shd w:val="clear" w:color="auto" w:fill="1B3A6B"/>
            <w:tcW w:w="1335" w:type="dxa"/>
          </w:tcPr>
          <w:p>
            <w:pPr>
              <w:pStyle w:val="Compact"/>
              <w:jc w:val="left"/>
            </w:pPr>
            <w:r>
              <w:rPr>
                <w:b/>
                <w:color w:val="FFFFFF"/>
                <w:sz w:val="18"/>
              </w:rPr>
              <w:t xml:space="preserve">Type</w:t>
            </w:r>
          </w:p>
        </w:tc>
        <w:tc>
          <w:tcPr>
            <w:shd w:val="clear" w:color="auto" w:fill="1B3A6B"/>
            <w:tcW w:w="1050" w:type="dxa"/>
          </w:tcPr>
          <w:p>
            <w:pPr>
              <w:pStyle w:val="Compact"/>
              <w:jc w:val="left"/>
            </w:pPr>
            <w:r>
              <w:rPr>
                <w:b/>
                <w:color w:val="FFFFFF"/>
                <w:sz w:val="18"/>
              </w:rPr>
              <w:t xml:space="preserve">Priority</w:t>
            </w:r>
          </w:p>
        </w:tc>
        <w:tc>
          <w:tcPr>
            <w:shd w:val="clear" w:color="auto" w:fill="1B3A6B"/>
            <w:tcW w:w="1350" w:type="dxa"/>
          </w:tcPr>
          <w:p>
            <w:pPr>
              <w:pStyle w:val="Compact"/>
              <w:jc w:val="left"/>
            </w:pPr>
            <w:r>
              <w:rPr>
                <w:b/>
                <w:color w:val="FFFFFF"/>
                <w:sz w:val="18"/>
              </w:rPr>
              <w:t xml:space="preserve">Lead</w:t>
            </w:r>
          </w:p>
        </w:tc>
        <w:tc>
          <w:tcPr>
            <w:shd w:val="clear" w:color="auto" w:fill="1B3A6B"/>
            <w:tcW w:w="2280" w:type="dxa"/>
          </w:tcPr>
          <w:p>
            <w:pPr>
              <w:pStyle w:val="Compact"/>
              <w:jc w:val="left"/>
            </w:pPr>
            <w:r>
              <w:rPr>
                <w:b/>
                <w:color w:val="FFFFFF"/>
                <w:sz w:val="18"/>
              </w:rPr>
              <w:t xml:space="preserve">2026 status → stage gate</w:t>
            </w:r>
          </w:p>
        </w:tc>
      </w:tr>
      <w:tr>
        <w:trPr>
          <w:cantSplit/>
        </w:trPr>
        <w:tc>
          <w:tcPr>
            <w:tcW w:w="1050" w:type="dxa"/>
          </w:tcPr>
          <w:p>
            <w:pPr>
              <w:pStyle w:val="Compact"/>
              <w:jc w:val="left"/>
            </w:pPr>
            <w:r>
              <w:rPr>
                <w:sz w:val="18"/>
              </w:rPr>
              <w:t xml:space="preserve">Policy</w:t>
            </w:r>
          </w:p>
        </w:tc>
        <w:tc>
          <w:tcPr>
            <w:tcW w:w="2025" w:type="dxa"/>
          </w:tcPr>
          <w:p>
            <w:pPr>
              <w:pStyle w:val="Compact"/>
              <w:jc w:val="left"/>
            </w:pPr>
            <w:r>
              <w:rPr>
                <w:sz w:val="18"/>
              </w:rPr>
              <w:t xml:space="preserve">Act 68 RBP-methodology rulemaking</w:t>
            </w:r>
          </w:p>
        </w:tc>
        <w:tc>
          <w:tcPr>
            <w:tcW w:w="1335" w:type="dxa"/>
          </w:tcPr>
          <w:p>
            <w:pPr>
              <w:pStyle w:val="Compact"/>
              <w:jc w:val="left"/>
            </w:pPr>
            <w:r>
              <w:rPr>
                <w:sz w:val="18"/>
              </w:rPr>
              <w:t xml:space="preserve">Compliance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w:t>
            </w:r>
          </w:p>
        </w:tc>
        <w:tc>
          <w:tcPr>
            <w:tcW w:w="2280" w:type="dxa"/>
          </w:tcPr>
          <w:p>
            <w:pPr>
              <w:pStyle w:val="Compact"/>
              <w:jc w:val="left"/>
            </w:pPr>
            <w:r>
              <w:rPr>
                <w:sz w:val="18"/>
              </w:rPr>
              <w:t xml:space="preserve">In progress → FY2027</w:t>
            </w:r>
          </w:p>
        </w:tc>
      </w:tr>
      <w:tr>
        <w:trPr/>
        <w:tc>
          <w:tcPr>
            <w:tcW w:w="1050" w:type="dxa"/>
          </w:tcPr>
          <w:p>
            <w:pPr>
              <w:pStyle w:val="Compact"/>
              <w:jc w:val="left"/>
            </w:pPr>
            <w:r>
              <w:rPr>
                <w:sz w:val="18"/>
              </w:rPr>
              <w:t xml:space="preserve">Policy</w:t>
            </w:r>
          </w:p>
        </w:tc>
        <w:tc>
          <w:tcPr>
            <w:tcW w:w="2025" w:type="dxa"/>
          </w:tcPr>
          <w:p>
            <w:pPr>
              <w:pStyle w:val="Compact"/>
              <w:jc w:val="left"/>
            </w:pPr>
            <w:r>
              <w:rPr>
                <w:sz w:val="18"/>
              </w:rPr>
              <w:t xml:space="preserve">AHEAD State Agreement management</w:t>
            </w:r>
          </w:p>
        </w:tc>
        <w:tc>
          <w:tcPr>
            <w:tcW w:w="1335" w:type="dxa"/>
          </w:tcPr>
          <w:p>
            <w:pPr>
              <w:pStyle w:val="Compact"/>
              <w:jc w:val="left"/>
            </w:pPr>
            <w:r>
              <w:rPr>
                <w:sz w:val="18"/>
              </w:rPr>
              <w:t xml:space="preserve">Ongoing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w:t>
            </w:r>
          </w:p>
        </w:tc>
        <w:tc>
          <w:tcPr>
            <w:tcW w:w="2280" w:type="dxa"/>
          </w:tcPr>
          <w:p>
            <w:pPr>
              <w:pStyle w:val="Compact"/>
              <w:jc w:val="left"/>
            </w:pPr>
            <w:r>
              <w:rPr>
                <w:sz w:val="18"/>
              </w:rPr>
              <w:t xml:space="preserve">Active → annual CMS review</w:t>
            </w:r>
          </w:p>
        </w:tc>
      </w:tr>
      <w:tr>
        <w:trPr/>
        <w:tc>
          <w:tcPr>
            <w:tcW w:w="1050" w:type="dxa"/>
          </w:tcPr>
          <w:p>
            <w:pPr>
              <w:pStyle w:val="Compact"/>
              <w:jc w:val="left"/>
            </w:pPr>
            <w:r>
              <w:rPr>
                <w:sz w:val="18"/>
              </w:rPr>
              <w:t xml:space="preserve">Policy</w:t>
            </w:r>
          </w:p>
        </w:tc>
        <w:tc>
          <w:tcPr>
            <w:tcW w:w="2025" w:type="dxa"/>
          </w:tcPr>
          <w:p>
            <w:pPr>
              <w:pStyle w:val="Compact"/>
              <w:jc w:val="left"/>
            </w:pPr>
            <w:r>
              <w:rPr>
                <w:sz w:val="18"/>
              </w:rPr>
              <w:t xml:space="preserve">RHT Program contract management</w:t>
            </w:r>
          </w:p>
        </w:tc>
        <w:tc>
          <w:tcPr>
            <w:tcW w:w="1335" w:type="dxa"/>
          </w:tcPr>
          <w:p>
            <w:pPr>
              <w:pStyle w:val="Compact"/>
              <w:jc w:val="left"/>
            </w:pPr>
            <w:r>
              <w:rPr>
                <w:sz w:val="18"/>
              </w:rPr>
              <w:t xml:space="preserve">Compliance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Health Reform</w:t>
            </w:r>
          </w:p>
        </w:tc>
        <w:tc>
          <w:tcPr>
            <w:tcW w:w="2280" w:type="dxa"/>
          </w:tcPr>
          <w:p>
            <w:pPr>
              <w:pStyle w:val="Compact"/>
              <w:jc w:val="left"/>
            </w:pPr>
            <w:r>
              <w:rPr>
                <w:sz w:val="18"/>
              </w:rPr>
              <w:t xml:space="preserve">Active → annual federal reporting</w:t>
            </w:r>
          </w:p>
        </w:tc>
      </w:tr>
      <w:tr>
        <w:trPr/>
        <w:tc>
          <w:tcPr>
            <w:tcW w:w="1050" w:type="dxa"/>
          </w:tcPr>
          <w:p>
            <w:pPr>
              <w:pStyle w:val="Compact"/>
              <w:jc w:val="left"/>
            </w:pPr>
            <w:r>
              <w:rPr>
                <w:sz w:val="18"/>
              </w:rPr>
              <w:t xml:space="preserve">Policy</w:t>
            </w:r>
          </w:p>
        </w:tc>
        <w:tc>
          <w:tcPr>
            <w:tcW w:w="2025" w:type="dxa"/>
          </w:tcPr>
          <w:p>
            <w:pPr>
              <w:pStyle w:val="Compact"/>
              <w:jc w:val="left"/>
            </w:pPr>
            <w:r>
              <w:rPr>
                <w:sz w:val="18"/>
              </w:rPr>
              <w:t xml:space="preserve">Statewide Strategic Plan development</w:t>
            </w:r>
          </w:p>
        </w:tc>
        <w:tc>
          <w:tcPr>
            <w:tcW w:w="1335" w:type="dxa"/>
          </w:tcPr>
          <w:p>
            <w:pPr>
              <w:pStyle w:val="Compact"/>
              <w:jc w:val="left"/>
            </w:pPr>
            <w:r>
              <w:rPr>
                <w:sz w:val="18"/>
              </w:rPr>
              <w:t xml:space="preserve">Strategic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 HCAC</w:t>
            </w:r>
          </w:p>
        </w:tc>
        <w:tc>
          <w:tcPr>
            <w:tcW w:w="2280" w:type="dxa"/>
          </w:tcPr>
          <w:p>
            <w:pPr>
              <w:pStyle w:val="Compact"/>
              <w:jc w:val="left"/>
            </w:pPr>
            <w:r>
              <w:rPr>
                <w:sz w:val="18"/>
              </w:rPr>
              <w:t xml:space="preserve">In progress → Dec 2028</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AHS-GMCB analytics-vendor deployment</w:t>
            </w:r>
          </w:p>
        </w:tc>
        <w:tc>
          <w:tcPr>
            <w:tcW w:w="1335" w:type="dxa"/>
          </w:tcPr>
          <w:p>
            <w:pPr>
              <w:pStyle w:val="Compact"/>
              <w:jc w:val="left"/>
            </w:pPr>
            <w:r>
              <w:rPr>
                <w:sz w:val="18"/>
              </w:rPr>
              <w:t xml:space="preserve">Strategic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 GMCB</w:t>
            </w:r>
          </w:p>
        </w:tc>
        <w:tc>
          <w:tcPr>
            <w:tcW w:w="2280" w:type="dxa"/>
          </w:tcPr>
          <w:p>
            <w:pPr>
              <w:pStyle w:val="Compact"/>
              <w:jc w:val="left"/>
            </w:pPr>
            <w:r>
              <w:rPr>
                <w:sz w:val="18"/>
              </w:rPr>
              <w:t xml:space="preserve">Procurement → Jan 2027 operational</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Vermont CIN build-out</w:t>
            </w:r>
          </w:p>
        </w:tc>
        <w:tc>
          <w:tcPr>
            <w:tcW w:w="1335" w:type="dxa"/>
          </w:tcPr>
          <w:p>
            <w:pPr>
              <w:pStyle w:val="Compact"/>
              <w:jc w:val="left"/>
            </w:pPr>
            <w:r>
              <w:rPr>
                <w:sz w:val="18"/>
              </w:rPr>
              <w:t xml:space="preserve">Strategic program</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 RHT</w:t>
            </w:r>
          </w:p>
        </w:tc>
        <w:tc>
          <w:tcPr>
            <w:tcW w:w="2280" w:type="dxa"/>
          </w:tcPr>
          <w:p>
            <w:pPr>
              <w:pStyle w:val="Compact"/>
              <w:jc w:val="left"/>
            </w:pPr>
            <w:r>
              <w:rPr>
                <w:sz w:val="18"/>
              </w:rPr>
              <w:t xml:space="preserve">Design → FY2028 operational</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VITL HIE expansion / FHIR compliance</w:t>
            </w:r>
          </w:p>
        </w:tc>
        <w:tc>
          <w:tcPr>
            <w:tcW w:w="1335" w:type="dxa"/>
          </w:tcPr>
          <w:p>
            <w:pPr>
              <w:pStyle w:val="Compact"/>
              <w:jc w:val="left"/>
            </w:pPr>
            <w:r>
              <w:rPr>
                <w:sz w:val="18"/>
              </w:rPr>
              <w:t xml:space="preserve">Technical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VITL + AHS</w:t>
            </w:r>
          </w:p>
        </w:tc>
        <w:tc>
          <w:tcPr>
            <w:tcW w:w="2280" w:type="dxa"/>
          </w:tcPr>
          <w:p>
            <w:pPr>
              <w:pStyle w:val="Compact"/>
              <w:jc w:val="left"/>
            </w:pPr>
            <w:r>
              <w:rPr>
                <w:sz w:val="18"/>
              </w:rPr>
              <w:t xml:space="preserve">In progress → FY2027 mandatory</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Statewide AI-governance framework</w:t>
            </w:r>
          </w:p>
        </w:tc>
        <w:tc>
          <w:tcPr>
            <w:tcW w:w="1335" w:type="dxa"/>
          </w:tcPr>
          <w:p>
            <w:pPr>
              <w:pStyle w:val="Compact"/>
              <w:jc w:val="left"/>
            </w:pPr>
            <w:r>
              <w:rPr>
                <w:sz w:val="18"/>
              </w:rPr>
              <w:t xml:space="preserve">Policy project</w:t>
            </w:r>
          </w:p>
        </w:tc>
        <w:tc>
          <w:tcPr>
            <w:tcW w:w="1050" w:type="dxa"/>
          </w:tcPr>
          <w:p>
            <w:pPr>
              <w:pStyle w:val="Compact"/>
              <w:jc w:val="left"/>
            </w:pPr>
            <w:r>
              <w:rPr>
                <w:sz w:val="18"/>
              </w:rPr>
              <w:t xml:space="preserve">Medium</w:t>
            </w:r>
          </w:p>
        </w:tc>
        <w:tc>
          <w:tcPr>
            <w:tcW w:w="1350" w:type="dxa"/>
          </w:tcPr>
          <w:p>
            <w:pPr>
              <w:pStyle w:val="Compact"/>
              <w:jc w:val="left"/>
            </w:pPr>
            <w:r>
              <w:rPr>
                <w:sz w:val="18"/>
              </w:rPr>
              <w:t xml:space="preserve">AHS + CIN</w:t>
            </w:r>
          </w:p>
        </w:tc>
        <w:tc>
          <w:tcPr>
            <w:tcW w:w="2280" w:type="dxa"/>
          </w:tcPr>
          <w:p>
            <w:pPr>
              <w:pStyle w:val="Compact"/>
              <w:jc w:val="left"/>
            </w:pPr>
            <w:r>
              <w:rPr>
                <w:sz w:val="18"/>
              </w:rPr>
              <w:t xml:space="preserve">Not started → FY2028 adoption</w:t>
            </w:r>
          </w:p>
        </w:tc>
      </w:tr>
      <w:tr>
        <w:trPr/>
        <w:tc>
          <w:tcPr>
            <w:tcW w:w="1050" w:type="dxa"/>
          </w:tcPr>
          <w:p>
            <w:pPr>
              <w:pStyle w:val="Compact"/>
              <w:jc w:val="left"/>
            </w:pPr>
            <w:r>
              <w:rPr>
                <w:sz w:val="18"/>
              </w:rPr>
              <w:t xml:space="preserve">Economics</w:t>
            </w:r>
          </w:p>
        </w:tc>
        <w:tc>
          <w:tcPr>
            <w:tcW w:w="2025" w:type="dxa"/>
          </w:tcPr>
          <w:p>
            <w:pPr>
              <w:pStyle w:val="Compact"/>
              <w:jc w:val="left"/>
            </w:pPr>
            <w:r>
              <w:rPr>
                <w:sz w:val="18"/>
              </w:rPr>
              <w:t xml:space="preserve">RBP implementation (all hospitals)</w:t>
            </w:r>
          </w:p>
        </w:tc>
        <w:tc>
          <w:tcPr>
            <w:tcW w:w="1335" w:type="dxa"/>
          </w:tcPr>
          <w:p>
            <w:pPr>
              <w:pStyle w:val="Compact"/>
              <w:jc w:val="left"/>
            </w:pPr>
            <w:r>
              <w:rPr>
                <w:sz w:val="18"/>
              </w:rPr>
              <w:t xml:space="preserve">Compliance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w:t>
            </w:r>
          </w:p>
        </w:tc>
        <w:tc>
          <w:tcPr>
            <w:tcW w:w="2280" w:type="dxa"/>
          </w:tcPr>
          <w:p>
            <w:pPr>
              <w:pStyle w:val="Compact"/>
              <w:jc w:val="left"/>
            </w:pPr>
            <w:r>
              <w:rPr>
                <w:sz w:val="18"/>
              </w:rPr>
              <w:t xml:space="preserve">Methodology design → FY2027</w:t>
            </w:r>
          </w:p>
        </w:tc>
      </w:tr>
      <w:tr>
        <w:trPr/>
        <w:tc>
          <w:tcPr>
            <w:tcW w:w="1050" w:type="dxa"/>
          </w:tcPr>
          <w:p>
            <w:pPr>
              <w:pStyle w:val="Compact"/>
              <w:jc w:val="left"/>
            </w:pPr>
            <w:r>
              <w:rPr>
                <w:sz w:val="18"/>
              </w:rPr>
              <w:t xml:space="preserve">Economics</w:t>
            </w:r>
          </w:p>
        </w:tc>
        <w:tc>
          <w:tcPr>
            <w:tcW w:w="2025" w:type="dxa"/>
          </w:tcPr>
          <w:p>
            <w:pPr>
              <w:pStyle w:val="Compact"/>
              <w:jc w:val="left"/>
            </w:pPr>
            <w:r>
              <w:rPr>
                <w:sz w:val="18"/>
              </w:rPr>
              <w:t xml:space="preserve">Global-budget design &amp; implementation</w:t>
            </w:r>
          </w:p>
        </w:tc>
        <w:tc>
          <w:tcPr>
            <w:tcW w:w="1335" w:type="dxa"/>
          </w:tcPr>
          <w:p>
            <w:pPr>
              <w:pStyle w:val="Compact"/>
              <w:jc w:val="left"/>
            </w:pPr>
            <w:r>
              <w:rPr>
                <w:sz w:val="18"/>
              </w:rPr>
              <w:t xml:space="preserve">Strategic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 + AHS</w:t>
            </w:r>
          </w:p>
        </w:tc>
        <w:tc>
          <w:tcPr>
            <w:tcW w:w="2280" w:type="dxa"/>
          </w:tcPr>
          <w:p>
            <w:pPr>
              <w:pStyle w:val="Compact"/>
              <w:jc w:val="left"/>
            </w:pPr>
            <w:r>
              <w:rPr>
                <w:sz w:val="18"/>
              </w:rPr>
              <w:t xml:space="preserve">Design → FY2028 non-CAH</w:t>
            </w:r>
          </w:p>
        </w:tc>
      </w:tr>
      <w:tr>
        <w:trPr/>
        <w:tc>
          <w:tcPr>
            <w:tcW w:w="1050" w:type="dxa"/>
          </w:tcPr>
          <w:p>
            <w:pPr>
              <w:pStyle w:val="Compact"/>
              <w:jc w:val="left"/>
            </w:pPr>
            <w:r>
              <w:rPr>
                <w:sz w:val="18"/>
              </w:rPr>
              <w:t xml:space="preserve">Economics</w:t>
            </w:r>
          </w:p>
        </w:tc>
        <w:tc>
          <w:tcPr>
            <w:tcW w:w="2025" w:type="dxa"/>
          </w:tcPr>
          <w:p>
            <w:pPr>
              <w:pStyle w:val="Compact"/>
              <w:jc w:val="left"/>
            </w:pPr>
            <w:r>
              <w:rPr>
                <w:sz w:val="18"/>
              </w:rPr>
              <w:t xml:space="preserve">AHEAD EAST Fund deployment</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DVHA + AHS</w:t>
            </w:r>
          </w:p>
        </w:tc>
        <w:tc>
          <w:tcPr>
            <w:tcW w:w="2280" w:type="dxa"/>
          </w:tcPr>
          <w:p>
            <w:pPr>
              <w:pStyle w:val="Compact"/>
              <w:jc w:val="left"/>
            </w:pPr>
            <w:r>
              <w:rPr>
                <w:sz w:val="18"/>
              </w:rPr>
              <w:t xml:space="preserve">Active → annual targets</w:t>
            </w:r>
          </w:p>
        </w:tc>
      </w:tr>
      <w:tr>
        <w:trPr/>
        <w:tc>
          <w:tcPr>
            <w:tcW w:w="1050" w:type="dxa"/>
          </w:tcPr>
          <w:p>
            <w:pPr>
              <w:pStyle w:val="Compact"/>
              <w:jc w:val="left"/>
            </w:pPr>
            <w:r>
              <w:rPr>
                <w:sz w:val="18"/>
              </w:rPr>
              <w:t xml:space="preserve">Clinical</w:t>
            </w:r>
          </w:p>
        </w:tc>
        <w:tc>
          <w:tcPr>
            <w:tcW w:w="2025" w:type="dxa"/>
          </w:tcPr>
          <w:p>
            <w:pPr>
              <w:pStyle w:val="Compact"/>
              <w:jc w:val="left"/>
            </w:pPr>
            <w:r>
              <w:rPr>
                <w:sz w:val="18"/>
              </w:rPr>
              <w:t xml:space="preserve">Blueprint PCMH + AHEAD transition</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Blueprint + DVHA</w:t>
            </w:r>
          </w:p>
        </w:tc>
        <w:tc>
          <w:tcPr>
            <w:tcW w:w="2280" w:type="dxa"/>
          </w:tcPr>
          <w:p>
            <w:pPr>
              <w:pStyle w:val="Compact"/>
              <w:jc w:val="left"/>
            </w:pPr>
            <w:r>
              <w:rPr>
                <w:sz w:val="18"/>
              </w:rPr>
              <w:t xml:space="preserve">Active → 100% PCMH by FY2028</w:t>
            </w:r>
          </w:p>
        </w:tc>
      </w:tr>
      <w:tr>
        <w:trPr/>
        <w:tc>
          <w:tcPr>
            <w:tcW w:w="1050" w:type="dxa"/>
          </w:tcPr>
          <w:p>
            <w:pPr>
              <w:pStyle w:val="Compact"/>
              <w:jc w:val="left"/>
            </w:pPr>
            <w:r>
              <w:rPr>
                <w:sz w:val="18"/>
              </w:rPr>
              <w:t xml:space="preserve">Clinical</w:t>
            </w:r>
          </w:p>
        </w:tc>
        <w:tc>
          <w:tcPr>
            <w:tcW w:w="2025" w:type="dxa"/>
          </w:tcPr>
          <w:p>
            <w:pPr>
              <w:pStyle w:val="Compact"/>
              <w:jc w:val="left"/>
            </w:pPr>
            <w:r>
              <w:rPr>
                <w:sz w:val="18"/>
              </w:rPr>
              <w:t xml:space="preserve">CCBHC certification (5 entities)</w:t>
            </w:r>
          </w:p>
        </w:tc>
        <w:tc>
          <w:tcPr>
            <w:tcW w:w="1335" w:type="dxa"/>
          </w:tcPr>
          <w:p>
            <w:pPr>
              <w:pStyle w:val="Compact"/>
              <w:jc w:val="left"/>
            </w:pPr>
            <w:r>
              <w:rPr>
                <w:sz w:val="18"/>
              </w:rPr>
              <w:t xml:space="preserve">Compliance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 providers</w:t>
            </w:r>
          </w:p>
        </w:tc>
        <w:tc>
          <w:tcPr>
            <w:tcW w:w="2280" w:type="dxa"/>
          </w:tcPr>
          <w:p>
            <w:pPr>
              <w:pStyle w:val="Compact"/>
              <w:jc w:val="left"/>
            </w:pPr>
            <w:r>
              <w:rPr>
                <w:sz w:val="18"/>
              </w:rPr>
              <w:t xml:space="preserve">In progress → FY2026</w:t>
            </w:r>
          </w:p>
        </w:tc>
      </w:tr>
      <w:tr>
        <w:trPr/>
        <w:tc>
          <w:tcPr>
            <w:tcW w:w="1050" w:type="dxa"/>
          </w:tcPr>
          <w:p>
            <w:pPr>
              <w:pStyle w:val="Compact"/>
              <w:jc w:val="left"/>
            </w:pPr>
            <w:r>
              <w:rPr>
                <w:sz w:val="18"/>
              </w:rPr>
              <w:t xml:space="preserve">Clinical</w:t>
            </w:r>
          </w:p>
        </w:tc>
        <w:tc>
          <w:tcPr>
            <w:tcW w:w="2025" w:type="dxa"/>
          </w:tcPr>
          <w:p>
            <w:pPr>
              <w:pStyle w:val="Compact"/>
              <w:jc w:val="left"/>
            </w:pPr>
            <w:r>
              <w:rPr>
                <w:sz w:val="18"/>
              </w:rPr>
              <w:t xml:space="preserve">CoCM statewide deployment</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MHI + Blueprint</w:t>
            </w:r>
          </w:p>
        </w:tc>
        <w:tc>
          <w:tcPr>
            <w:tcW w:w="2280" w:type="dxa"/>
          </w:tcPr>
          <w:p>
            <w:pPr>
              <w:pStyle w:val="Compact"/>
              <w:jc w:val="left"/>
            </w:pPr>
            <w:r>
              <w:rPr>
                <w:sz w:val="18"/>
              </w:rPr>
              <w:t xml:space="preserve">Pilot → 80%+ practices FY2028</w:t>
            </w:r>
          </w:p>
        </w:tc>
      </w:tr>
      <w:tr>
        <w:trPr/>
        <w:tc>
          <w:tcPr>
            <w:tcW w:w="1050" w:type="dxa"/>
          </w:tcPr>
          <w:p>
            <w:pPr>
              <w:pStyle w:val="Compact"/>
              <w:jc w:val="left"/>
            </w:pPr>
            <w:r>
              <w:rPr>
                <w:sz w:val="18"/>
              </w:rPr>
              <w:t xml:space="preserve">Equity</w:t>
            </w:r>
          </w:p>
        </w:tc>
        <w:tc>
          <w:tcPr>
            <w:tcW w:w="2025" w:type="dxa"/>
          </w:tcPr>
          <w:p>
            <w:pPr>
              <w:pStyle w:val="Compact"/>
              <w:jc w:val="left"/>
            </w:pPr>
            <w:r>
              <w:rPr>
                <w:sz w:val="18"/>
              </w:rPr>
              <w:t xml:space="preserve">Social-risk-adjustment methodology</w:t>
            </w:r>
          </w:p>
        </w:tc>
        <w:tc>
          <w:tcPr>
            <w:tcW w:w="1335" w:type="dxa"/>
          </w:tcPr>
          <w:p>
            <w:pPr>
              <w:pStyle w:val="Compact"/>
              <w:jc w:val="left"/>
            </w:pPr>
            <w:r>
              <w:rPr>
                <w:sz w:val="18"/>
              </w:rPr>
              <w:t xml:space="preserve">Policy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 + AHS Equity</w:t>
            </w:r>
          </w:p>
        </w:tc>
        <w:tc>
          <w:tcPr>
            <w:tcW w:w="2280" w:type="dxa"/>
          </w:tcPr>
          <w:p>
            <w:pPr>
              <w:pStyle w:val="Compact"/>
              <w:jc w:val="left"/>
            </w:pPr>
            <w:r>
              <w:rPr>
                <w:sz w:val="18"/>
              </w:rPr>
              <w:t xml:space="preserve">Design → FY2028 budgets</w:t>
            </w:r>
          </w:p>
        </w:tc>
      </w:tr>
      <w:tr>
        <w:trPr/>
        <w:tc>
          <w:tcPr>
            <w:tcW w:w="1050" w:type="dxa"/>
          </w:tcPr>
          <w:p>
            <w:pPr>
              <w:pStyle w:val="Compact"/>
              <w:jc w:val="left"/>
            </w:pPr>
            <w:r>
              <w:rPr>
                <w:sz w:val="18"/>
              </w:rPr>
              <w:t xml:space="preserve">Equity</w:t>
            </w:r>
          </w:p>
        </w:tc>
        <w:tc>
          <w:tcPr>
            <w:tcW w:w="2025" w:type="dxa"/>
          </w:tcPr>
          <w:p>
            <w:pPr>
              <w:pStyle w:val="Compact"/>
              <w:jc w:val="left"/>
            </w:pPr>
            <w:r>
              <w:rPr>
                <w:sz w:val="18"/>
              </w:rPr>
              <w:t xml:space="preserve">HEROI scoring framework</w:t>
            </w:r>
          </w:p>
        </w:tc>
        <w:tc>
          <w:tcPr>
            <w:tcW w:w="1335" w:type="dxa"/>
          </w:tcPr>
          <w:p>
            <w:pPr>
              <w:pStyle w:val="Compact"/>
              <w:jc w:val="left"/>
            </w:pPr>
            <w:r>
              <w:rPr>
                <w:sz w:val="18"/>
              </w:rPr>
              <w:t xml:space="preserve">Technical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 GMCB</w:t>
            </w:r>
          </w:p>
        </w:tc>
        <w:tc>
          <w:tcPr>
            <w:tcW w:w="2280" w:type="dxa"/>
          </w:tcPr>
          <w:p>
            <w:pPr>
              <w:pStyle w:val="Compact"/>
              <w:jc w:val="left"/>
            </w:pPr>
            <w:r>
              <w:rPr>
                <w:sz w:val="18"/>
              </w:rPr>
              <w:t xml:space="preserve">Development → FY2027 baseline</w:t>
            </w:r>
          </w:p>
        </w:tc>
      </w:tr>
      <w:tr>
        <w:trPr/>
        <w:tc>
          <w:tcPr>
            <w:tcW w:w="1050" w:type="dxa"/>
          </w:tcPr>
          <w:p>
            <w:pPr>
              <w:pStyle w:val="Compact"/>
              <w:jc w:val="left"/>
            </w:pPr>
            <w:r>
              <w:rPr>
                <w:sz w:val="18"/>
              </w:rPr>
              <w:t xml:space="preserve">Operations</w:t>
            </w:r>
          </w:p>
        </w:tc>
        <w:tc>
          <w:tcPr>
            <w:tcW w:w="2025" w:type="dxa"/>
          </w:tcPr>
          <w:p>
            <w:pPr>
              <w:pStyle w:val="Compact"/>
              <w:jc w:val="left"/>
            </w:pPr>
            <w:r>
              <w:rPr>
                <w:sz w:val="18"/>
              </w:rPr>
              <w:t xml:space="preserve">14-hospital transformation planning</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 RHRC successor</w:t>
            </w:r>
          </w:p>
        </w:tc>
        <w:tc>
          <w:tcPr>
            <w:tcW w:w="2280" w:type="dxa"/>
          </w:tcPr>
          <w:p>
            <w:pPr>
              <w:pStyle w:val="Compact"/>
              <w:jc w:val="left"/>
            </w:pPr>
            <w:r>
              <w:rPr>
                <w:sz w:val="18"/>
              </w:rPr>
              <w:t xml:space="preserve">Plan submission → FY2026 approved</w:t>
            </w:r>
          </w:p>
        </w:tc>
      </w:tr>
      <w:tr>
        <w:trPr/>
        <w:tc>
          <w:tcPr>
            <w:tcW w:w="1050" w:type="dxa"/>
          </w:tcPr>
          <w:p>
            <w:pPr>
              <w:pStyle w:val="Compact"/>
              <w:jc w:val="left"/>
            </w:pPr>
            <w:r>
              <w:rPr>
                <w:sz w:val="18"/>
              </w:rPr>
              <w:t xml:space="preserve">Operations</w:t>
            </w:r>
          </w:p>
        </w:tc>
        <w:tc>
          <w:tcPr>
            <w:tcW w:w="2025" w:type="dxa"/>
          </w:tcPr>
          <w:p>
            <w:pPr>
              <w:pStyle w:val="Compact"/>
              <w:jc w:val="left"/>
            </w:pPr>
            <w:r>
              <w:rPr>
                <w:sz w:val="18"/>
              </w:rPr>
              <w:t xml:space="preserve">AHS restructuring (HSA-coordinator model)</w:t>
            </w:r>
          </w:p>
        </w:tc>
        <w:tc>
          <w:tcPr>
            <w:tcW w:w="1335" w:type="dxa"/>
          </w:tcPr>
          <w:p>
            <w:pPr>
              <w:pStyle w:val="Compact"/>
              <w:jc w:val="left"/>
            </w:pPr>
            <w:r>
              <w:rPr>
                <w:sz w:val="18"/>
              </w:rPr>
              <w:t xml:space="preserve">Organizational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Secretary</w:t>
            </w:r>
          </w:p>
        </w:tc>
        <w:tc>
          <w:tcPr>
            <w:tcW w:w="2280" w:type="dxa"/>
          </w:tcPr>
          <w:p>
            <w:pPr>
              <w:pStyle w:val="Compact"/>
              <w:jc w:val="left"/>
            </w:pPr>
            <w:r>
              <w:rPr>
                <w:sz w:val="18"/>
              </w:rPr>
              <w:t xml:space="preserve">In progress → FY2027 staffed</w:t>
            </w:r>
          </w:p>
        </w:tc>
      </w:tr>
      <w:tr>
        <w:trPr>
          <w:cantSplit/>
        </w:trPr>
        <w:tc>
          <w:tcPr>
            <w:tcW w:w="1050" w:type="dxa"/>
          </w:tcPr>
          <w:p>
            <w:pPr>
              <w:pStyle w:val="Compact"/>
              <w:jc w:val="left"/>
            </w:pPr>
            <w:r>
              <w:rPr>
                <w:sz w:val="18"/>
              </w:rPr>
              <w:t xml:space="preserve">Operations</w:t>
            </w:r>
          </w:p>
        </w:tc>
        <w:tc>
          <w:tcPr>
            <w:tcW w:w="2025" w:type="dxa"/>
          </w:tcPr>
          <w:p>
            <w:pPr>
              <w:pStyle w:val="Compact"/>
              <w:jc w:val="left"/>
            </w:pPr>
            <w:r>
              <w:rPr>
                <w:sz w:val="18"/>
              </w:rPr>
              <w:t xml:space="preserve">AHS PMO establishment</w:t>
            </w:r>
          </w:p>
        </w:tc>
        <w:tc>
          <w:tcPr>
            <w:tcW w:w="1335" w:type="dxa"/>
          </w:tcPr>
          <w:p>
            <w:pPr>
              <w:pStyle w:val="Compact"/>
              <w:jc w:val="left"/>
            </w:pPr>
            <w:r>
              <w:rPr>
                <w:sz w:val="18"/>
              </w:rPr>
              <w:t xml:space="preserve">Organizational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w:t>
            </w:r>
          </w:p>
        </w:tc>
        <w:tc>
          <w:tcPr>
            <w:tcW w:w="2280" w:type="dxa"/>
          </w:tcPr>
          <w:p>
            <w:pPr>
              <w:pStyle w:val="Compact"/>
              <w:jc w:val="left"/>
            </w:pPr>
            <w:r>
              <w:rPr>
                <w:sz w:val="18"/>
              </w:rPr>
              <w:t xml:space="preserve">Not started → Q1 2027 operational</w:t>
            </w:r>
          </w:p>
        </w:tc>
      </w:tr>
    </w:tbl>
    <w:p>
      <w:pPr>
        <w:pStyle w:val="Caption"/>
        <w:keepNext/>
        <w:spacing w:before="120"/>
      </w:pPr>
      <w:r>
        <w:rPr>
          <w:i/>
          <w:iCs/>
        </w:rPr>
        <w:t xml:space="preserve">Figure 15.3 — Vermont’s 19-component transformation portfolio. Sources: Act 68 of 2025; AHS Transformation Reports; Vermont RHT Program Application; CMS AHEAD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exercise that produced this 19-component inventory — listing every statute, grant, model agreement, and initiative touching the six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p>
        </w:tc>
      </w:tr>
    </w:tbl>
    <w:p>
      <w:pPr>
        <w:spacing w:after="120"/>
      </w:pPr>
    </w:p>
    <w:p>
      <w:pPr>
        <w:pStyle w:val="Heading2"/>
        <w:pBdr>
          <w:top w:val="single" w:sz="6" w:space="10" w:color="C9D2DF"/>
        </w:pBdr>
      </w:pPr>
      <w:r>
        <w:rPr>
          <w:color w:val="161B22"/>
        </w:rPr>
        <w:t xml:space="preserve">15.4  </w:t>
      </w:r>
      <w:bookmarkStart w:id="1413" w:name="_Toc1412"/>
      <w:r>
        <w:rPr>
          <w:b/>
          <w:bCs/>
          <w:color w:val="161B22"/>
        </w:rPr>
        <w:t xml:space="preserve">The Case for a Portfolio Manager</w:t>
      </w:r>
      <w:bookmarkEnd w:id="1413"/>
    </w:p>
    <w:p>
      <w:pPr>
        <w:pStyle w:val="FirstParagraph"/>
      </w:pPr>
      <w:r>
        <w:t xml:space="preserve">Nineteen components. Shared stage gates. A single December 2028 deadline. Four statutory predecessors — Acts 167 and 51, Act 68, and the AHEAD State Agreement —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pPr>
        <w:pStyle w:val="BodyText"/>
      </w:pPr>
      <w:r>
        <w:t xml:space="preserve">This is not a new idea for Vermont. Oliver Wyman’s Act 167 report explicitly recommended that AHS hire a dedicated project-management function and establish the</w:t>
      </w:r>
      <w:r>
        <w:t xml:space="preserve"> </w:t>
      </w:r>
      <w:r>
        <w:t xml:space="preserve">“project management infrastructure needed to manage Vermont’s transformation portfolio.”</w:t>
      </w:r>
      <w:r>
        <w:t xml:space="preserve"> </w:t>
      </w:r>
      <w:r>
        <w:t xml:space="preserve">The November 2025 report repeated the finding. The AHS Restructuring Roadmap (Chapter 1 of this book) identifies PMO establishment as a critical organizational project. What this chapter adds is a precise, PMI-grounded definition of the role, its authority, and its connection to the pillar-level Project Managers below it.</w:t>
      </w:r>
    </w:p>
    <w:p>
      <w:pPr>
        <w:pStyle w:val="BodyText"/>
      </w:pPr>
      <w: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pPr>
        <w:pStyle w:val="Heading2"/>
        <w:pBdr>
          <w:top w:val="single" w:sz="6" w:space="10" w:color="C9D2DF"/>
        </w:pBdr>
        <w:keepNext w:val="false"/>
      </w:pPr>
      <w:r>
        <w:rPr>
          <w:color w:val="161B22"/>
        </w:rPr>
        <w:t xml:space="preserve">15.5  </w:t>
      </w:r>
      <w:bookmarkStart w:id="1414" w:name="_Toc1413"/>
      <w:r>
        <w:rPr>
          <w:b/>
          <w:bCs/>
          <w:color w:val="161B22"/>
        </w:rPr>
        <w:t xml:space="preserve">Pillar-Level Project Managers: Six Roles, One Framework</w:t>
      </w:r>
      <w:bookmarkEnd w:id="1414"/>
    </w:p>
    <w:p>
      <w:pPr>
        <w:pStyle w:val="FirstParagraph"/>
        <w:keepNext w:val="false"/>
      </w:pPr>
      <w:r>
        <w:t xml:space="preserve">Below the Portfolio Manager, each pillar needs a Project (or Program) Manager.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HTRTable"/>
        <w:tblLook w:firstRow="1" w:lastRow="0" w:firstColumn="0" w:lastColumn="0" w:noHBand="0" w:noVBand="1" w:val="0020"/>
        <w:tblW w:w="9072" w:type="dxa"/>
        <w:tblLayout w:type="fixed"/>
      </w:tblPr>
      <w:tblGrid>
        <w:gridCol w:w="1140"/>
        <w:gridCol w:w="1545"/>
        <w:gridCol w:w="2145"/>
        <w:gridCol w:w="2295"/>
        <w:gridCol w:w="1920"/>
      </w:tblGrid>
      <w:tr>
        <w:trPr>
          <w:tblHeader w:val="on"/>
          <w:cantSplit/>
        </w:trPr>
        <w:tc>
          <w:tcPr>
            <w:shd w:val="clear" w:color="auto" w:fill="1B3A6B"/>
            <w:tcW w:w="1140" w:type="dxa"/>
          </w:tcPr>
          <w:p>
            <w:pPr>
              <w:pStyle w:val="Compact"/>
              <w:jc w:val="left"/>
            </w:pPr>
            <w:r>
              <w:rPr>
                <w:b/>
                <w:color w:val="FFFFFF"/>
                <w:sz w:val="18"/>
              </w:rPr>
              <w:t xml:space="preserve">Pillar</w:t>
            </w:r>
          </w:p>
        </w:tc>
        <w:tc>
          <w:tcPr>
            <w:shd w:val="clear" w:color="auto" w:fill="1B3A6B"/>
            <w:tcW w:w="1545" w:type="dxa"/>
          </w:tcPr>
          <w:p>
            <w:pPr>
              <w:pStyle w:val="Compact"/>
              <w:jc w:val="left"/>
            </w:pPr>
            <w:r>
              <w:rPr>
                <w:b/>
                <w:color w:val="FFFFFF"/>
                <w:sz w:val="18"/>
              </w:rPr>
              <w:t xml:space="preserve">Role</w:t>
            </w:r>
          </w:p>
        </w:tc>
        <w:tc>
          <w:tcPr>
            <w:shd w:val="clear" w:color="auto" w:fill="1B3A6B"/>
            <w:tcW w:w="2145" w:type="dxa"/>
          </w:tcPr>
          <w:p>
            <w:pPr>
              <w:pStyle w:val="Compact"/>
              <w:jc w:val="left"/>
            </w:pPr>
            <w:r>
              <w:rPr>
                <w:b/>
                <w:color w:val="FFFFFF"/>
                <w:sz w:val="18"/>
              </w:rPr>
              <w:t xml:space="preserve">Recommended credential</w:t>
            </w:r>
          </w:p>
        </w:tc>
        <w:tc>
          <w:tcPr>
            <w:shd w:val="clear" w:color="auto" w:fill="1B3A6B"/>
            <w:tcW w:w="2295" w:type="dxa"/>
          </w:tcPr>
          <w:p>
            <w:pPr>
              <w:pStyle w:val="Compact"/>
              <w:jc w:val="left"/>
            </w:pPr>
            <w:r>
              <w:rPr>
                <w:b/>
                <w:color w:val="FFFFFF"/>
                <w:sz w:val="18"/>
              </w:rPr>
              <w:t xml:space="preserve">Key deliverables</w:t>
            </w:r>
          </w:p>
        </w:tc>
        <w:tc>
          <w:tcPr>
            <w:shd w:val="clear" w:color="auto" w:fill="1B3A6B"/>
            <w:tcW w:w="1920" w:type="dxa"/>
          </w:tcPr>
          <w:p>
            <w:pPr>
              <w:pStyle w:val="Compact"/>
              <w:jc w:val="left"/>
            </w:pPr>
            <w:r>
              <w:rPr>
                <w:b/>
                <w:color w:val="FFFFFF"/>
                <w:sz w:val="18"/>
              </w:rPr>
              <w:t xml:space="preserve">Reports to</w:t>
            </w:r>
          </w:p>
        </w:tc>
      </w:tr>
      <w:tr>
        <w:trPr>
          <w:cantSplit/>
        </w:trPr>
        <w:tc>
          <w:tcPr>
            <w:tcW w:w="1140" w:type="dxa"/>
          </w:tcPr>
          <w:p>
            <w:pPr>
              <w:pStyle w:val="Compact"/>
              <w:jc w:val="left"/>
            </w:pPr>
            <w:r>
              <w:rPr>
                <w:sz w:val="18"/>
              </w:rPr>
              <w:t xml:space="preserve">Policy</w:t>
            </w:r>
          </w:p>
        </w:tc>
        <w:tc>
          <w:tcPr>
            <w:tcW w:w="1545" w:type="dxa"/>
          </w:tcPr>
          <w:p>
            <w:pPr>
              <w:pStyle w:val="Compact"/>
              <w:jc w:val="left"/>
            </w:pPr>
            <w:r>
              <w:rPr>
                <w:sz w:val="18"/>
              </w:rPr>
              <w:t xml:space="preserve">Policy Transformation Program Manager</w:t>
            </w:r>
          </w:p>
        </w:tc>
        <w:tc>
          <w:tcPr>
            <w:tcW w:w="2145" w:type="dxa"/>
          </w:tcPr>
          <w:p>
            <w:pPr>
              <w:pStyle w:val="Compact"/>
              <w:jc w:val="left"/>
            </w:pPr>
            <w:r>
              <w:rPr>
                <w:sz w:val="18"/>
              </w:rPr>
              <w:t xml:space="preserve">PMP + health-policy experience; PMI-ACP for agile rulemaking</w:t>
            </w:r>
          </w:p>
        </w:tc>
        <w:tc>
          <w:tcPr>
            <w:tcW w:w="2295" w:type="dxa"/>
          </w:tcPr>
          <w:p>
            <w:pPr>
              <w:pStyle w:val="Compact"/>
              <w:jc w:val="left"/>
            </w:pPr>
            <w:r>
              <w:rPr>
                <w:sz w:val="18"/>
              </w:rPr>
              <w:t xml:space="preserve">RBP methodology (FY2026); Strategic Plan (Dec 2028); monthly Act 68 compliance</w:t>
            </w:r>
          </w:p>
        </w:tc>
        <w:tc>
          <w:tcPr>
            <w:tcW w:w="1920" w:type="dxa"/>
          </w:tcPr>
          <w:p>
            <w:pPr>
              <w:pStyle w:val="Compact"/>
              <w:jc w:val="left"/>
            </w:pPr>
            <w:r>
              <w:rPr>
                <w:sz w:val="18"/>
              </w:rPr>
              <w:t xml:space="preserve">Portfolio Manager + AHS Secretary</w:t>
            </w:r>
          </w:p>
        </w:tc>
      </w:tr>
      <w:tr>
        <w:trPr/>
        <w:tc>
          <w:tcPr>
            <w:tcW w:w="1140" w:type="dxa"/>
          </w:tcPr>
          <w:p>
            <w:pPr>
              <w:pStyle w:val="Compact"/>
              <w:jc w:val="left"/>
            </w:pPr>
            <w:r>
              <w:rPr>
                <w:sz w:val="18"/>
              </w:rPr>
              <w:t xml:space="preserve">Technology</w:t>
            </w:r>
          </w:p>
        </w:tc>
        <w:tc>
          <w:tcPr>
            <w:tcW w:w="1545" w:type="dxa"/>
          </w:tcPr>
          <w:p>
            <w:pPr>
              <w:pStyle w:val="Compact"/>
              <w:jc w:val="left"/>
            </w:pPr>
            <w:r>
              <w:rPr>
                <w:sz w:val="18"/>
              </w:rPr>
              <w:t xml:space="preserve">Health IT Program Manager</w:t>
            </w:r>
          </w:p>
        </w:tc>
        <w:tc>
          <w:tcPr>
            <w:tcW w:w="2145" w:type="dxa"/>
          </w:tcPr>
          <w:p>
            <w:pPr>
              <w:pStyle w:val="Compact"/>
              <w:jc w:val="left"/>
            </w:pPr>
            <w:r>
              <w:rPr>
                <w:sz w:val="18"/>
              </w:rPr>
              <w:t xml:space="preserve">PMP + health informatics; PMI-ACP</w:t>
            </w:r>
          </w:p>
        </w:tc>
        <w:tc>
          <w:tcPr>
            <w:tcW w:w="2295" w:type="dxa"/>
          </w:tcPr>
          <w:p>
            <w:pPr>
              <w:pStyle w:val="Compact"/>
              <w:jc w:val="left"/>
            </w:pPr>
            <w:r>
              <w:rPr>
                <w:sz w:val="18"/>
              </w:rPr>
              <w:t xml:space="preserve">Analytics vendor operational (Jan 2027); CIN Phase 1 (FY2028); FHIR certified</w:t>
            </w:r>
          </w:p>
        </w:tc>
        <w:tc>
          <w:tcPr>
            <w:tcW w:w="1920" w:type="dxa"/>
          </w:tcPr>
          <w:p>
            <w:pPr>
              <w:pStyle w:val="Compact"/>
              <w:jc w:val="left"/>
            </w:pPr>
            <w:r>
              <w:rPr>
                <w:sz w:val="18"/>
              </w:rPr>
              <w:t xml:space="preserve">Portfolio Manager + AHS technology lead</w:t>
            </w:r>
          </w:p>
        </w:tc>
      </w:tr>
      <w:tr>
        <w:trPr/>
        <w:tc>
          <w:tcPr>
            <w:tcW w:w="1140" w:type="dxa"/>
          </w:tcPr>
          <w:p>
            <w:pPr>
              <w:pStyle w:val="Compact"/>
              <w:jc w:val="left"/>
            </w:pPr>
            <w:r>
              <w:rPr>
                <w:sz w:val="18"/>
              </w:rPr>
              <w:t xml:space="preserve">Economics</w:t>
            </w:r>
          </w:p>
        </w:tc>
        <w:tc>
          <w:tcPr>
            <w:tcW w:w="1545" w:type="dxa"/>
          </w:tcPr>
          <w:p>
            <w:pPr>
              <w:pStyle w:val="Compact"/>
              <w:jc w:val="left"/>
            </w:pPr>
            <w:r>
              <w:rPr>
                <w:sz w:val="18"/>
              </w:rPr>
              <w:t xml:space="preserve">Payment Reform Program Manager</w:t>
            </w:r>
          </w:p>
        </w:tc>
        <w:tc>
          <w:tcPr>
            <w:tcW w:w="2145" w:type="dxa"/>
          </w:tcPr>
          <w:p>
            <w:pPr>
              <w:pStyle w:val="Compact"/>
              <w:jc w:val="left"/>
            </w:pPr>
            <w:r>
              <w:rPr>
                <w:sz w:val="18"/>
              </w:rPr>
              <w:t xml:space="preserve">PMP + healthcare finance; actuarial/financial-modeling skills</w:t>
            </w:r>
          </w:p>
        </w:tc>
        <w:tc>
          <w:tcPr>
            <w:tcW w:w="2295" w:type="dxa"/>
          </w:tcPr>
          <w:p>
            <w:pPr>
              <w:pStyle w:val="Compact"/>
              <w:jc w:val="left"/>
            </w:pPr>
            <w:r>
              <w:rPr>
                <w:sz w:val="18"/>
              </w:rPr>
              <w:t xml:space="preserve">RBP rates in effect (FY2027); non-CAH global budgets (FY2028); EAST Fund targets</w:t>
            </w:r>
          </w:p>
        </w:tc>
        <w:tc>
          <w:tcPr>
            <w:tcW w:w="1920" w:type="dxa"/>
          </w:tcPr>
          <w:p>
            <w:pPr>
              <w:pStyle w:val="Compact"/>
              <w:jc w:val="left"/>
            </w:pPr>
            <w:r>
              <w:rPr>
                <w:sz w:val="18"/>
              </w:rPr>
              <w:t xml:space="preserve">Portfolio Manager + GMCB Executive Director</w:t>
            </w:r>
          </w:p>
        </w:tc>
      </w:tr>
      <w:tr>
        <w:trPr/>
        <w:tc>
          <w:tcPr>
            <w:tcW w:w="1140" w:type="dxa"/>
          </w:tcPr>
          <w:p>
            <w:pPr>
              <w:pStyle w:val="Compact"/>
              <w:jc w:val="left"/>
            </w:pPr>
            <w:r>
              <w:rPr>
                <w:sz w:val="18"/>
              </w:rPr>
              <w:t xml:space="preserve">Clinical</w:t>
            </w:r>
          </w:p>
        </w:tc>
        <w:tc>
          <w:tcPr>
            <w:tcW w:w="1545" w:type="dxa"/>
          </w:tcPr>
          <w:p>
            <w:pPr>
              <w:pStyle w:val="Compact"/>
              <w:jc w:val="left"/>
            </w:pPr>
            <w:r>
              <w:rPr>
                <w:sz w:val="18"/>
              </w:rPr>
              <w:t xml:space="preserve">Clinical Transformation Program Manager</w:t>
            </w:r>
          </w:p>
        </w:tc>
        <w:tc>
          <w:tcPr>
            <w:tcW w:w="2145" w:type="dxa"/>
          </w:tcPr>
          <w:p>
            <w:pPr>
              <w:pStyle w:val="Compact"/>
              <w:jc w:val="left"/>
            </w:pPr>
            <w:r>
              <w:rPr>
                <w:sz w:val="18"/>
              </w:rPr>
              <w:t xml:space="preserve">PMP + clinical background (RN/LCSW); CoCM preferred</w:t>
            </w:r>
          </w:p>
        </w:tc>
        <w:tc>
          <w:tcPr>
            <w:tcW w:w="2295" w:type="dxa"/>
          </w:tcPr>
          <w:p>
            <w:pPr>
              <w:pStyle w:val="Compact"/>
              <w:jc w:val="left"/>
            </w:pPr>
            <w:r>
              <w:rPr>
                <w:sz w:val="18"/>
              </w:rPr>
              <w:t xml:space="preserve">100% PCMH (FY2028); 5 CCBHCs (FY2026); CoCM 80%+ (FY2028)</w:t>
            </w:r>
          </w:p>
        </w:tc>
        <w:tc>
          <w:tcPr>
            <w:tcW w:w="1920" w:type="dxa"/>
          </w:tcPr>
          <w:p>
            <w:pPr>
              <w:pStyle w:val="Compact"/>
              <w:jc w:val="left"/>
            </w:pPr>
            <w:r>
              <w:rPr>
                <w:sz w:val="18"/>
              </w:rPr>
              <w:t xml:space="preserve">Portfolio Manager + Blueprint Director + DVHA Medical Director</w:t>
            </w:r>
          </w:p>
        </w:tc>
      </w:tr>
      <w:tr>
        <w:trPr/>
        <w:tc>
          <w:tcPr>
            <w:tcW w:w="1140" w:type="dxa"/>
          </w:tcPr>
          <w:p>
            <w:pPr>
              <w:pStyle w:val="Compact"/>
              <w:jc w:val="left"/>
            </w:pPr>
            <w:r>
              <w:rPr>
                <w:sz w:val="18"/>
              </w:rPr>
              <w:t xml:space="preserve">Equity</w:t>
            </w:r>
          </w:p>
        </w:tc>
        <w:tc>
          <w:tcPr>
            <w:tcW w:w="1545" w:type="dxa"/>
          </w:tcPr>
          <w:p>
            <w:pPr>
              <w:pStyle w:val="Compact"/>
              <w:jc w:val="left"/>
            </w:pPr>
            <w:r>
              <w:rPr>
                <w:sz w:val="18"/>
              </w:rPr>
              <w:t xml:space="preserve">Health Equity Program Manager</w:t>
            </w:r>
          </w:p>
        </w:tc>
        <w:tc>
          <w:tcPr>
            <w:tcW w:w="2145" w:type="dxa"/>
          </w:tcPr>
          <w:p>
            <w:pPr>
              <w:pStyle w:val="Compact"/>
              <w:jc w:val="left"/>
            </w:pPr>
            <w:r>
              <w:rPr>
                <w:sz w:val="18"/>
              </w:rPr>
              <w:t xml:space="preserve">PMP + public-health/equity background; HEROI</w:t>
            </w:r>
          </w:p>
        </w:tc>
        <w:tc>
          <w:tcPr>
            <w:tcW w:w="2295" w:type="dxa"/>
          </w:tcPr>
          <w:p>
            <w:pPr>
              <w:pStyle w:val="Compact"/>
              <w:jc w:val="left"/>
            </w:pPr>
            <w:r>
              <w:rPr>
                <w:sz w:val="18"/>
              </w:rPr>
              <w:t xml:space="preserve">SRA methodology (FY2028); HEROI baseline (FY2027); SDOH data in VHCURES</w:t>
            </w:r>
          </w:p>
        </w:tc>
        <w:tc>
          <w:tcPr>
            <w:tcW w:w="1920" w:type="dxa"/>
          </w:tcPr>
          <w:p>
            <w:pPr>
              <w:pStyle w:val="Compact"/>
              <w:jc w:val="left"/>
            </w:pPr>
            <w:r>
              <w:rPr>
                <w:sz w:val="18"/>
              </w:rPr>
              <w:t xml:space="preserve">Portfolio Manager + Office of Health Equity</w:t>
            </w:r>
          </w:p>
        </w:tc>
      </w:tr>
      <w:tr>
        <w:trPr>
          <w:cantSplit/>
        </w:trPr>
        <w:tc>
          <w:tcPr>
            <w:tcW w:w="1140" w:type="dxa"/>
          </w:tcPr>
          <w:p>
            <w:pPr>
              <w:pStyle w:val="Compact"/>
              <w:jc w:val="left"/>
            </w:pPr>
            <w:r>
              <w:rPr>
                <w:sz w:val="18"/>
              </w:rPr>
              <w:t xml:space="preserve">Operations</w:t>
            </w:r>
          </w:p>
        </w:tc>
        <w:tc>
          <w:tcPr>
            <w:tcW w:w="1545" w:type="dxa"/>
          </w:tcPr>
          <w:p>
            <w:pPr>
              <w:pStyle w:val="Compact"/>
              <w:jc w:val="left"/>
            </w:pPr>
            <w:r>
              <w:rPr>
                <w:sz w:val="18"/>
              </w:rPr>
              <w:t xml:space="preserve">Hospital Transformation Program Manager</w:t>
            </w:r>
          </w:p>
        </w:tc>
        <w:tc>
          <w:tcPr>
            <w:tcW w:w="2145" w:type="dxa"/>
          </w:tcPr>
          <w:p>
            <w:pPr>
              <w:pStyle w:val="Compact"/>
              <w:jc w:val="left"/>
            </w:pPr>
            <w:r>
              <w:rPr>
                <w:sz w:val="18"/>
              </w:rPr>
              <w:t xml:space="preserve">PMP + hospital-operations/turnaround experience</w:t>
            </w:r>
          </w:p>
        </w:tc>
        <w:tc>
          <w:tcPr>
            <w:tcW w:w="2295" w:type="dxa"/>
          </w:tcPr>
          <w:p>
            <w:pPr>
              <w:pStyle w:val="Compact"/>
              <w:jc w:val="left"/>
            </w:pPr>
            <w:r>
              <w:rPr>
                <w:sz w:val="18"/>
              </w:rPr>
              <w:t xml:space="preserve">14 plans approved (FY2026); HSA coordinators staffed (FY2027); PMO operational (Q1 2027)</w:t>
            </w:r>
          </w:p>
        </w:tc>
        <w:tc>
          <w:tcPr>
            <w:tcW w:w="1920" w:type="dxa"/>
          </w:tcPr>
          <w:p>
            <w:pPr>
              <w:pStyle w:val="Compact"/>
              <w:jc w:val="left"/>
            </w:pPr>
            <w:r>
              <w:rPr>
                <w:sz w:val="18"/>
              </w:rPr>
              <w:t xml:space="preserve">Portfolio Manager + AHS Secretary</w:t>
            </w:r>
          </w:p>
        </w:tc>
      </w:tr>
    </w:tbl>
    <w:p>
      <w:pPr>
        <w:pStyle w:val="Caption"/>
        <w:spacing w:before="120"/>
      </w:pPr>
      <w:r>
        <w:rPr>
          <w:i/>
          <w:iCs/>
        </w:rPr>
        <w:t xml:space="preserve">Figure 15.4 — Pillar-level role matrix. Sources: PMI credential requirements; Act 68 governance structure; Vermont RHT Program organizational design.</w:t>
      </w:r>
    </w:p>
    <w:p>
      <w:pPr>
        <w:pStyle w:val="Heading2"/>
        <w:pBdr>
          <w:top w:val="single" w:sz="6" w:space="10" w:color="C9D2DF"/>
        </w:pBdr>
      </w:pPr>
      <w:r>
        <w:rPr>
          <w:color w:val="161B22"/>
        </w:rPr>
        <w:t xml:space="preserve">15.6  </w:t>
      </w:r>
      <w:bookmarkStart w:id="1415" w:name="_Toc1414"/>
      <w:r>
        <w:rPr>
          <w:b/>
          <w:bCs/>
          <w:color w:val="161B22"/>
        </w:rPr>
        <w:t xml:space="preserve">Governance Architecture and the Ten Knowledge Areas</w:t>
      </w:r>
      <w:bookmarkEnd w:id="1415"/>
    </w:p>
    <w:p>
      <w:pPr>
        <w:pStyle w:val="FirstParagraph"/>
      </w:pPr>
      <w: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2–3 PMO analysts, portfolio-management software, standardized reporting, six pillar Program Managers, and formalized project leads for all 19 components.</w:t>
      </w:r>
    </w:p>
    <w:p>
      <w:pPr>
        <w:pStyle w:val="BodyText"/>
      </w:pPr>
      <w:r>
        <w:t xml:space="preserve">Mapping the ten PMI knowledge areas to Vermont’s situation reveals the consistent gap: the book addresses each knowledge area analytically, but Vermont lacks the operational infrastructure to manage it. There is no formal work-breakdown structure for any pillar; statutory deadlines are tracked in isolation rather than as an integrated master schedule; RHT spending is tracked for federal compliance rather than portfolio performance; quality is measured program-by-program without portfolio aggregation; AHS staff are overcommitted with no formal resource leveling; communications, procurement, and stakeholder management all operate at the component level without a portfolio-level strategy; and risk is analyzed in this book but not managed operationally through a maintained register. Integration management — the dependency map, the execution sequence, the scorecard — exists analytically; operational integration does not yet exist.</w:t>
      </w:r>
    </w:p>
    <w:p>
      <w:pPr>
        <w:pStyle w:val="Heading2"/>
        <w:pBdr>
          <w:top w:val="single" w:sz="6" w:space="10" w:color="C9D2DF"/>
        </w:pBdr>
      </w:pPr>
      <w:r>
        <w:rPr>
          <w:color w:val="161B22"/>
        </w:rPr>
        <w:t xml:space="preserve">15.7  </w:t>
      </w:r>
      <w:bookmarkStart w:id="1416" w:name="_Toc1415"/>
      <w:r>
        <w:rPr>
          <w:b/>
          <w:bCs/>
          <w:color w:val="161B22"/>
        </w:rPr>
        <w:t xml:space="preserve">Portfolio Sequence Is Dependency Sequence</w:t>
      </w:r>
      <w:bookmarkEnd w:id="1416"/>
    </w:p>
    <w:p>
      <w:pPr>
        <w:pStyle w:val="FirstParagraph"/>
      </w:pPr>
      <w:r>
        <w:t xml:space="preserve">The nineteen components are not a flat list of work to be scheduled by deadline</w:t>
      </w:r>
      <w:r>
        <w:t xml:space="preserve"> </w:t>
      </w:r>
      <w:r>
        <w:t xml:space="preserve">and resource availability. They inherit an order from the dependency structure</w:t>
      </w:r>
      <w:r>
        <w:t xml:space="preserve"> </w:t>
      </w:r>
      <w:r>
        <w:t xml:space="preserve">established in Chapter 1, and a portfolio manager who schedules them by</w:t>
      </w:r>
      <w:r>
        <w:t xml:space="preserve"> </w:t>
      </w:r>
      <w:r>
        <w:t xml:space="preserve">statutory date alone will produce exactly the failures that chapter documents.</w:t>
      </w:r>
    </w:p>
    <w:p>
      <w:pPr>
        <w:pStyle w:val="BodyText"/>
      </w:pPr>
      <w:r>
        <w:t xml:space="preserve">Read Figure 15.3 by its first column and the point is immediate: the components</w:t>
      </w:r>
      <w:r>
        <w:t xml:space="preserve"> </w:t>
      </w:r>
      <w:r>
        <w:t xml:space="preserve">are already grouped by pillar. What the PMI framing adds is that each pillar’s</w:t>
      </w:r>
      <w:r>
        <w:t xml:space="preserve"> </w:t>
      </w:r>
      <w:r>
        <w:t xml:space="preserve">components carry the</w:t>
      </w:r>
      <w:r>
        <w:t xml:space="preserve"> </w:t>
      </w:r>
      <w:r>
        <w:rPr>
          <w:i/>
          <w:iCs/>
        </w:rPr>
        <w:t xml:space="preserve">inbound dependencies of that pillar</w:t>
      </w:r>
      <w:r>
        <w:t xml:space="preserve">. The Economics</w:t>
      </w:r>
      <w:r>
        <w:t xml:space="preserve"> </w:t>
      </w:r>
      <w:r>
        <w:t xml:space="preserve">components — RBP implementation, global-budget design, EAST Fund deployment —</w:t>
      </w:r>
      <w:r>
        <w:t xml:space="preserve"> </w:t>
      </w:r>
      <w:r>
        <w:t xml:space="preserve">cannot be productively worked before the Technology components that make them</w:t>
      </w:r>
      <w:r>
        <w:t xml:space="preserve"> </w:t>
      </w:r>
      <w:r>
        <w:t xml:space="preserve">measurable. That is not a scheduling preference. It is the same critical-path</w:t>
      </w:r>
      <w:r>
        <w:t xml:space="preserve"> </w:t>
      </w:r>
      <w:r>
        <w:t xml:space="preserve">constraint that produced the OneCare failure in Section 1.2, restated in</w:t>
      </w:r>
      <w:r>
        <w:t xml:space="preserve"> </w:t>
      </w:r>
      <w:r>
        <w:t xml:space="preserve">portfolio terms.</w:t>
      </w:r>
    </w:p>
    <w:p>
      <w:pPr>
        <w:pStyle w:val="BodyText"/>
      </w:pPr>
      <w:r>
        <w:t xml:space="preserve">This gives the portfolio manager a decision rule that a Gantt chart does not:</w:t>
      </w:r>
    </w:p>
    <w:p>
      <w:pPr>
        <w:pStyle w:val="BodyText"/>
        <w:keepNext w:val="false"/>
      </w:pPr>
      <w:r>
        <w:rPr>
          <w:b/>
          <w:bCs/>
        </w:rPr>
        <w:t xml:space="preserve">A component whose upstream pillar gate is still closed is not</w:t>
      </w:r>
      <w:r>
        <w:rPr>
          <w:b/>
          <w:bCs/>
        </w:rPr>
        <w:t xml:space="preserve"> </w:t>
      </w:r>
      <w:r>
        <w:rPr>
          <w:b/>
          <w:bCs/>
        </w:rPr>
        <w:t xml:space="preserve">“behind</w:t>
      </w:r>
      <w:r>
        <w:rPr>
          <w:b/>
          <w:bCs/>
        </w:rPr>
        <w:t xml:space="preserve"> </w:t>
      </w:r>
      <w:r>
        <w:rPr>
          <w:b/>
          <w:bCs/>
        </w:rPr>
        <w:t xml:space="preserve">schedule.”</w:t>
      </w:r>
      <w:r>
        <w:rPr>
          <w:b/>
          <w:bCs/>
        </w:rPr>
        <w:t xml:space="preserve"> </w:t>
      </w:r>
      <w:r>
        <w:rPr>
          <w:b/>
          <w:bCs/>
        </w:rPr>
        <w:t xml:space="preserve">It is correctly waiting.</w:t>
      </w:r>
      <w:r>
        <w:t xml:space="preserve"> </w:t>
      </w:r>
      <w:r>
        <w:t xml:space="preserve">Accelerating it consumes budget and</w:t>
      </w:r>
      <w:r>
        <w:t xml:space="preserve"> </w:t>
      </w:r>
      <w:r>
        <w:t xml:space="preserve">political capital to produce output nobody can use. The AHS-GMCB analytics</w:t>
      </w:r>
      <w:r>
        <w:t xml:space="preserve"> </w:t>
      </w:r>
      <w:r>
        <w:t xml:space="preserve">deployment is the clearest case — it is the single highest-risk component in</w:t>
      </w:r>
      <w:r>
        <w:t xml:space="preserve"> </w:t>
      </w:r>
      <w:r>
        <w:t xml:space="preserve">the register (R-01) precisely because three downstream components converge on</w:t>
      </w:r>
      <w:r>
        <w:t xml:space="preserve"> </w:t>
      </w:r>
      <w:r>
        <w:t xml:space="preserve">it, not because its own deadline is nearest.</w:t>
      </w:r>
    </w:p>
    <w:p>
      <w:pPr>
        <w:pStyle w:val="BodyText"/>
        <w:keepNext w:val="false"/>
      </w:pPr>
      <w:r>
        <w:t xml:space="preserve">The inverse rule matters as much.</w:t>
      </w:r>
      <w:r>
        <w:t xml:space="preserve"> </w:t>
      </w:r>
      <w:r>
        <w:rPr>
          <w:b/>
          <w:bCs/>
        </w:rPr>
        <w:t xml:space="preserve">A component with no unmet upstream</w:t>
      </w:r>
      <w:r>
        <w:rPr>
          <w:b/>
          <w:bCs/>
        </w:rPr>
        <w:t xml:space="preserve"> </w:t>
      </w:r>
      <w:r>
        <w:rPr>
          <w:b/>
          <w:bCs/>
        </w:rPr>
        <w:t xml:space="preserve">dependency should be running now, regardless of how distant its own deadline</w:t>
      </w:r>
      <w:r>
        <w:rPr>
          <w:b/>
          <w:bCs/>
        </w:rPr>
        <w:t xml:space="preserve"> </w:t>
      </w:r>
      <w:r>
        <w:rPr>
          <w:b/>
          <w:bCs/>
        </w:rPr>
        <w:t xml:space="preserve">is.</w:t>
      </w:r>
      <w:r>
        <w:t xml:space="preserve"> </w:t>
      </w:r>
      <w:r>
        <w:t xml:space="preserve">Social-risk-adjustment methodology (R-08) has a FY2028 target and no</w:t>
      </w:r>
      <w:r>
        <w:t xml:space="preserve"> </w:t>
      </w:r>
      <w:r>
        <w:t xml:space="preserve">upstream blocker; it can and should proceed in parallel today. Treating it as a</w:t>
      </w:r>
      <w:r>
        <w:t xml:space="preserve"> </w:t>
      </w:r>
      <w:r>
        <w:t xml:space="preserve">FY2028 problem because that is when it is due is the scheduling error that</w:t>
      </w:r>
      <w:r>
        <w:t xml:space="preserve"> </w:t>
      </w:r>
      <w:r>
        <w:t xml:space="preserve">leaves equity work perpetually late.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THE PORTFOLIO MANAGER’S SEQUENCING TEST</w:t>
            </w:r>
          </w:p>
          <w:p>
            <w:pPr>
              <w:spacing w:after="60" w:line="264" w:lineRule="auto"/>
            </w:pPr>
            <w:r>
              <w:rPr>
                <w:sz w:val="20"/>
                <w:szCs w:val="20"/>
              </w:rPr>
              <w:t xml:space="preserve">For each component, in order:</w:t>
            </w:r>
          </w:p>
          <w:p>
            <w:pPr>
              <w:numPr>
                <w:ilvl w:val="0"/>
                <w:numId w:val="1033"/>
              </w:numPr>
              <w:spacing w:after="60" w:line="264" w:lineRule="auto"/>
            </w:pPr>
            <w:r>
              <w:rPr>
                <w:b/>
                <w:bCs/>
                <w:sz w:val="20"/>
                <w:szCs w:val="20"/>
              </w:rPr>
              <w:t xml:space="preserve">Which pillar does it belong to?</w:t>
            </w:r>
            <w:r>
              <w:rPr>
                <w:sz w:val="20"/>
                <w:szCs w:val="20"/>
              </w:rPr>
              <w:t xml:space="preserve"> </w:t>
            </w:r>
            <w:r>
              <w:rPr>
                <w:sz w:val="20"/>
                <w:szCs w:val="20"/>
              </w:rPr>
              <w:t xml:space="preserve">(Figure 15.3, column one.)</w:t>
            </w:r>
          </w:p>
          <w:p>
            <w:pPr>
              <w:numPr>
                <w:ilvl w:val="0"/>
                <w:numId w:val="1033"/>
              </w:numPr>
              <w:spacing w:after="60" w:line="264" w:lineRule="auto"/>
            </w:pPr>
            <w:r>
              <w:rPr>
                <w:b/>
                <w:bCs/>
                <w:sz w:val="20"/>
                <w:szCs w:val="20"/>
              </w:rPr>
              <w:t xml:space="preserve">Is that pillar’s upstream gate open?</w:t>
            </w:r>
            <w:r>
              <w:rPr>
                <w:sz w:val="20"/>
                <w:szCs w:val="20"/>
              </w:rPr>
              <w:t xml:space="preserve"> </w:t>
            </w:r>
            <w:r>
              <w:rPr>
                <w:sz w:val="20"/>
                <w:szCs w:val="20"/>
              </w:rPr>
              <w:t xml:space="preserve">(Section 1.2’s gate definition:</w:t>
            </w:r>
            <w:r>
              <w:rPr>
                <w:sz w:val="20"/>
                <w:szCs w:val="20"/>
              </w:rPr>
              <w:t xml:space="preserve"> </w:t>
            </w:r>
            <w:r>
              <w:rPr>
                <w:sz w:val="20"/>
                <w:szCs w:val="20"/>
              </w:rPr>
              <w:t xml:space="preserve">open means the enabling work is finished, not that a milestone was declared.)</w:t>
            </w:r>
          </w:p>
          <w:p>
            <w:pPr>
              <w:numPr>
                <w:ilvl w:val="0"/>
                <w:numId w:val="1033"/>
              </w:numPr>
              <w:spacing w:after="60" w:line="264" w:lineRule="auto"/>
            </w:pPr>
            <w:r>
              <w:rPr>
                <w:b/>
                <w:bCs/>
                <w:sz w:val="20"/>
                <w:szCs w:val="20"/>
              </w:rPr>
              <w:t xml:space="preserve">If closed — what is the gating component, and is it resourced?</w:t>
            </w:r>
            <w:r>
              <w:rPr>
                <w:sz w:val="20"/>
                <w:szCs w:val="20"/>
              </w:rPr>
              <w:t xml:space="preserve"> </w:t>
            </w:r>
            <w:r>
              <w:rPr>
                <w:sz w:val="20"/>
                <w:szCs w:val="20"/>
              </w:rPr>
              <w:t xml:space="preserve">That component, not this one, is where the schedule pressure belongs.</w:t>
            </w:r>
          </w:p>
          <w:p>
            <w:pPr>
              <w:numPr>
                <w:ilvl w:val="0"/>
                <w:numId w:val="1033"/>
              </w:numPr>
              <w:spacing w:after="60" w:line="264" w:lineRule="auto"/>
            </w:pPr>
            <w:r>
              <w:rPr>
                <w:b/>
                <w:bCs/>
                <w:sz w:val="20"/>
                <w:szCs w:val="20"/>
              </w:rPr>
              <w:t xml:space="preserve">If open — is this component running?</w:t>
            </w:r>
            <w:r>
              <w:rPr>
                <w:sz w:val="20"/>
                <w:szCs w:val="20"/>
              </w:rPr>
              <w:t xml:space="preserve"> </w:t>
            </w:r>
            <w:r>
              <w:rPr>
                <w:sz w:val="20"/>
                <w:szCs w:val="20"/>
              </w:rPr>
              <w:t xml:space="preserve">If not, it is late by dependency</w:t>
            </w:r>
            <w:r>
              <w:rPr>
                <w:sz w:val="20"/>
                <w:szCs w:val="20"/>
              </w:rPr>
              <w:t xml:space="preserve"> </w:t>
            </w:r>
            <w:r>
              <w:rPr>
                <w:sz w:val="20"/>
                <w:szCs w:val="20"/>
              </w:rPr>
              <w:t xml:space="preserve">order even when it is early by calendar.</w:t>
            </w:r>
          </w:p>
          <w:p>
            <w:pPr>
              <w:spacing w:after="60" w:line="264" w:lineRule="auto"/>
            </w:pPr>
            <w:r>
              <w:rPr>
                <w:sz w:val="20"/>
                <w:szCs w:val="20"/>
              </w:rPr>
              <w:t xml:space="preserve">Applied across all nineteen, this test produces the portfolio’s true critical</w:t>
            </w:r>
            <w:r>
              <w:rPr>
                <w:sz w:val="20"/>
                <w:szCs w:val="20"/>
              </w:rPr>
              <w:t xml:space="preserve"> </w:t>
            </w:r>
            <w:r>
              <w:rPr>
                <w:sz w:val="20"/>
                <w:szCs w:val="20"/>
              </w:rPr>
              <w:t xml:space="preserve">path, which will not match the order of statutory deadlines.</w:t>
            </w:r>
          </w:p>
        </w:tc>
      </w:tr>
    </w:tbl>
    <w:p>
      <w:pPr>
        <w:spacing w:after="120"/>
      </w:pPr>
    </w:p>
    <w:p>
      <w:pPr>
        <w:pStyle w:val="Heading2"/>
        <w:pBdr>
          <w:top w:val="single" w:sz="6" w:space="10" w:color="C9D2DF"/>
        </w:pBdr>
      </w:pPr>
      <w:r>
        <w:rPr>
          <w:color w:val="161B22"/>
        </w:rPr>
        <w:t xml:space="preserve">15.8  </w:t>
      </w:r>
      <w:bookmarkStart w:id="1417" w:name="_Toc1416"/>
      <w:r>
        <w:rPr>
          <w:b/>
          <w:bCs/>
          <w:color w:val="161B22"/>
        </w:rPr>
        <w:t xml:space="preserve">Predictive vs. Adaptive Approaches</w:t>
      </w:r>
      <w:bookmarkEnd w:id="1417"/>
    </w:p>
    <w:p>
      <w:pPr>
        <w:pStyle w:val="FirstParagraph"/>
        <w:keepNext w:val="false"/>
      </w:pPr>
      <w: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Blueprint/AHEAD practice transition (practice-by-practice iteration), and HEROI methodology (iterating as data quality improves). The 14-hospital planning effort is hybrid — fixed deliverables, hospital-specific iterative content. PMP credentials map to the predictive components; PMI-ACP to the adaptive ones.</w:t>
      </w:r>
    </w:p>
    <w:p>
      <w:pPr>
        <w:pStyle w:val="Heading2"/>
        <w:pBdr>
          <w:top w:val="single" w:sz="6" w:space="10" w:color="C9D2DF"/>
        </w:pBdr>
        <w:keepNext w:val="false"/>
      </w:pPr>
      <w:r>
        <w:rPr>
          <w:color w:val="161B22"/>
        </w:rPr>
        <w:t xml:space="preserve">15.9  </w:t>
      </w:r>
      <w:bookmarkStart w:id="1418" w:name="_Toc1417"/>
      <w:r>
        <w:rPr>
          <w:b/>
          <w:bCs/>
          <w:color w:val="161B22"/>
        </w:rPr>
        <w:t xml:space="preserve">The Portfolio Risk Register</w:t>
      </w:r>
      <w:bookmarkEnd w:id="1418"/>
    </w:p>
    <w:tbl>
      <w:tblPr>
        <w:tblStyle w:val="HTRTable"/>
        <w:tblLook w:firstRow="1" w:lastRow="0" w:firstColumn="0" w:lastColumn="0" w:noHBand="0" w:noVBand="1" w:val="0020"/>
        <w:tblW w:w="9072" w:type="dxa"/>
        <w:tblLayout w:type="fixed"/>
      </w:tblPr>
      <w:tblGrid>
        <w:gridCol w:w="585"/>
        <w:gridCol w:w="1905"/>
        <w:gridCol w:w="870"/>
        <w:gridCol w:w="975"/>
        <w:gridCol w:w="810"/>
        <w:gridCol w:w="675"/>
        <w:gridCol w:w="2190"/>
        <w:gridCol w:w="1035"/>
      </w:tblGrid>
      <w:tr>
        <w:trPr>
          <w:tblHeader w:val="on"/>
          <w:cantSplit/>
        </w:trPr>
        <w:tc>
          <w:tcPr>
            <w:shd w:val="clear" w:color="auto" w:fill="1B3A6B"/>
            <w:tcW w:w="585" w:type="dxa"/>
          </w:tcPr>
          <w:p>
            <w:pPr>
              <w:pStyle w:val="Compact"/>
              <w:spacing w:before="0" w:after="0" w:line="240" w:lineRule="auto"/>
              <w:jc w:val="left"/>
            </w:pPr>
            <w:r>
              <w:rPr>
                <w:b/>
                <w:color w:val="FFFFFF"/>
                <w:sz w:val="17"/>
              </w:rPr>
              <w:t xml:space="preserve">ID</w:t>
            </w:r>
          </w:p>
        </w:tc>
        <w:tc>
          <w:tcPr>
            <w:shd w:val="clear" w:color="auto" w:fill="1B3A6B"/>
            <w:tcW w:w="1905" w:type="dxa"/>
          </w:tcPr>
          <w:p>
            <w:pPr>
              <w:pStyle w:val="Compact"/>
              <w:spacing w:before="0" w:after="0" w:line="240" w:lineRule="auto"/>
              <w:jc w:val="left"/>
            </w:pPr>
            <w:r>
              <w:rPr>
                <w:b/>
                <w:color w:val="FFFFFF"/>
                <w:sz w:val="17"/>
              </w:rPr>
              <w:t xml:space="preserve">Risk</w:t>
            </w:r>
          </w:p>
        </w:tc>
        <w:tc>
          <w:tcPr>
            <w:shd w:val="clear" w:color="auto" w:fill="1B3A6B"/>
            <w:tcW w:w="870" w:type="dxa"/>
          </w:tcPr>
          <w:p>
            <w:pPr>
              <w:pStyle w:val="Compact"/>
              <w:spacing w:before="0" w:after="0" w:line="240" w:lineRule="auto"/>
              <w:jc w:val="left"/>
            </w:pPr>
            <w:r>
              <w:rPr>
                <w:b/>
                <w:color w:val="FFFFFF"/>
                <w:sz w:val="17"/>
              </w:rPr>
              <w:t xml:space="preserve">Pillars</w:t>
            </w:r>
          </w:p>
        </w:tc>
        <w:tc>
          <w:tcPr>
            <w:shd w:val="clear" w:color="auto" w:fill="1B3A6B"/>
            <w:tcW w:w="975" w:type="dxa"/>
          </w:tcPr>
          <w:p>
            <w:pPr>
              <w:pStyle w:val="Compact"/>
              <w:spacing w:before="0" w:after="0" w:line="240" w:lineRule="auto"/>
              <w:jc w:val="left"/>
            </w:pPr>
            <w:r>
              <w:rPr>
                <w:b/>
                <w:color w:val="FFFFFF"/>
                <w:sz w:val="17"/>
              </w:rPr>
              <w:t xml:space="preserve">Prob.</w:t>
            </w:r>
          </w:p>
        </w:tc>
        <w:tc>
          <w:tcPr>
            <w:shd w:val="clear" w:color="auto" w:fill="1B3A6B"/>
            <w:tcW w:w="810" w:type="dxa"/>
          </w:tcPr>
          <w:p>
            <w:pPr>
              <w:pStyle w:val="Compact"/>
              <w:spacing w:before="0" w:after="0" w:line="240" w:lineRule="auto"/>
              <w:jc w:val="left"/>
            </w:pPr>
            <w:r>
              <w:rPr>
                <w:b/>
                <w:color w:val="FFFFFF"/>
                <w:sz w:val="17"/>
              </w:rPr>
              <w:t xml:space="preserve">Impact</w:t>
            </w:r>
          </w:p>
        </w:tc>
        <w:tc>
          <w:tcPr>
            <w:shd w:val="clear" w:color="auto" w:fill="1B3A6B"/>
            <w:tcW w:w="675" w:type="dxa"/>
          </w:tcPr>
          <w:p>
            <w:pPr>
              <w:pStyle w:val="Compact"/>
              <w:spacing w:before="0" w:after="0" w:line="240" w:lineRule="auto"/>
              <w:jc w:val="left"/>
            </w:pPr>
            <w:r>
              <w:rPr>
                <w:b/>
                <w:color w:val="FFFFFF"/>
                <w:sz w:val="17"/>
              </w:rPr>
              <w:t xml:space="preserve">Score</w:t>
            </w:r>
          </w:p>
        </w:tc>
        <w:tc>
          <w:tcPr>
            <w:shd w:val="clear" w:color="auto" w:fill="1B3A6B"/>
            <w:tcW w:w="2190" w:type="dxa"/>
          </w:tcPr>
          <w:p>
            <w:pPr>
              <w:pStyle w:val="Compact"/>
              <w:spacing w:before="0" w:after="0" w:line="240" w:lineRule="auto"/>
              <w:jc w:val="left"/>
            </w:pPr>
            <w:r>
              <w:rPr>
                <w:b/>
                <w:color w:val="FFFFFF"/>
                <w:sz w:val="17"/>
              </w:rPr>
              <w:t xml:space="preserve">Response</w:t>
            </w:r>
          </w:p>
        </w:tc>
        <w:tc>
          <w:tcPr>
            <w:shd w:val="clear" w:color="auto" w:fill="1B3A6B"/>
            <w:tcW w:w="1035" w:type="dxa"/>
          </w:tcPr>
          <w:p>
            <w:pPr>
              <w:pStyle w:val="Compact"/>
              <w:spacing w:before="0" w:after="0" w:line="240" w:lineRule="auto"/>
              <w:jc w:val="left"/>
            </w:pPr>
            <w:r>
              <w:rPr>
                <w:b/>
                <w:color w:val="FFFFFF"/>
                <w:sz w:val="17"/>
              </w:rPr>
              <w:t xml:space="preserve">Owner</w:t>
            </w:r>
          </w:p>
        </w:tc>
      </w:tr>
      <w:tr>
        <w:trPr>
          <w:cantSplit/>
        </w:trPr>
        <w:tc>
          <w:tcPr>
            <w:tcW w:w="585" w:type="dxa"/>
          </w:tcPr>
          <w:p>
            <w:pPr>
              <w:pStyle w:val="Compact"/>
              <w:spacing w:before="0" w:after="0" w:line="240" w:lineRule="auto"/>
              <w:jc w:val="left"/>
            </w:pPr>
            <w:r>
              <w:rPr>
                <w:sz w:val="17"/>
              </w:rPr>
              <w:t xml:space="preserve">R-01</w:t>
            </w:r>
          </w:p>
        </w:tc>
        <w:tc>
          <w:tcPr>
            <w:tcW w:w="1905" w:type="dxa"/>
          </w:tcPr>
          <w:p>
            <w:pPr>
              <w:pStyle w:val="Compact"/>
              <w:spacing w:before="0" w:after="0" w:line="240" w:lineRule="auto"/>
              <w:jc w:val="left"/>
            </w:pPr>
            <w:r>
              <w:rPr>
                <w:sz w:val="17"/>
              </w:rPr>
              <w:t xml:space="preserve">Analytics vendor not operational by Jan 2027; hospitals enter AHEAD without financial-management capability</w:t>
            </w:r>
          </w:p>
        </w:tc>
        <w:tc>
          <w:tcPr>
            <w:tcW w:w="870" w:type="dxa"/>
          </w:tcPr>
          <w:p>
            <w:pPr>
              <w:pStyle w:val="Compact"/>
              <w:spacing w:before="0" w:after="0" w:line="240" w:lineRule="auto"/>
              <w:jc w:val="left"/>
            </w:pPr>
            <w:r>
              <w:rPr>
                <w:sz w:val="17"/>
              </w:rPr>
              <w:t xml:space="preserve">Tech, Econ</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20</w:t>
            </w:r>
          </w:p>
        </w:tc>
        <w:tc>
          <w:tcPr>
            <w:tcW w:w="2190" w:type="dxa"/>
          </w:tcPr>
          <w:p>
            <w:pPr>
              <w:pStyle w:val="Compact"/>
              <w:spacing w:before="0" w:after="0" w:line="240" w:lineRule="auto"/>
              <w:jc w:val="left"/>
            </w:pPr>
            <w:r>
              <w:rPr>
                <w:sz w:val="17"/>
              </w:rPr>
              <w:t xml:space="preserve">Accelerate: parallel VHCURES direct-access; HCC gap closure as compensating investment</w:t>
            </w:r>
          </w:p>
        </w:tc>
        <w:tc>
          <w:tcPr>
            <w:tcW w:w="1035" w:type="dxa"/>
          </w:tcPr>
          <w:p>
            <w:pPr>
              <w:pStyle w:val="Compact"/>
              <w:spacing w:before="0" w:after="0" w:line="240" w:lineRule="auto"/>
              <w:jc w:val="left"/>
            </w:pPr>
            <w:r>
              <w:rPr>
                <w:sz w:val="17"/>
              </w:rPr>
              <w:t xml:space="preserve">Tech PM + Portfolio Mgr</w:t>
            </w:r>
          </w:p>
        </w:tc>
      </w:tr>
      <w:tr>
        <w:trPr/>
        <w:tc>
          <w:tcPr>
            <w:tcW w:w="585" w:type="dxa"/>
          </w:tcPr>
          <w:p>
            <w:pPr>
              <w:pStyle w:val="Compact"/>
              <w:spacing w:before="0" w:after="0" w:line="240" w:lineRule="auto"/>
              <w:jc w:val="left"/>
            </w:pPr>
            <w:r>
              <w:rPr>
                <w:sz w:val="17"/>
              </w:rPr>
              <w:t xml:space="preserve">R-02</w:t>
            </w:r>
          </w:p>
        </w:tc>
        <w:tc>
          <w:tcPr>
            <w:tcW w:w="1905" w:type="dxa"/>
          </w:tcPr>
          <w:p>
            <w:pPr>
              <w:pStyle w:val="Compact"/>
              <w:spacing w:before="0" w:after="0" w:line="240" w:lineRule="auto"/>
              <w:jc w:val="left"/>
            </w:pPr>
            <w:r>
              <w:rPr>
                <w:sz w:val="17"/>
              </w:rPr>
              <w:t xml:space="preserve">RBP methodology hollowed by regulatory process; no meaningful repricing</w:t>
            </w:r>
          </w:p>
        </w:tc>
        <w:tc>
          <w:tcPr>
            <w:tcW w:w="870" w:type="dxa"/>
          </w:tcPr>
          <w:p>
            <w:pPr>
              <w:pStyle w:val="Compact"/>
              <w:spacing w:before="0" w:after="0" w:line="240" w:lineRule="auto"/>
              <w:jc w:val="left"/>
            </w:pPr>
            <w:r>
              <w:rPr>
                <w:sz w:val="17"/>
              </w:rPr>
              <w:t xml:space="preserve">Policy, Econ</w:t>
            </w:r>
          </w:p>
        </w:tc>
        <w:tc>
          <w:tcPr>
            <w:tcW w:w="975" w:type="dxa"/>
          </w:tcPr>
          <w:p>
            <w:pPr>
              <w:pStyle w:val="Compact"/>
              <w:spacing w:before="0" w:after="0" w:line="240" w:lineRule="auto"/>
              <w:jc w:val="left"/>
            </w:pPr>
            <w:r>
              <w:rPr>
                <w:sz w:val="17"/>
              </w:rPr>
              <w:t xml:space="preserve">Medium</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15</w:t>
            </w:r>
          </w:p>
        </w:tc>
        <w:tc>
          <w:tcPr>
            <w:tcW w:w="2190" w:type="dxa"/>
          </w:tcPr>
          <w:p>
            <w:pPr>
              <w:pStyle w:val="Compact"/>
              <w:spacing w:before="0" w:after="0" w:line="240" w:lineRule="auto"/>
              <w:jc w:val="left"/>
            </w:pPr>
            <w:r>
              <w:rPr>
                <w:sz w:val="17"/>
              </w:rPr>
              <w:t xml:space="preserve">Mitigate: hospital data submission; equity review embedded; HCAC oversight</w:t>
            </w:r>
          </w:p>
        </w:tc>
        <w:tc>
          <w:tcPr>
            <w:tcW w:w="1035" w:type="dxa"/>
          </w:tcPr>
          <w:p>
            <w:pPr>
              <w:pStyle w:val="Compact"/>
              <w:spacing w:before="0" w:after="0" w:line="240" w:lineRule="auto"/>
              <w:jc w:val="left"/>
            </w:pPr>
            <w:r>
              <w:rPr>
                <w:sz w:val="17"/>
              </w:rPr>
              <w:t xml:space="preserve">Policy PM + GMCB</w:t>
            </w:r>
          </w:p>
        </w:tc>
      </w:tr>
      <w:tr>
        <w:trPr/>
        <w:tc>
          <w:tcPr>
            <w:tcW w:w="585" w:type="dxa"/>
          </w:tcPr>
          <w:p>
            <w:pPr>
              <w:pStyle w:val="Compact"/>
              <w:spacing w:before="0" w:after="0" w:line="240" w:lineRule="auto"/>
              <w:jc w:val="left"/>
            </w:pPr>
            <w:r>
              <w:rPr>
                <w:sz w:val="17"/>
              </w:rPr>
              <w:t xml:space="preserve">R-03</w:t>
            </w:r>
          </w:p>
        </w:tc>
        <w:tc>
          <w:tcPr>
            <w:tcW w:w="1905" w:type="dxa"/>
          </w:tcPr>
          <w:p>
            <w:pPr>
              <w:pStyle w:val="Compact"/>
              <w:spacing w:before="0" w:after="0" w:line="240" w:lineRule="auto"/>
              <w:jc w:val="left"/>
            </w:pPr>
            <w:r>
              <w:rPr>
                <w:sz w:val="17"/>
              </w:rPr>
              <w:t xml:space="preserve">AHS overcommitment produces a descriptive (non-binding) Dec 2028 Strategic Plan</w:t>
            </w:r>
          </w:p>
        </w:tc>
        <w:tc>
          <w:tcPr>
            <w:tcW w:w="870" w:type="dxa"/>
          </w:tcPr>
          <w:p>
            <w:pPr>
              <w:pStyle w:val="Compact"/>
              <w:spacing w:before="0" w:after="0" w:line="240" w:lineRule="auto"/>
              <w:jc w:val="left"/>
            </w:pPr>
            <w:r>
              <w:rPr>
                <w:sz w:val="17"/>
              </w:rPr>
              <w:t xml:space="preserve">Ops, Policy</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16</w:t>
            </w:r>
          </w:p>
        </w:tc>
        <w:tc>
          <w:tcPr>
            <w:tcW w:w="2190" w:type="dxa"/>
          </w:tcPr>
          <w:p>
            <w:pPr>
              <w:pStyle w:val="Compact"/>
              <w:spacing w:before="0" w:after="0" w:line="240" w:lineRule="auto"/>
              <w:jc w:val="left"/>
            </w:pPr>
            <w:r>
              <w:rPr>
                <w:sz w:val="17"/>
              </w:rPr>
              <w:t xml:space="preserve">Mitigate: PMO by Q1 2027; resource-conflict authority; external plan support</w:t>
            </w:r>
          </w:p>
        </w:tc>
        <w:tc>
          <w:tcPr>
            <w:tcW w:w="1035" w:type="dxa"/>
          </w:tcPr>
          <w:p>
            <w:pPr>
              <w:pStyle w:val="Compact"/>
              <w:spacing w:before="0" w:after="0" w:line="240" w:lineRule="auto"/>
              <w:jc w:val="left"/>
            </w:pPr>
            <w:r>
              <w:rPr>
                <w:sz w:val="17"/>
              </w:rPr>
              <w:t xml:space="preserve">Ops PM + Portfolio Mgr</w:t>
            </w:r>
          </w:p>
        </w:tc>
      </w:tr>
      <w:tr>
        <w:trPr/>
        <w:tc>
          <w:tcPr>
            <w:tcW w:w="585" w:type="dxa"/>
          </w:tcPr>
          <w:p>
            <w:pPr>
              <w:pStyle w:val="Compact"/>
              <w:spacing w:before="0" w:after="0" w:line="240" w:lineRule="auto"/>
              <w:jc w:val="left"/>
            </w:pPr>
            <w:r>
              <w:rPr>
                <w:sz w:val="17"/>
              </w:rPr>
              <w:t xml:space="preserve">R-04</w:t>
            </w:r>
          </w:p>
        </w:tc>
        <w:tc>
          <w:tcPr>
            <w:tcW w:w="1905" w:type="dxa"/>
          </w:tcPr>
          <w:p>
            <w:pPr>
              <w:pStyle w:val="Compact"/>
              <w:spacing w:before="0" w:after="0" w:line="240" w:lineRule="auto"/>
              <w:jc w:val="left"/>
            </w:pPr>
            <w:r>
              <w:rPr>
                <w:sz w:val="17"/>
              </w:rPr>
              <w:t xml:space="preserve">2026 governor committed to Act 68 modification; mandatory architecture at risk</w:t>
            </w:r>
          </w:p>
        </w:tc>
        <w:tc>
          <w:tcPr>
            <w:tcW w:w="870" w:type="dxa"/>
          </w:tcPr>
          <w:p>
            <w:pPr>
              <w:pStyle w:val="Compact"/>
              <w:spacing w:before="0" w:after="0" w:line="240" w:lineRule="auto"/>
              <w:jc w:val="left"/>
            </w:pPr>
            <w:r>
              <w:rPr>
                <w:sz w:val="17"/>
              </w:rPr>
              <w:t xml:space="preserve">Policy</w:t>
            </w:r>
          </w:p>
        </w:tc>
        <w:tc>
          <w:tcPr>
            <w:tcW w:w="975" w:type="dxa"/>
          </w:tcPr>
          <w:p>
            <w:pPr>
              <w:pStyle w:val="Compact"/>
              <w:spacing w:before="0" w:after="0" w:line="240" w:lineRule="auto"/>
              <w:jc w:val="left"/>
            </w:pPr>
            <w:r>
              <w:rPr>
                <w:sz w:val="17"/>
              </w:rPr>
              <w:t xml:space="preserve">Low–Med</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12</w:t>
            </w:r>
          </w:p>
        </w:tc>
        <w:tc>
          <w:tcPr>
            <w:tcW w:w="2190" w:type="dxa"/>
          </w:tcPr>
          <w:p>
            <w:pPr>
              <w:pStyle w:val="Compact"/>
              <w:spacing w:before="0" w:after="0" w:line="240" w:lineRule="auto"/>
              <w:jc w:val="left"/>
            </w:pPr>
            <w:r>
              <w:rPr>
                <w:sz w:val="17"/>
              </w:rPr>
              <w:t xml:space="preserve">Accept + monitor: build irreversibility; document progress; legislative relationships</w:t>
            </w:r>
          </w:p>
        </w:tc>
        <w:tc>
          <w:tcPr>
            <w:tcW w:w="1035" w:type="dxa"/>
          </w:tcPr>
          <w:p>
            <w:pPr>
              <w:pStyle w:val="Compact"/>
              <w:spacing w:before="0" w:after="0" w:line="240" w:lineRule="auto"/>
              <w:jc w:val="left"/>
            </w:pPr>
            <w:r>
              <w:rPr>
                <w:sz w:val="17"/>
              </w:rPr>
              <w:t xml:space="preserve">Portfolio Mgr + AHS Secretary</w:t>
            </w:r>
          </w:p>
        </w:tc>
      </w:tr>
      <w:tr>
        <w:trPr/>
        <w:tc>
          <w:tcPr>
            <w:tcW w:w="585" w:type="dxa"/>
          </w:tcPr>
          <w:p>
            <w:pPr>
              <w:pStyle w:val="Compact"/>
              <w:spacing w:before="0" w:after="0" w:line="240" w:lineRule="auto"/>
              <w:jc w:val="left"/>
            </w:pPr>
            <w:r>
              <w:rPr>
                <w:sz w:val="17"/>
              </w:rPr>
              <w:t xml:space="preserve">R-05</w:t>
            </w:r>
          </w:p>
        </w:tc>
        <w:tc>
          <w:tcPr>
            <w:tcW w:w="1905" w:type="dxa"/>
          </w:tcPr>
          <w:p>
            <w:pPr>
              <w:pStyle w:val="Compact"/>
              <w:spacing w:before="0" w:after="0" w:line="240" w:lineRule="auto"/>
              <w:jc w:val="left"/>
            </w:pPr>
            <w:r>
              <w:rPr>
                <w:sz w:val="17"/>
              </w:rPr>
              <w:t xml:space="preserve">H.R. 1 Medicaid cuts reduce EAST Fund capacity; Clinical/Equity investments constrained</w:t>
            </w:r>
          </w:p>
        </w:tc>
        <w:tc>
          <w:tcPr>
            <w:tcW w:w="870" w:type="dxa"/>
          </w:tcPr>
          <w:p>
            <w:pPr>
              <w:pStyle w:val="Compact"/>
              <w:spacing w:before="0" w:after="0" w:line="240" w:lineRule="auto"/>
              <w:jc w:val="left"/>
            </w:pPr>
            <w:r>
              <w:rPr>
                <w:sz w:val="17"/>
              </w:rPr>
              <w:t xml:space="preserve">Clin, Equity, Econ</w:t>
            </w:r>
          </w:p>
        </w:tc>
        <w:tc>
          <w:tcPr>
            <w:tcW w:w="975" w:type="dxa"/>
          </w:tcPr>
          <w:p>
            <w:pPr>
              <w:pStyle w:val="Compact"/>
              <w:spacing w:before="0" w:after="0" w:line="240" w:lineRule="auto"/>
              <w:jc w:val="left"/>
            </w:pPr>
            <w:r>
              <w:rPr>
                <w:sz w:val="17"/>
              </w:rPr>
              <w:t xml:space="preserve">Med–High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15</w:t>
            </w:r>
          </w:p>
        </w:tc>
        <w:tc>
          <w:tcPr>
            <w:tcW w:w="2190" w:type="dxa"/>
          </w:tcPr>
          <w:p>
            <w:pPr>
              <w:pStyle w:val="Compact"/>
              <w:spacing w:before="0" w:after="0" w:line="240" w:lineRule="auto"/>
              <w:jc w:val="left"/>
            </w:pPr>
            <w:r>
              <w:rPr>
                <w:sz w:val="17"/>
              </w:rPr>
              <w:t xml:space="preserve">Mitigate: scenario plan for 30% reduction; alternative financing; prioritize ROI</w:t>
            </w:r>
          </w:p>
        </w:tc>
        <w:tc>
          <w:tcPr>
            <w:tcW w:w="1035" w:type="dxa"/>
          </w:tcPr>
          <w:p>
            <w:pPr>
              <w:pStyle w:val="Compact"/>
              <w:spacing w:before="0" w:after="0" w:line="240" w:lineRule="auto"/>
              <w:jc w:val="left"/>
            </w:pPr>
            <w:r>
              <w:rPr>
                <w:sz w:val="17"/>
              </w:rPr>
              <w:t xml:space="preserve">Econ PM + DVHA</w:t>
            </w:r>
          </w:p>
        </w:tc>
      </w:tr>
      <w:tr>
        <w:trPr/>
        <w:tc>
          <w:tcPr>
            <w:tcW w:w="585" w:type="dxa"/>
          </w:tcPr>
          <w:p>
            <w:pPr>
              <w:pStyle w:val="Compact"/>
              <w:spacing w:before="0" w:after="0" w:line="240" w:lineRule="auto"/>
              <w:jc w:val="left"/>
            </w:pPr>
            <w:r>
              <w:rPr>
                <w:sz w:val="17"/>
              </w:rPr>
              <w:t xml:space="preserve">R-06</w:t>
            </w:r>
          </w:p>
        </w:tc>
        <w:tc>
          <w:tcPr>
            <w:tcW w:w="1905" w:type="dxa"/>
          </w:tcPr>
          <w:p>
            <w:pPr>
              <w:pStyle w:val="Compact"/>
              <w:spacing w:before="0" w:after="0" w:line="240" w:lineRule="auto"/>
              <w:jc w:val="left"/>
            </w:pPr>
            <w:r>
              <w:rPr>
                <w:sz w:val="17"/>
              </w:rPr>
              <w:t xml:space="preserve">VITL connectivity gaps persist; AHEAD population-health management incomplete</w:t>
            </w:r>
          </w:p>
        </w:tc>
        <w:tc>
          <w:tcPr>
            <w:tcW w:w="870" w:type="dxa"/>
          </w:tcPr>
          <w:p>
            <w:pPr>
              <w:pStyle w:val="Compact"/>
              <w:spacing w:before="0" w:after="0" w:line="240" w:lineRule="auto"/>
              <w:jc w:val="left"/>
            </w:pPr>
            <w:r>
              <w:rPr>
                <w:sz w:val="17"/>
              </w:rPr>
              <w:t xml:space="preserve">Tech, Clin</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16</w:t>
            </w:r>
          </w:p>
        </w:tc>
        <w:tc>
          <w:tcPr>
            <w:tcW w:w="2190" w:type="dxa"/>
          </w:tcPr>
          <w:p>
            <w:pPr>
              <w:pStyle w:val="Compact"/>
              <w:spacing w:before="0" w:after="0" w:line="240" w:lineRule="auto"/>
              <w:jc w:val="left"/>
            </w:pPr>
            <w:r>
              <w:rPr>
                <w:sz w:val="17"/>
              </w:rPr>
              <w:t xml:space="preserve">Mitigate: CIN shared services for small providers; VITL as Blueprint condition</w:t>
            </w:r>
          </w:p>
        </w:tc>
        <w:tc>
          <w:tcPr>
            <w:tcW w:w="1035" w:type="dxa"/>
          </w:tcPr>
          <w:p>
            <w:pPr>
              <w:pStyle w:val="Compact"/>
              <w:spacing w:before="0" w:after="0" w:line="240" w:lineRule="auto"/>
              <w:jc w:val="left"/>
            </w:pPr>
            <w:r>
              <w:rPr>
                <w:sz w:val="17"/>
              </w:rPr>
              <w:t xml:space="preserve">Tech PM</w:t>
            </w:r>
          </w:p>
        </w:tc>
      </w:tr>
      <w:tr>
        <w:trPr/>
        <w:tc>
          <w:tcPr>
            <w:tcW w:w="585" w:type="dxa"/>
          </w:tcPr>
          <w:p>
            <w:pPr>
              <w:pStyle w:val="Compact"/>
              <w:spacing w:before="0" w:after="0" w:line="240" w:lineRule="auto"/>
              <w:jc w:val="left"/>
            </w:pPr>
            <w:r>
              <w:rPr>
                <w:sz w:val="17"/>
              </w:rPr>
              <w:t xml:space="preserve">R-07</w:t>
            </w:r>
          </w:p>
        </w:tc>
        <w:tc>
          <w:tcPr>
            <w:tcW w:w="1905" w:type="dxa"/>
          </w:tcPr>
          <w:p>
            <w:pPr>
              <w:pStyle w:val="Compact"/>
              <w:spacing w:before="0" w:after="0" w:line="240" w:lineRule="auto"/>
              <w:jc w:val="left"/>
            </w:pPr>
            <w:r>
              <w:rPr>
                <w:sz w:val="17"/>
              </w:rPr>
              <w:t xml:space="preserve">RHRC engagement not replaced by adequate successor; planning loses momentum</w:t>
            </w:r>
          </w:p>
        </w:tc>
        <w:tc>
          <w:tcPr>
            <w:tcW w:w="870" w:type="dxa"/>
          </w:tcPr>
          <w:p>
            <w:pPr>
              <w:pStyle w:val="Compact"/>
              <w:spacing w:before="0" w:after="0" w:line="240" w:lineRule="auto"/>
              <w:jc w:val="left"/>
            </w:pPr>
            <w:r>
              <w:rPr>
                <w:sz w:val="17"/>
              </w:rPr>
              <w:t xml:space="preserve">Ops</w:t>
            </w:r>
          </w:p>
        </w:tc>
        <w:tc>
          <w:tcPr>
            <w:tcW w:w="975" w:type="dxa"/>
          </w:tcPr>
          <w:p>
            <w:pPr>
              <w:pStyle w:val="Compact"/>
              <w:spacing w:before="0" w:after="0" w:line="240" w:lineRule="auto"/>
              <w:jc w:val="left"/>
            </w:pPr>
            <w:r>
              <w:rPr>
                <w:sz w:val="17"/>
              </w:rPr>
              <w:t xml:space="preserve">Med–High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15</w:t>
            </w:r>
          </w:p>
        </w:tc>
        <w:tc>
          <w:tcPr>
            <w:tcW w:w="2190" w:type="dxa"/>
          </w:tcPr>
          <w:p>
            <w:pPr>
              <w:pStyle w:val="Compact"/>
              <w:spacing w:before="0" w:after="0" w:line="240" w:lineRule="auto"/>
              <w:jc w:val="left"/>
            </w:pPr>
            <w:r>
              <w:rPr>
                <w:sz w:val="17"/>
              </w:rPr>
              <w:t xml:space="preserve">Mitigate: PMO includes hospital-transformation PM; document RHRC lessons; CIN continuation</w:t>
            </w:r>
          </w:p>
        </w:tc>
        <w:tc>
          <w:tcPr>
            <w:tcW w:w="1035" w:type="dxa"/>
          </w:tcPr>
          <w:p>
            <w:pPr>
              <w:pStyle w:val="Compact"/>
              <w:spacing w:before="0" w:after="0" w:line="240" w:lineRule="auto"/>
              <w:jc w:val="left"/>
            </w:pPr>
            <w:r>
              <w:rPr>
                <w:sz w:val="17"/>
              </w:rPr>
              <w:t xml:space="preserve">Ops PM</w:t>
            </w:r>
          </w:p>
        </w:tc>
      </w:tr>
      <w:tr>
        <w:trPr/>
        <w:tc>
          <w:tcPr>
            <w:tcW w:w="585" w:type="dxa"/>
          </w:tcPr>
          <w:p>
            <w:pPr>
              <w:pStyle w:val="Compact"/>
              <w:spacing w:before="0" w:after="0" w:line="240" w:lineRule="auto"/>
              <w:jc w:val="left"/>
            </w:pPr>
            <w:r>
              <w:rPr>
                <w:sz w:val="17"/>
              </w:rPr>
              <w:t xml:space="preserve">R-08</w:t>
            </w:r>
          </w:p>
        </w:tc>
        <w:tc>
          <w:tcPr>
            <w:tcW w:w="1905" w:type="dxa"/>
          </w:tcPr>
          <w:p>
            <w:pPr>
              <w:pStyle w:val="Compact"/>
              <w:spacing w:before="0" w:after="0" w:line="240" w:lineRule="auto"/>
              <w:jc w:val="left"/>
            </w:pPr>
            <w:r>
              <w:rPr>
                <w:sz w:val="17"/>
              </w:rPr>
              <w:t xml:space="preserve">Social-risk adjustment not adopted before FY2028 budgets; safety-net hospitals penalized</w:t>
            </w:r>
          </w:p>
        </w:tc>
        <w:tc>
          <w:tcPr>
            <w:tcW w:w="870" w:type="dxa"/>
          </w:tcPr>
          <w:p>
            <w:pPr>
              <w:pStyle w:val="Compact"/>
              <w:spacing w:before="0" w:after="0" w:line="240" w:lineRule="auto"/>
              <w:jc w:val="left"/>
            </w:pPr>
            <w:r>
              <w:rPr>
                <w:sz w:val="17"/>
              </w:rPr>
              <w:t xml:space="preserve">Equity, Econ</w:t>
            </w:r>
          </w:p>
        </w:tc>
        <w:tc>
          <w:tcPr>
            <w:tcW w:w="975" w:type="dxa"/>
          </w:tcPr>
          <w:p>
            <w:pPr>
              <w:pStyle w:val="Compact"/>
              <w:spacing w:before="0" w:after="0" w:line="240" w:lineRule="auto"/>
              <w:jc w:val="left"/>
            </w:pPr>
            <w:r>
              <w:rPr>
                <w:sz w:val="17"/>
              </w:rPr>
              <w:t xml:space="preserve">Medium</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12</w:t>
            </w:r>
          </w:p>
        </w:tc>
        <w:tc>
          <w:tcPr>
            <w:tcW w:w="2190" w:type="dxa"/>
          </w:tcPr>
          <w:p>
            <w:pPr>
              <w:pStyle w:val="Compact"/>
              <w:spacing w:before="0" w:after="0" w:line="240" w:lineRule="auto"/>
              <w:jc w:val="left"/>
            </w:pPr>
            <w:r>
              <w:rPr>
                <w:sz w:val="17"/>
              </w:rPr>
              <w:t xml:space="preserve">Accelerate: Equity PM leads SRA as co-equal to budget design; HCAC equity review required</w:t>
            </w:r>
          </w:p>
        </w:tc>
        <w:tc>
          <w:tcPr>
            <w:tcW w:w="1035" w:type="dxa"/>
          </w:tcPr>
          <w:p>
            <w:pPr>
              <w:pStyle w:val="Compact"/>
              <w:spacing w:before="0" w:after="0" w:line="240" w:lineRule="auto"/>
              <w:jc w:val="left"/>
            </w:pPr>
            <w:r>
              <w:rPr>
                <w:sz w:val="17"/>
              </w:rPr>
              <w:t xml:space="preserve">Equity PM + GMCB</w:t>
            </w:r>
          </w:p>
        </w:tc>
      </w:tr>
      <w:tr>
        <w:trPr/>
        <w:tc>
          <w:tcPr>
            <w:tcW w:w="585" w:type="dxa"/>
          </w:tcPr>
          <w:p>
            <w:pPr>
              <w:pStyle w:val="Compact"/>
              <w:spacing w:before="0" w:after="0" w:line="240" w:lineRule="auto"/>
              <w:jc w:val="left"/>
            </w:pPr>
            <w:r>
              <w:rPr>
                <w:sz w:val="17"/>
              </w:rPr>
              <w:t xml:space="preserve">R-09</w:t>
            </w:r>
          </w:p>
        </w:tc>
        <w:tc>
          <w:tcPr>
            <w:tcW w:w="1905" w:type="dxa"/>
          </w:tcPr>
          <w:p>
            <w:pPr>
              <w:pStyle w:val="Compact"/>
              <w:spacing w:before="0" w:after="0" w:line="240" w:lineRule="auto"/>
              <w:jc w:val="left"/>
            </w:pPr>
            <w:r>
              <w:rPr>
                <w:sz w:val="17"/>
              </w:rPr>
              <w:t xml:space="preserve">Insufficient clinical-leader engagement; AHEAD driven by administrators without clinical ownership</w:t>
            </w:r>
          </w:p>
        </w:tc>
        <w:tc>
          <w:tcPr>
            <w:tcW w:w="870" w:type="dxa"/>
          </w:tcPr>
          <w:p>
            <w:pPr>
              <w:pStyle w:val="Compact"/>
              <w:spacing w:before="0" w:after="0" w:line="240" w:lineRule="auto"/>
              <w:jc w:val="left"/>
            </w:pPr>
            <w:r>
              <w:rPr>
                <w:sz w:val="17"/>
              </w:rPr>
              <w:t xml:space="preserve">Clinical</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Medium</w:t>
            </w:r>
          </w:p>
        </w:tc>
        <w:tc>
          <w:tcPr>
            <w:tcW w:w="675" w:type="dxa"/>
          </w:tcPr>
          <w:p>
            <w:pPr>
              <w:pStyle w:val="Compact"/>
              <w:spacing w:before="0" w:after="0" w:line="240" w:lineRule="auto"/>
              <w:jc w:val="left"/>
            </w:pPr>
            <w:r>
              <w:rPr>
                <w:sz w:val="17"/>
              </w:rPr>
              <w:t xml:space="preserve">12</w:t>
            </w:r>
          </w:p>
        </w:tc>
        <w:tc>
          <w:tcPr>
            <w:tcW w:w="2190" w:type="dxa"/>
          </w:tcPr>
          <w:p>
            <w:pPr>
              <w:pStyle w:val="Compact"/>
              <w:spacing w:before="0" w:after="0" w:line="240" w:lineRule="auto"/>
              <w:jc w:val="left"/>
            </w:pPr>
            <w:r>
              <w:rPr>
                <w:sz w:val="17"/>
              </w:rPr>
              <w:t xml:space="preserve">Mitigate: clinical advisory structure in HCAC; physician/nursing co-chairs; clinical KPIs in monthly reports</w:t>
            </w:r>
          </w:p>
        </w:tc>
        <w:tc>
          <w:tcPr>
            <w:tcW w:w="1035" w:type="dxa"/>
          </w:tcPr>
          <w:p>
            <w:pPr>
              <w:pStyle w:val="Compact"/>
              <w:spacing w:before="0" w:after="0" w:line="240" w:lineRule="auto"/>
              <w:jc w:val="left"/>
            </w:pPr>
            <w:r>
              <w:rPr>
                <w:sz w:val="17"/>
              </w:rPr>
              <w:t xml:space="preserve">Clinical PM + HCAC</w:t>
            </w:r>
          </w:p>
        </w:tc>
      </w:tr>
      <w:tr>
        <w:trPr>
          <w:cantSplit/>
        </w:trPr>
        <w:tc>
          <w:tcPr>
            <w:tcW w:w="585" w:type="dxa"/>
          </w:tcPr>
          <w:p>
            <w:pPr>
              <w:pStyle w:val="Compact"/>
              <w:spacing w:before="0" w:after="0" w:line="240" w:lineRule="auto"/>
              <w:jc w:val="left"/>
            </w:pPr>
            <w:r>
              <w:rPr>
                <w:sz w:val="17"/>
              </w:rPr>
              <w:t xml:space="preserve">R-10</w:t>
            </w:r>
          </w:p>
        </w:tc>
        <w:tc>
          <w:tcPr>
            <w:tcW w:w="1905" w:type="dxa"/>
          </w:tcPr>
          <w:p>
            <w:pPr>
              <w:pStyle w:val="Compact"/>
              <w:spacing w:before="0" w:after="0" w:line="240" w:lineRule="auto"/>
              <w:jc w:val="left"/>
            </w:pPr>
            <w:r>
              <w:rPr>
                <w:sz w:val="17"/>
              </w:rPr>
              <w:t xml:space="preserve">Portfolio-management infrastructure not established before 2027 deadlines; managed as a collection of projects</w:t>
            </w:r>
          </w:p>
        </w:tc>
        <w:tc>
          <w:tcPr>
            <w:tcW w:w="870" w:type="dxa"/>
          </w:tcPr>
          <w:p>
            <w:pPr>
              <w:pStyle w:val="Compact"/>
              <w:spacing w:before="0" w:after="0" w:line="240" w:lineRule="auto"/>
              <w:jc w:val="left"/>
            </w:pPr>
            <w:r>
              <w:rPr>
                <w:sz w:val="17"/>
              </w:rPr>
              <w:t xml:space="preserve">All</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20</w:t>
            </w:r>
          </w:p>
        </w:tc>
        <w:tc>
          <w:tcPr>
            <w:tcW w:w="2190" w:type="dxa"/>
          </w:tcPr>
          <w:p>
            <w:pPr>
              <w:pStyle w:val="Compact"/>
              <w:spacing w:before="0" w:after="0" w:line="240" w:lineRule="auto"/>
              <w:jc w:val="left"/>
            </w:pPr>
            <w:r>
              <w:rPr>
                <w:sz w:val="17"/>
              </w:rPr>
              <w:t xml:space="preserve">Avoid: hire Portfolio Manager by Q3 2026; PMO by Q1 2027 (the primary motivation for this chapter)</w:t>
            </w:r>
          </w:p>
        </w:tc>
        <w:tc>
          <w:tcPr>
            <w:tcW w:w="1035" w:type="dxa"/>
          </w:tcPr>
          <w:p>
            <w:pPr>
              <w:pStyle w:val="Compact"/>
              <w:spacing w:before="0" w:after="0" w:line="240" w:lineRule="auto"/>
              <w:jc w:val="left"/>
            </w:pPr>
            <w:r>
              <w:rPr>
                <w:sz w:val="17"/>
              </w:rPr>
              <w:t xml:space="preserve">AHS Secretary</w:t>
            </w:r>
          </w:p>
        </w:tc>
      </w:tr>
    </w:tbl>
    <w:p>
      <w:pPr>
        <w:pStyle w:val="Caption"/>
        <w:spacing w:before="120"/>
      </w:pPr>
      <w:r>
        <w:rPr>
          <w:i/>
          <w:iCs/>
        </w:rP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Heading2"/>
        <w:pBdr>
          <w:top w:val="single" w:sz="6" w:space="10" w:color="C9D2DF"/>
        </w:pBdr>
        <w:keepNext w:val="false"/>
      </w:pPr>
      <w:r>
        <w:rPr>
          <w:color w:val="161B22"/>
        </w:rPr>
        <w:t xml:space="preserve">15.10  </w:t>
      </w:r>
      <w:bookmarkStart w:id="1419" w:name="_Toc1418"/>
      <w:r>
        <w:rPr>
          <w:b/>
          <w:bCs/>
          <w:color w:val="161B22"/>
        </w:rPr>
        <w:t xml:space="preserve">Benefits Realization: Connecting the PMO to Act 167’s Five Goals</w:t>
      </w:r>
      <w:bookmarkEnd w:id="1419"/>
    </w:p>
    <w:p>
      <w:pPr>
        <w:pStyle w:val="FirstParagraph"/>
        <w:keepNext w:val="false"/>
      </w:pPr>
      <w:r>
        <w:t xml:space="preserve">The Portfolio Manager’s job is to ensure every component can trace its contribution to one or more of Act 167’s five statutory goals, and that the portfolio as a whole produces the benefits that justify its cost.</w:t>
      </w:r>
    </w:p>
    <w:tbl>
      <w:tblPr>
        <w:tblStyle w:val="HTRTable"/>
        <w:tblLook w:firstRow="1" w:lastRow="0" w:firstColumn="0" w:lastColumn="0" w:noHBand="0" w:noVBand="1" w:val="0020"/>
        <w:tblW w:w="9072" w:type="dxa"/>
        <w:tblLayout w:type="fixed"/>
      </w:tblPr>
      <w:tblGrid>
        <w:gridCol w:w="1283"/>
        <w:gridCol w:w="2478"/>
        <w:gridCol w:w="2655"/>
        <w:gridCol w:w="2655"/>
      </w:tblGrid>
      <w:tr>
        <w:trPr>
          <w:tblHeader w:val="on"/>
          <w:cantSplit/>
        </w:trPr>
        <w:tc>
          <w:tcPr>
            <w:shd w:val="clear" w:color="auto" w:fill="1B3A6B"/>
            <w:tcW w:w="1283" w:type="dxa"/>
          </w:tcPr>
          <w:p>
            <w:pPr>
              <w:pStyle w:val="Compact"/>
              <w:jc w:val="left"/>
            </w:pPr>
            <w:r>
              <w:rPr>
                <w:b/>
                <w:color w:val="FFFFFF"/>
                <w:sz w:val="18"/>
              </w:rPr>
              <w:t xml:space="preserve">Act 167 goal</w:t>
            </w:r>
          </w:p>
        </w:tc>
        <w:tc>
          <w:tcPr>
            <w:shd w:val="clear" w:color="auto" w:fill="1B3A6B"/>
            <w:tcW w:w="2478" w:type="dxa"/>
          </w:tcPr>
          <w:p>
            <w:pPr>
              <w:pStyle w:val="Compact"/>
              <w:jc w:val="left"/>
            </w:pPr>
            <w:r>
              <w:rPr>
                <w:b/>
                <w:color w:val="FFFFFF"/>
                <w:sz w:val="18"/>
              </w:rPr>
              <w:t xml:space="preserve">Primary contributing components</w:t>
            </w:r>
          </w:p>
        </w:tc>
        <w:tc>
          <w:tcPr>
            <w:shd w:val="clear" w:color="auto" w:fill="1B3A6B"/>
            <w:tcW w:w="2655" w:type="dxa"/>
          </w:tcPr>
          <w:p>
            <w:pPr>
              <w:pStyle w:val="Compact"/>
              <w:jc w:val="left"/>
            </w:pPr>
            <w:r>
              <w:rPr>
                <w:b/>
                <w:color w:val="FFFFFF"/>
                <w:sz w:val="18"/>
              </w:rPr>
              <w:t xml:space="preserve">Measurement metric</w:t>
            </w:r>
          </w:p>
        </w:tc>
        <w:tc>
          <w:tcPr>
            <w:shd w:val="clear" w:color="auto" w:fill="1B3A6B"/>
            <w:tcW w:w="2655" w:type="dxa"/>
          </w:tcPr>
          <w:p>
            <w:pPr>
              <w:pStyle w:val="Compact"/>
              <w:jc w:val="left"/>
            </w:pPr>
            <w:r>
              <w:rPr>
                <w:b/>
                <w:color w:val="FFFFFF"/>
                <w:sz w:val="18"/>
              </w:rPr>
              <w:t xml:space="preserve">2028 target</w:t>
            </w:r>
          </w:p>
        </w:tc>
      </w:tr>
      <w:tr>
        <w:trPr>
          <w:cantSplit/>
        </w:trPr>
        <w:tc>
          <w:tcPr>
            <w:tcW w:w="1283" w:type="dxa"/>
          </w:tcPr>
          <w:p>
            <w:pPr>
              <w:pStyle w:val="Compact"/>
              <w:jc w:val="left"/>
            </w:pPr>
            <w:r>
              <w:rPr>
                <w:sz w:val="18"/>
              </w:rPr>
              <w:t xml:space="preserve">High-quality, accessible care</w:t>
            </w:r>
          </w:p>
        </w:tc>
        <w:tc>
          <w:tcPr>
            <w:tcW w:w="2478" w:type="dxa"/>
          </w:tcPr>
          <w:p>
            <w:pPr>
              <w:pStyle w:val="Compact"/>
              <w:jc w:val="left"/>
            </w:pPr>
            <w:r>
              <w:rPr>
                <w:sz w:val="18"/>
              </w:rPr>
              <w:t xml:space="preserve">Blueprint PCMH; CCBHC; HEROI; CIN</w:t>
            </w:r>
          </w:p>
        </w:tc>
        <w:tc>
          <w:tcPr>
            <w:tcW w:w="2655" w:type="dxa"/>
          </w:tcPr>
          <w:p>
            <w:pPr>
              <w:pStyle w:val="Compact"/>
              <w:jc w:val="left"/>
            </w:pPr>
            <w:r>
              <w:rPr>
                <w:sz w:val="18"/>
              </w:rPr>
              <w:t xml:space="preserve">30-day BH follow-up; readmission; BIPOC access gap</w:t>
            </w:r>
          </w:p>
        </w:tc>
        <w:tc>
          <w:tcPr>
            <w:tcW w:w="2655" w:type="dxa"/>
          </w:tcPr>
          <w:p>
            <w:pPr>
              <w:pStyle w:val="Compact"/>
              <w:jc w:val="left"/>
            </w:pPr>
            <w:r>
              <w:rPr>
                <w:sz w:val="18"/>
              </w:rPr>
              <w:t xml:space="preserve">90%+ BH follow-up; readmission &lt;12%; gap &lt;6 pts</w:t>
            </w:r>
          </w:p>
        </w:tc>
      </w:tr>
      <w:tr>
        <w:trPr/>
        <w:tc>
          <w:tcPr>
            <w:tcW w:w="1283" w:type="dxa"/>
          </w:tcPr>
          <w:p>
            <w:pPr>
              <w:pStyle w:val="Compact"/>
              <w:jc w:val="left"/>
            </w:pPr>
            <w:r>
              <w:rPr>
                <w:sz w:val="18"/>
              </w:rPr>
              <w:t xml:space="preserve">Financial sustainability</w:t>
            </w:r>
          </w:p>
        </w:tc>
        <w:tc>
          <w:tcPr>
            <w:tcW w:w="2478" w:type="dxa"/>
          </w:tcPr>
          <w:p>
            <w:pPr>
              <w:pStyle w:val="Compact"/>
              <w:jc w:val="left"/>
            </w:pPr>
            <w:r>
              <w:rPr>
                <w:sz w:val="18"/>
              </w:rPr>
              <w:t xml:space="preserve">RBP; global budgets; HCC gap closure; PMO</w:t>
            </w:r>
          </w:p>
        </w:tc>
        <w:tc>
          <w:tcPr>
            <w:tcW w:w="2655" w:type="dxa"/>
          </w:tcPr>
          <w:p>
            <w:pPr>
              <w:pStyle w:val="Compact"/>
              <w:jc w:val="left"/>
            </w:pPr>
            <w:r>
              <w:rPr>
                <w:sz w:val="18"/>
              </w:rPr>
              <w:t xml:space="preserve">Operating margin; deficit trajectory; admin cost/discharge</w:t>
            </w:r>
          </w:p>
        </w:tc>
        <w:tc>
          <w:tcPr>
            <w:tcW w:w="2655" w:type="dxa"/>
          </w:tcPr>
          <w:p>
            <w:pPr>
              <w:pStyle w:val="Compact"/>
              <w:jc w:val="left"/>
            </w:pPr>
            <w:r>
              <w:rPr>
                <w:sz w:val="18"/>
              </w:rPr>
              <w:t xml:space="preserve">13/14 sustainable; deficit reversed; admin &lt;150% of benchmark</w:t>
            </w:r>
          </w:p>
        </w:tc>
      </w:tr>
      <w:tr>
        <w:trPr/>
        <w:tc>
          <w:tcPr>
            <w:tcW w:w="1283" w:type="dxa"/>
          </w:tcPr>
          <w:p>
            <w:pPr>
              <w:pStyle w:val="Compact"/>
              <w:jc w:val="left"/>
            </w:pPr>
            <w:r>
              <w:rPr>
                <w:sz w:val="18"/>
              </w:rPr>
              <w:t xml:space="preserve">Affordability</w:t>
            </w:r>
          </w:p>
        </w:tc>
        <w:tc>
          <w:tcPr>
            <w:tcW w:w="2478" w:type="dxa"/>
          </w:tcPr>
          <w:p>
            <w:pPr>
              <w:pStyle w:val="Compact"/>
              <w:jc w:val="left"/>
            </w:pPr>
            <w:r>
              <w:rPr>
                <w:sz w:val="18"/>
              </w:rPr>
              <w:t xml:space="preserve">RBP methodology; EAST Fund; global budgets</w:t>
            </w:r>
          </w:p>
        </w:tc>
        <w:tc>
          <w:tcPr>
            <w:tcW w:w="2655" w:type="dxa"/>
          </w:tcPr>
          <w:p>
            <w:pPr>
              <w:pStyle w:val="Compact"/>
              <w:jc w:val="left"/>
            </w:pPr>
            <w:r>
              <w:rPr>
                <w:sz w:val="18"/>
              </w:rPr>
              <w:t xml:space="preserve">Commercial premium growth; TCOC benchmark</w:t>
            </w:r>
          </w:p>
        </w:tc>
        <w:tc>
          <w:tcPr>
            <w:tcW w:w="2655" w:type="dxa"/>
          </w:tcPr>
          <w:p>
            <w:pPr>
              <w:pStyle w:val="Compact"/>
              <w:jc w:val="left"/>
            </w:pPr>
            <w:r>
              <w:rPr>
                <w:sz w:val="18"/>
              </w:rPr>
              <w:t xml:space="preserve">Premium growth &lt;5%/yr; TCOC growth below CPI+1%</w:t>
            </w:r>
          </w:p>
        </w:tc>
      </w:tr>
      <w:tr>
        <w:trPr/>
        <w:tc>
          <w:tcPr>
            <w:tcW w:w="1283" w:type="dxa"/>
          </w:tcPr>
          <w:p>
            <w:pPr>
              <w:pStyle w:val="Compact"/>
              <w:jc w:val="left"/>
            </w:pPr>
            <w:r>
              <w:rPr>
                <w:sz w:val="18"/>
              </w:rPr>
              <w:t xml:space="preserve">Robust workforce</w:t>
            </w:r>
          </w:p>
        </w:tc>
        <w:tc>
          <w:tcPr>
            <w:tcW w:w="2478" w:type="dxa"/>
          </w:tcPr>
          <w:p>
            <w:pPr>
              <w:pStyle w:val="Compact"/>
              <w:jc w:val="left"/>
            </w:pPr>
            <w:r>
              <w:rPr>
                <w:sz w:val="18"/>
              </w:rPr>
              <w:t xml:space="preserve">RHT workforce investments; EAST Fund; AI-scribe grants</w:t>
            </w:r>
          </w:p>
        </w:tc>
        <w:tc>
          <w:tcPr>
            <w:tcW w:w="2655" w:type="dxa"/>
          </w:tcPr>
          <w:p>
            <w:pPr>
              <w:pStyle w:val="Compact"/>
              <w:jc w:val="left"/>
            </w:pPr>
            <w:r>
              <w:rPr>
                <w:sz w:val="18"/>
              </w:rPr>
              <w:t xml:space="preserve">Primary-care FTE gap; vacancy rates; travel-nurse dependency</w:t>
            </w:r>
          </w:p>
        </w:tc>
        <w:tc>
          <w:tcPr>
            <w:tcW w:w="2655" w:type="dxa"/>
          </w:tcPr>
          <w:p>
            <w:pPr>
              <w:pStyle w:val="Compact"/>
              <w:jc w:val="left"/>
            </w:pPr>
            <w:r>
              <w:rPr>
                <w:sz w:val="18"/>
              </w:rPr>
              <w:t xml:space="preserve">FTE gap &lt;200 (from 370); travel-nurse cost &lt;5% of labor</w:t>
            </w:r>
          </w:p>
        </w:tc>
      </w:tr>
      <w:tr>
        <w:trPr>
          <w:cantSplit/>
        </w:trPr>
        <w:tc>
          <w:tcPr>
            <w:tcW w:w="1283" w:type="dxa"/>
          </w:tcPr>
          <w:p>
            <w:pPr>
              <w:pStyle w:val="Compact"/>
              <w:jc w:val="left"/>
            </w:pPr>
            <w:r>
              <w:rPr>
                <w:sz w:val="18"/>
              </w:rPr>
              <w:t xml:space="preserve">Health equity</w:t>
            </w:r>
          </w:p>
        </w:tc>
        <w:tc>
          <w:tcPr>
            <w:tcW w:w="2478" w:type="dxa"/>
          </w:tcPr>
          <w:p>
            <w:pPr>
              <w:pStyle w:val="Compact"/>
              <w:jc w:val="left"/>
            </w:pPr>
            <w:r>
              <w:rPr>
                <w:sz w:val="18"/>
              </w:rPr>
              <w:t xml:space="preserve">HEROI; HRSN screening; social-risk adjustment; SDOH data</w:t>
            </w:r>
          </w:p>
        </w:tc>
        <w:tc>
          <w:tcPr>
            <w:tcW w:w="2655" w:type="dxa"/>
          </w:tcPr>
          <w:p>
            <w:pPr>
              <w:pStyle w:val="Compact"/>
              <w:jc w:val="left"/>
            </w:pPr>
            <w:r>
              <w:rPr>
                <w:sz w:val="18"/>
              </w:rPr>
              <w:t xml:space="preserve">BIPOC access; NEK uninsurance; HEDIS equity gaps</w:t>
            </w:r>
          </w:p>
        </w:tc>
        <w:tc>
          <w:tcPr>
            <w:tcW w:w="2655" w:type="dxa"/>
          </w:tcPr>
          <w:p>
            <w:pPr>
              <w:pStyle w:val="Compact"/>
              <w:jc w:val="left"/>
            </w:pPr>
            <w:r>
              <w:rPr>
                <w:sz w:val="18"/>
              </w:rPr>
              <w:t xml:space="preserve">BIPOC access &gt;87%; NEK uninsurance &lt;5%; gaps documented and targeted</w:t>
            </w:r>
          </w:p>
        </w:tc>
      </w:tr>
    </w:tbl>
    <w:p>
      <w:pPr>
        <w:pStyle w:val="Caption"/>
        <w:spacing w:before="120"/>
      </w:pPr>
      <w:r>
        <w:rPr>
          <w:i/>
          <w:iCs/>
        </w:rPr>
        <w:t xml:space="preserve">Figure 15.6 — Benefits-realization plan. Sources: Act 167 of 2022; PMI Standard for Portfolio Management (5th ed.); Vermont Scorecard (Appendix F).</w:t>
      </w:r>
    </w:p>
    <w:p>
      <w:pPr>
        <w:pStyle w:val="Heading2"/>
        <w:pBdr>
          <w:top w:val="single" w:sz="6" w:space="10" w:color="C9D2DF"/>
        </w:pBdr>
        <w:keepNext w:val="false"/>
      </w:pPr>
      <w:r>
        <w:rPr>
          <w:color w:val="161B22"/>
        </w:rPr>
        <w:t xml:space="preserve">15.11  </w:t>
      </w:r>
      <w:bookmarkStart w:id="1420" w:name="_Toc1419"/>
      <w:r>
        <w:rPr>
          <w:b/>
          <w:bCs/>
          <w:color w:val="161B22"/>
        </w:rPr>
        <w:t xml:space="preserve">The Business Case</w:t>
      </w:r>
      <w:bookmarkEnd w:id="1420"/>
    </w:p>
    <w:p>
      <w:pPr>
        <w:pStyle w:val="FirstParagraph"/>
        <w:keepNext w:val="false"/>
      </w:pPr>
      <w:r>
        <w:t xml:space="preserve">The objection to building a PMO is always the same: we cannot afford it. The cost-benefit analysis in</w:t>
      </w:r>
      <w:r>
        <w:t xml:space="preserve"> </w:t>
      </w:r>
      <w:r>
        <w:rPr>
          <w:b/>
          <w:bCs/>
        </w:rPr>
        <w:t xml:space="preserve">Figure 15.7</w:t>
      </w:r>
      <w:r>
        <w:t xml:space="preserve"> </w:t>
      </w:r>
      <w:r>
        <w:t xml:space="preserve">answers that objection directly. The ~$4.5–7.5M cost of a staffed PMO over four to five years is roughly 2% of the portfolio value it protects. The cost of not building it is the December 2028 plan arriving as a descriptive document rather than a binding commitment — the continuation of the Oliver Wyman deficit trajectory, the failure of 13 of 14 hospitals to reach sustainability, and the loss of the political window Vermont’s mandatory architecture has opened. That is not a $0 outcome.</w:t>
      </w:r>
    </w:p>
    <w:tbl>
      <w:tblPr>
        <w:tblStyle w:val="HTRTable"/>
        <w:tblLook w:firstRow="1" w:lastRow="0" w:firstColumn="0" w:lastColumn="0" w:noHBand="0" w:noVBand="1" w:val="0020"/>
        <w:tblW w:w="9072" w:type="dxa"/>
        <w:tblLayout w:type="fixed"/>
      </w:tblPr>
      <w:tblGrid>
        <w:gridCol w:w="2040"/>
        <w:gridCol w:w="1290"/>
        <w:gridCol w:w="1545"/>
        <w:gridCol w:w="4185"/>
      </w:tblGrid>
      <w:tr>
        <w:trPr>
          <w:tblHeader w:val="on"/>
          <w:cantSplit/>
        </w:trPr>
        <w:tc>
          <w:tcPr>
            <w:shd w:val="clear" w:color="auto" w:fill="1B3A6B"/>
            <w:tcW w:w="2040" w:type="dxa"/>
          </w:tcPr>
          <w:p>
            <w:pPr>
              <w:pStyle w:val="Compact"/>
              <w:jc w:val="left"/>
            </w:pPr>
            <w:r>
              <w:rPr>
                <w:b/>
                <w:color w:val="FFFFFF"/>
                <w:sz w:val="18"/>
              </w:rPr>
              <w:t xml:space="preserve">Investment</w:t>
            </w:r>
          </w:p>
        </w:tc>
        <w:tc>
          <w:tcPr>
            <w:shd w:val="clear" w:color="auto" w:fill="1B3A6B"/>
            <w:tcW w:w="1290" w:type="dxa"/>
          </w:tcPr>
          <w:p>
            <w:pPr>
              <w:pStyle w:val="Compact"/>
              <w:jc w:val="left"/>
            </w:pPr>
            <w:r>
              <w:rPr>
                <w:b/>
                <w:color w:val="FFFFFF"/>
                <w:sz w:val="18"/>
              </w:rPr>
              <w:t xml:space="preserve">Annual cost</w:t>
            </w:r>
          </w:p>
        </w:tc>
        <w:tc>
          <w:tcPr>
            <w:shd w:val="clear" w:color="auto" w:fill="1B3A6B"/>
            <w:tcW w:w="1545" w:type="dxa"/>
          </w:tcPr>
          <w:p>
            <w:pPr>
              <w:pStyle w:val="Compact"/>
              <w:jc w:val="left"/>
            </w:pPr>
            <w:r>
              <w:rPr>
                <w:b/>
                <w:color w:val="FFFFFF"/>
                <w:sz w:val="18"/>
              </w:rPr>
              <w:t xml:space="preserve">Total (4–5 yr)</w:t>
            </w:r>
          </w:p>
        </w:tc>
        <w:tc>
          <w:tcPr>
            <w:shd w:val="clear" w:color="auto" w:fill="1B3A6B"/>
            <w:tcW w:w="4185" w:type="dxa"/>
          </w:tcPr>
          <w:p>
            <w:pPr>
              <w:pStyle w:val="Compact"/>
              <w:jc w:val="left"/>
            </w:pPr>
            <w:r>
              <w:rPr>
                <w:b/>
                <w:color w:val="FFFFFF"/>
                <w:sz w:val="18"/>
              </w:rPr>
              <w:t xml:space="preserve">Benefit</w:t>
            </w:r>
          </w:p>
        </w:tc>
      </w:tr>
      <w:tr>
        <w:trPr>
          <w:cantSplit/>
        </w:trPr>
        <w:tc>
          <w:tcPr>
            <w:tcW w:w="2040" w:type="dxa"/>
          </w:tcPr>
          <w:p>
            <w:pPr>
              <w:pStyle w:val="Compact"/>
              <w:jc w:val="left"/>
            </w:pPr>
            <w:r>
              <w:rPr>
                <w:sz w:val="18"/>
              </w:rPr>
              <w:t xml:space="preserve">Portfolio Manager (PfMP, senior)</w:t>
            </w:r>
          </w:p>
        </w:tc>
        <w:tc>
          <w:tcPr>
            <w:tcW w:w="1290" w:type="dxa"/>
          </w:tcPr>
          <w:p>
            <w:pPr>
              <w:pStyle w:val="Compact"/>
              <w:jc w:val="left"/>
            </w:pPr>
            <w:r>
              <w:rPr>
                <w:sz w:val="18"/>
              </w:rPr>
              <w:t xml:space="preserve">$180K–$220K</w:t>
            </w:r>
          </w:p>
        </w:tc>
        <w:tc>
          <w:tcPr>
            <w:tcW w:w="1545" w:type="dxa"/>
          </w:tcPr>
          <w:p>
            <w:pPr>
              <w:pStyle w:val="Compact"/>
              <w:jc w:val="left"/>
            </w:pPr>
            <w:r>
              <w:rPr>
                <w:sz w:val="18"/>
              </w:rPr>
              <w:t xml:space="preserve">~$900K–$1.1M</w:t>
            </w:r>
          </w:p>
        </w:tc>
        <w:tc>
          <w:tcPr>
            <w:tcW w:w="4185" w:type="dxa"/>
          </w:tcPr>
          <w:p>
            <w:pPr>
              <w:pStyle w:val="Compact"/>
              <w:jc w:val="left"/>
            </w:pPr>
            <w:r>
              <w:rPr>
                <w:sz w:val="18"/>
              </w:rPr>
              <w:t xml:space="preserve">R-10 avoided; coordinates $195M RHT + ~$150M/yr EAST Fund; single accountability for Dec 2028</w:t>
            </w:r>
          </w:p>
        </w:tc>
      </w:tr>
      <w:tr>
        <w:trPr/>
        <w:tc>
          <w:tcPr>
            <w:tcW w:w="2040" w:type="dxa"/>
          </w:tcPr>
          <w:p>
            <w:pPr>
              <w:pStyle w:val="Compact"/>
              <w:jc w:val="left"/>
            </w:pPr>
            <w:r>
              <w:rPr>
                <w:sz w:val="18"/>
              </w:rPr>
              <w:t xml:space="preserve">2 PMO Analysts</w:t>
            </w:r>
          </w:p>
        </w:tc>
        <w:tc>
          <w:tcPr>
            <w:tcW w:w="1290" w:type="dxa"/>
          </w:tcPr>
          <w:p>
            <w:pPr>
              <w:pStyle w:val="Compact"/>
              <w:jc w:val="left"/>
            </w:pPr>
            <w:r>
              <w:rPr>
                <w:sz w:val="18"/>
              </w:rPr>
              <w:t xml:space="preserve">$120K–$160K</w:t>
            </w:r>
          </w:p>
        </w:tc>
        <w:tc>
          <w:tcPr>
            <w:tcW w:w="1545" w:type="dxa"/>
          </w:tcPr>
          <w:p>
            <w:pPr>
              <w:pStyle w:val="Compact"/>
              <w:jc w:val="left"/>
            </w:pPr>
            <w:r>
              <w:rPr>
                <w:sz w:val="18"/>
              </w:rPr>
              <w:t xml:space="preserve">~$480K–$640K</w:t>
            </w:r>
          </w:p>
        </w:tc>
        <w:tc>
          <w:tcPr>
            <w:tcW w:w="4185" w:type="dxa"/>
          </w:tcPr>
          <w:p>
            <w:pPr>
              <w:pStyle w:val="Compact"/>
              <w:jc w:val="left"/>
            </w:pPr>
            <w:r>
              <w:rPr>
                <w:sz w:val="18"/>
              </w:rPr>
              <w:t xml:space="preserve">Master schedule; risk register; stakeholder comms; dashboard</w:t>
            </w:r>
          </w:p>
        </w:tc>
      </w:tr>
      <w:tr>
        <w:trPr/>
        <w:tc>
          <w:tcPr>
            <w:tcW w:w="2040" w:type="dxa"/>
          </w:tcPr>
          <w:p>
            <w:pPr>
              <w:pStyle w:val="Compact"/>
              <w:jc w:val="left"/>
            </w:pPr>
            <w:r>
              <w:rPr>
                <w:sz w:val="18"/>
              </w:rPr>
              <w:t xml:space="preserve">PPM software</w:t>
            </w:r>
          </w:p>
        </w:tc>
        <w:tc>
          <w:tcPr>
            <w:tcW w:w="1290" w:type="dxa"/>
          </w:tcPr>
          <w:p>
            <w:pPr>
              <w:pStyle w:val="Compact"/>
              <w:jc w:val="left"/>
            </w:pPr>
            <w:r>
              <w:rPr>
                <w:sz w:val="18"/>
              </w:rPr>
              <w:t xml:space="preserve">$50K–$100K</w:t>
            </w:r>
          </w:p>
        </w:tc>
        <w:tc>
          <w:tcPr>
            <w:tcW w:w="1545" w:type="dxa"/>
          </w:tcPr>
          <w:p>
            <w:pPr>
              <w:pStyle w:val="Compact"/>
              <w:jc w:val="left"/>
            </w:pPr>
            <w:r>
              <w:rPr>
                <w:sz w:val="18"/>
              </w:rPr>
              <w:t xml:space="preserve">~$250K–$500K</w:t>
            </w:r>
          </w:p>
        </w:tc>
        <w:tc>
          <w:tcPr>
            <w:tcW w:w="4185" w:type="dxa"/>
          </w:tcPr>
          <w:p>
            <w:pPr>
              <w:pStyle w:val="Compact"/>
              <w:jc w:val="left"/>
            </w:pPr>
            <w:r>
              <w:rPr>
                <w:sz w:val="18"/>
              </w:rPr>
              <w:t xml:space="preserve">Real-time visibility; resource optimization; audit trail for Act 68</w:t>
            </w:r>
          </w:p>
        </w:tc>
      </w:tr>
      <w:tr>
        <w:trPr/>
        <w:tc>
          <w:tcPr>
            <w:tcW w:w="2040" w:type="dxa"/>
          </w:tcPr>
          <w:p>
            <w:pPr>
              <w:pStyle w:val="Compact"/>
              <w:jc w:val="left"/>
            </w:pPr>
            <w:r>
              <w:rPr>
                <w:sz w:val="18"/>
              </w:rPr>
              <w:t xml:space="preserve">Six pillar PMs (shared)</w:t>
            </w:r>
          </w:p>
        </w:tc>
        <w:tc>
          <w:tcPr>
            <w:tcW w:w="1290" w:type="dxa"/>
          </w:tcPr>
          <w:p>
            <w:pPr>
              <w:pStyle w:val="Compact"/>
              <w:jc w:val="left"/>
            </w:pPr>
            <w:r>
              <w:rPr>
                <w:sz w:val="18"/>
              </w:rPr>
              <w:t xml:space="preserve">$600K–$1M</w:t>
            </w:r>
          </w:p>
        </w:tc>
        <w:tc>
          <w:tcPr>
            <w:tcW w:w="1545" w:type="dxa"/>
          </w:tcPr>
          <w:p>
            <w:pPr>
              <w:pStyle w:val="Compact"/>
              <w:jc w:val="left"/>
            </w:pPr>
            <w:r>
              <w:rPr>
                <w:sz w:val="18"/>
              </w:rPr>
              <w:t xml:space="preserve">~$3M–$5M</w:t>
            </w:r>
          </w:p>
        </w:tc>
        <w:tc>
          <w:tcPr>
            <w:tcW w:w="4185" w:type="dxa"/>
          </w:tcPr>
          <w:p>
            <w:pPr>
              <w:pStyle w:val="Compact"/>
              <w:jc w:val="left"/>
            </w:pPr>
            <w:r>
              <w:rPr>
                <w:sz w:val="18"/>
              </w:rPr>
              <w:t xml:space="preserve">Pillar-level delivery accountability; critical-path management</w:t>
            </w:r>
          </w:p>
        </w:tc>
      </w:tr>
      <w:tr>
        <w:trPr>
          <w:cantSplit/>
        </w:trPr>
        <w:tc>
          <w:tcPr>
            <w:tcW w:w="2040" w:type="dxa"/>
          </w:tcPr>
          <w:p>
            <w:pPr>
              <w:pStyle w:val="Compact"/>
              <w:jc w:val="left"/>
            </w:pPr>
            <w:r>
              <w:rPr>
                <w:sz w:val="18"/>
              </w:rPr>
              <w:t xml:space="preserve">Total</w:t>
            </w:r>
          </w:p>
        </w:tc>
        <w:tc>
          <w:tcPr>
            <w:tcW w:w="1290" w:type="dxa"/>
          </w:tcPr>
          <w:p>
            <w:pPr>
              <w:pStyle w:val="Compact"/>
              <w:jc w:val="left"/>
            </w:pPr>
            <w:r>
              <w:rPr>
                <w:sz w:val="18"/>
              </w:rPr>
              <w:t xml:space="preserve">~$1M–$1.5M</w:t>
            </w:r>
          </w:p>
        </w:tc>
        <w:tc>
          <w:tcPr>
            <w:tcW w:w="1545" w:type="dxa"/>
          </w:tcPr>
          <w:p>
            <w:pPr>
              <w:pStyle w:val="Compact"/>
              <w:jc w:val="left"/>
            </w:pPr>
            <w:r>
              <w:rPr>
                <w:sz w:val="18"/>
              </w:rPr>
              <w:t xml:space="preserve">~$4.5M–$7.5M</w:t>
            </w:r>
          </w:p>
        </w:tc>
        <w:tc>
          <w:tcPr>
            <w:tcW w:w="4185" w:type="dxa"/>
          </w:tcPr>
          <w:p>
            <w:pPr>
              <w:pStyle w:val="Compact"/>
              <w:jc w:val="left"/>
            </w:pPr>
            <w:r>
              <w:rPr>
                <w:sz w:val="18"/>
              </w:rPr>
              <w:t xml:space="preserve">&lt;2% of the portfolio value managed vs. $195M RHT + ~$150M/yr EAST Fund + $300M+ RBP savings</w:t>
            </w:r>
          </w:p>
        </w:tc>
      </w:tr>
    </w:tbl>
    <w:p>
      <w:pPr>
        <w:pStyle w:val="Caption"/>
        <w:spacing w:before="120"/>
      </w:pPr>
      <w:r>
        <w:rPr>
          <w:i/>
          <w:iCs/>
        </w:rPr>
        <w:t xml:space="preserve">Figure 15.7 — Business case for portfolio-management investment. Sources: PMI Pulse of the Profession (2017); Vermont RHT Program Application; Act 68 EAST Fund allocation; PMI salary data.</w:t>
      </w:r>
    </w:p>
    <w:p>
      <w:pPr>
        <w:pStyle w:val="BodyText"/>
      </w:pPr>
      <w:r>
        <w:t xml:space="preserve">The cost-benefit table omits the cost of failure. Without adequate PMO infrastructure, Vermont risks delivering the December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pPr>
        <w:pStyle w:val="Heading2"/>
        <w:pBdr>
          <w:top w:val="single" w:sz="6" w:space="10" w:color="C9D2DF"/>
        </w:pBdr>
      </w:pPr>
      <w:r>
        <w:rPr>
          <w:color w:val="161B22"/>
        </w:rPr>
        <w:t xml:space="preserve">15.12  </w:t>
      </w:r>
      <w:bookmarkStart w:id="1421" w:name="_Toc1420"/>
      <w:r>
        <w:rPr>
          <w:b/>
          <w:bCs/>
          <w:color w:val="161B22"/>
        </w:rPr>
        <w:t xml:space="preserve">Implementation Roadmap</w:t>
      </w:r>
      <w:bookmarkEnd w:id="1421"/>
    </w:p>
    <w:p>
      <w:pPr>
        <w:pStyle w:val="FirstParagraph"/>
      </w:pPr>
      <w:r>
        <w:t xml:space="preserve">Q1–Q2 2026: Post the Portfolio Manager position (PfMP preferred); begin recruitment (AHS Secretary).</w:t>
      </w:r>
    </w:p>
    <w:p>
      <w:pPr>
        <w:pStyle w:val="BodyText"/>
      </w:pPr>
      <w:r>
        <w:t xml:space="preserve">Q2 2026: Portfolio Manager hired; portfolio register (Figure 15.3) and risk register formalized.</w:t>
      </w:r>
    </w:p>
    <w:p>
      <w:pPr>
        <w:pStyle w:val="BodyText"/>
      </w:pPr>
      <w:r>
        <w:t xml:space="preserve">Q3 2026: Integrated master schedule developed; all 19 component leads identified; PMO analyst positions posted.</w:t>
      </w:r>
    </w:p>
    <w:p>
      <w:pPr>
        <w:pStyle w:val="BodyText"/>
      </w:pPr>
      <w:r>
        <w:t xml:space="preserve">Q4 2026: PMO software deployed; monthly dashboard live; first formal Portfolio Governance Board meeting.</w:t>
      </w:r>
    </w:p>
    <w:p>
      <w:pPr>
        <w:pStyle w:val="BodyText"/>
      </w:pPr>
      <w:r>
        <w:t xml:space="preserve">Q1 2027: Six pillar PMs designated; weekly pillar-level reporting; resource-conflict resolution operational.</w:t>
      </w:r>
    </w:p>
    <w:p>
      <w:pPr>
        <w:pStyle w:val="BodyText"/>
      </w:pPr>
      <w:r>
        <w:t xml:space="preserve">Q2 2027 onward: Monthly governance reviews; quarterly performance reviews vs. the Vermont Scorecard; annual portfolio rebalancing.</w:t>
      </w:r>
    </w:p>
    <w:p>
      <w:pPr>
        <w:pStyle w:val="BodyText"/>
      </w:pPr>
      <w:r>
        <w:t xml:space="preserve">December 2028: Strategic Plan delivered with portfolio-management evidence — benefits realized, risks managed, resources optimally deployed; PMO transitions to the three-year update cycle.</w:t>
      </w:r>
    </w:p>
    <w:p>
      <w:pPr>
        <w:pStyle w:val="Heading2"/>
        <w:pBdr>
          <w:top w:val="single" w:sz="6" w:space="10" w:color="C9D2DF"/>
        </w:pBdr>
      </w:pPr>
      <w:r>
        <w:rPr>
          <w:color w:val="161B22"/>
        </w:rPr>
        <w:t xml:space="preserve">15.13  </w:t>
      </w:r>
      <w:bookmarkStart w:id="1422" w:name="_Toc1421"/>
      <w:r>
        <w:rPr>
          <w:b/>
          <w:bCs/>
          <w:color w:val="161B22"/>
        </w:rPr>
        <w:t xml:space="preserve">Answering the Four Objections</w:t>
      </w:r>
      <w:bookmarkEnd w:id="1422"/>
    </w:p>
    <w:p>
      <w:pPr>
        <w:numPr>
          <w:ilvl w:val="0"/>
          <w:numId w:val="1034"/>
        </w:numPr>
        <w:keepLines w:val="true"/>
        <w:keepNext w:val="true"/>
      </w:pPr>
      <w:r>
        <w:t xml:space="preserve">“We already manage this — we have the HCAC and monthly reports.”</w:t>
      </w:r>
      <w:r>
        <w:t xml:space="preserve"> </w:t>
      </w:r>
      <w:r>
        <w:t xml:space="preserve">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pPr>
        <w:numPr>
          <w:ilvl w:val="0"/>
          <w:numId w:val="1034"/>
        </w:numPr>
        <w:keepLines w:val="true"/>
        <w:keepNext w:val="true"/>
      </w:pPr>
      <w:r>
        <w:t xml:space="preserve">“This is government — we don’t run projects like the private sector.”</w:t>
      </w:r>
      <w:r>
        <w:t xml:space="preserve"> </w:t>
      </w:r>
      <w:r>
        <w:t xml:space="preserve">Vermont’s transformation is a time-bounded, outcome-specified, heavily financed portfolio of interdependent programs with legally binding deadlines. The AHEAD State Agreement is a federal contract; the RHT Program is a federal grant with deliverables; Act 68 is a statutory mandate with a December 2028 deliverable. Federal partners expect professional project management — the GAO uses PMI’s PMBOK as a reference standard.</w:t>
      </w:r>
    </w:p>
    <w:p>
      <w:pPr>
        <w:numPr>
          <w:ilvl w:val="0"/>
          <w:numId w:val="1034"/>
        </w:numPr>
        <w:keepLines w:val="true"/>
        <w:keepNext w:val="true"/>
      </w:pPr>
      <w:r>
        <w:t xml:space="preserve">“We can’t afford a Portfolio Manager when we’re cutting budgets.”</w:t>
      </w:r>
      <w:r>
        <w:t xml:space="preserve"> </w:t>
      </w:r>
      <w:r>
        <w:t xml:space="preserve">Vermont cannot afford not to have one. RHT funds are contingent on demonstrated progress; a portfolio that misses its components risks federal clawback. The ~$4.5–7.5M cost is roughly 2% of the value it protects, and the alternative is the multi-billion-dollar partial-transformation outcome.</w:t>
      </w:r>
    </w:p>
    <w:p>
      <w:pPr>
        <w:numPr>
          <w:ilvl w:val="0"/>
          <w:numId w:val="1034"/>
        </w:numPr>
        <w:keepLines w:val="true"/>
      </w:pPr>
      <w:r>
        <w:t xml:space="preserve">“The hospitals won’t accept being managed by AHS.”</w:t>
      </w:r>
      <w:r>
        <w:t xml:space="preserve"> </w:t>
      </w:r>
      <w:r>
        <w:t xml:space="preserve">The Portfolio Manager does not manage the hospitals — it manages AHS’s contribution to the portfolio. Hospital plans are produced by hospitals, approved by AHS, and monitored through GMCB. The Portfolio Manager is Vermont’s transformation orchestrator, not its controller.</w:t>
      </w:r>
    </w:p>
    <w:p>
      <w:pPr>
        <w:pStyle w:val="Heading2"/>
        <w:pBdr>
          <w:top w:val="single" w:sz="6" w:space="10" w:color="C9D2DF"/>
        </w:pBdr>
        <w:keepNext w:val="false"/>
      </w:pPr>
      <w:r>
        <w:rPr>
          <w:color w:val="161B22"/>
        </w:rPr>
        <w:t xml:space="preserve">15.14  </w:t>
      </w:r>
      <w:bookmarkStart w:id="1423" w:name="_Toc1422"/>
      <w:r>
        <w:rPr>
          <w:b/>
          <w:bCs/>
          <w:color w:val="161B22"/>
        </w:rPr>
        <w:t xml:space="preserve">Work This Chapter on the Platform</w:t>
      </w:r>
      <w:bookmarkEnd w:id="1423"/>
    </w:p>
    <w:p>
      <w:pPr>
        <w:pStyle w:val="FirstParagraph"/>
        <w:keepNext w:val="false"/>
      </w:pPr>
      <w:r>
        <w:t xml:space="preserve">A portfolio is easier to manage when you can see it. The</w:t>
      </w:r>
      <w:r>
        <w:t xml:space="preserve"> </w:t>
      </w:r>
      <w:hyperlink r:id="rId23">
        <w:r>
          <w:rPr>
            <w:rStyle w:val="Hyperlink"/>
          </w:rPr>
          <w:t xml:space="preserve">HTR platform</w:t>
        </w:r>
      </w:hyperlink>
      <w:r>
        <w:t xml:space="preserve"> </w:t>
      </w:r>
      <w:r>
        <w:t xml:space="preserve">carries the tracking and diagnostic tools this chapter argues an AHS PMO would otherwise have to build from scratch.</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Identify which pillar is the binding constraint on the whole portfolio right now</w:t>
            </w:r>
          </w:p>
        </w:tc>
        <w:tc>
          <w:tcPr>
            <w:tcW w:w="947" w:type="dxa"/>
          </w:tcPr>
          <w:p>
            <w:pPr>
              <w:pStyle w:val="Compact"/>
              <w:jc w:val="left"/>
            </w:pPr>
            <w:hyperlink r:id="rId89">
              <w:r>
                <w:rPr>
                  <w:rStyle w:val="Hyperlink"/>
                  <w:b/>
                  <w:bCs/>
                </w:rPr>
                <w:t xml:space="preserve">Transformation Friction Index</w:t>
              </w:r>
            </w:hyperlink>
          </w:p>
        </w:tc>
        <w:tc>
          <w:tcPr>
            <w:tcW w:w="4062" w:type="dxa"/>
          </w:tcPr>
          <w:p>
            <w:pPr>
              <w:pStyle w:val="Compact"/>
              <w:jc w:val="left"/>
            </w:pPr>
            <w:r>
              <w:rPr>
                <w:sz w:val="18"/>
              </w:rPr>
              <w:t xml:space="preserve">The pillar with the highest friction score is where the portfolio manager’s attention belongs — not the component with the nearest deadline.</w:t>
            </w:r>
          </w:p>
        </w:tc>
      </w:tr>
      <w:tr>
        <w:trPr/>
        <w:tc>
          <w:tcPr>
            <w:tcW w:w="4062" w:type="dxa"/>
          </w:tcPr>
          <w:p>
            <w:pPr>
              <w:pStyle w:val="Compact"/>
              <w:jc w:val="left"/>
            </w:pPr>
            <w:r>
              <w:rPr>
                <w:sz w:val="18"/>
              </w:rPr>
              <w:t xml:space="preserve">Track the capital committed against each pillar and see where funding and dependency order disagree</w:t>
            </w:r>
          </w:p>
        </w:tc>
        <w:tc>
          <w:tcPr>
            <w:tcW w:w="947" w:type="dxa"/>
          </w:tcPr>
          <w:p>
            <w:pPr>
              <w:pStyle w:val="Compact"/>
              <w:jc w:val="left"/>
            </w:pPr>
            <w:hyperlink r:id="rId462">
              <w:r>
                <w:rPr>
                  <w:rStyle w:val="Hyperlink"/>
                  <w:b/>
                  <w:bCs/>
                </w:rPr>
                <w:t xml:space="preserve">Investment Tracker</w:t>
              </w:r>
            </w:hyperlink>
          </w:p>
        </w:tc>
        <w:tc>
          <w:tcPr>
            <w:tcW w:w="4062" w:type="dxa"/>
          </w:tcPr>
          <w:p>
            <w:pPr>
              <w:pStyle w:val="Compact"/>
              <w:jc w:val="left"/>
            </w:pPr>
            <w:r>
              <w:rPr>
                <w:sz w:val="18"/>
              </w:rPr>
              <w:t xml:space="preserve">Components funded ahead of their upstream gate. Money moving faster than dependency order is the early signal of premature investment.</w:t>
            </w:r>
          </w:p>
        </w:tc>
      </w:tr>
      <w:tr>
        <w:trPr/>
        <w:tc>
          <w:tcPr>
            <w:tcW w:w="4062" w:type="dxa"/>
          </w:tcPr>
          <w:p>
            <w:pPr>
              <w:pStyle w:val="Compact"/>
              <w:jc w:val="left"/>
            </w:pPr>
            <w:r>
              <w:rPr>
                <w:sz w:val="18"/>
              </w:rPr>
              <w:t xml:space="preserve">Watch the six-pillar status of a transformation move over time rather than at a single reporting date</w:t>
            </w:r>
          </w:p>
        </w:tc>
        <w:tc>
          <w:tcPr>
            <w:tcW w:w="947" w:type="dxa"/>
          </w:tcPr>
          <w:p>
            <w:pPr>
              <w:pStyle w:val="Compact"/>
              <w:jc w:val="left"/>
            </w:pPr>
            <w:hyperlink r:id="rId426">
              <w:r>
                <w:rPr>
                  <w:rStyle w:val="Hyperlink"/>
                  <w:b/>
                  <w:bCs/>
                </w:rPr>
                <w:t xml:space="preserve">HTI Dashboard</w:t>
              </w:r>
            </w:hyperlink>
          </w:p>
        </w:tc>
        <w:tc>
          <w:tcPr>
            <w:tcW w:w="4062" w:type="dxa"/>
          </w:tcPr>
          <w:p>
            <w:pPr>
              <w:pStyle w:val="Compact"/>
              <w:jc w:val="left"/>
            </w:pPr>
            <w:r>
              <w:rPr>
                <w:sz w:val="18"/>
              </w:rPr>
              <w:t xml:space="preserve">Whether a pillar’s status is improving, flat, or decaying between reporting intervals — the trend a monthly report cannot show.</w:t>
            </w:r>
          </w:p>
        </w:tc>
      </w:tr>
      <w:tr>
        <w:trPr/>
        <w:tc>
          <w:tcPr>
            <w:tcW w:w="4062" w:type="dxa"/>
          </w:tcPr>
          <w:p>
            <w:pPr>
              <w:pStyle w:val="Compact"/>
              <w:jc w:val="left"/>
            </w:pPr>
            <w:r>
              <w:rPr>
                <w:sz w:val="18"/>
              </w:rPr>
              <w:t xml:space="preserve">Test what happens to composite readiness when one component slips</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Drop the Technology score and watch Economics and Clinical fall with it. This is the risk register’s R-01 in visual form.</w:t>
            </w:r>
          </w:p>
        </w:tc>
      </w:tr>
      <w:tr>
        <w:trPr/>
        <w:tc>
          <w:tcPr>
            <w:tcW w:w="4062" w:type="dxa"/>
          </w:tcPr>
          <w:p>
            <w:pPr>
              <w:pStyle w:val="Compact"/>
              <w:jc w:val="left"/>
            </w:pPr>
            <w:r>
              <w:rPr>
                <w:sz w:val="18"/>
              </w:rPr>
              <w:t xml:space="preserve">Score the portfolio’s six-pillar status the way an outside reviewer would</w:t>
            </w:r>
          </w:p>
        </w:tc>
        <w:tc>
          <w:tcPr>
            <w:tcW w:w="947"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4062" w:type="dxa"/>
          </w:tcPr>
          <w:p>
            <w:pPr>
              <w:pStyle w:val="Compact"/>
              <w:jc w:val="left"/>
            </w:pPr>
            <w:r>
              <w:rPr>
                <w:sz w:val="18"/>
              </w:rPr>
              <w:t xml:space="preserve">Divergence between the PMO’s status reporting and the scorecard is itself a governance finding.</w:t>
            </w:r>
          </w:p>
        </w:tc>
      </w:tr>
      <w:tr>
        <w:trPr>
          <w:cantSplit/>
        </w:trPr>
        <w:tc>
          <w:tcPr>
            <w:tcW w:w="4062" w:type="dxa"/>
          </w:tcPr>
          <w:p>
            <w:pPr>
              <w:pStyle w:val="Compact"/>
              <w:jc w:val="left"/>
            </w:pPr>
            <w:r>
              <w:rPr>
                <w:sz w:val="18"/>
              </w:rPr>
              <w:t xml:space="preserve">Model what a single component slipping does to the rest of the portfolio</w:t>
            </w:r>
          </w:p>
        </w:tc>
        <w:tc>
          <w:tcPr>
            <w:tcW w:w="947" w:type="dxa"/>
          </w:tcPr>
          <w:p>
            <w:pPr>
              <w:pStyle w:val="Compact"/>
              <w:jc w:val="left"/>
            </w:pPr>
            <w:r>
              <w:rPr>
                <w:b/>
                <w:bCs/>
                <w:sz w:val="18"/>
              </w:rPr>
              <w:t xml:space="preserve">Impact Simulation</w:t>
            </w:r>
            <w:r>
              <w:rPr>
                <w:sz w:val="18"/>
              </w:rPr>
              <w:t xml:space="preserve"> </w:t>
            </w:r>
            <w:r>
              <w:rPr>
                <w:sz w:val="18"/>
              </w:rPr>
              <w:t xml:space="preserve">—</w:t>
            </w:r>
            <w:r>
              <w:rPr>
                <w:sz w:val="18"/>
              </w:rPr>
              <w:t xml:space="preserve"> </w:t>
            </w:r>
            <w:r>
              <w:rPr>
                <w:rStyle w:val="VerbatimChar"/>
                <w:sz w:val="18"/>
              </w:rPr>
              <w:t xml:space="preserve">/impact-simulation</w:t>
            </w:r>
          </w:p>
        </w:tc>
        <w:tc>
          <w:tcPr>
            <w:tcW w:w="4062" w:type="dxa"/>
          </w:tcPr>
          <w:p>
            <w:pPr>
              <w:pStyle w:val="Compact"/>
              <w:jc w:val="left"/>
            </w:pPr>
            <w:r>
              <w:rPr>
                <w:sz w:val="18"/>
              </w:rPr>
              <w:t xml:space="preserve">Which components have no slack: the ones whose slip moves other pillars’ outcomes.</w:t>
            </w:r>
          </w:p>
        </w:tc>
      </w:tr>
    </w:tbl>
    <w:p>
      <w:pPr>
        <w:pStyle w:val="Caption"/>
        <w:keepNext/>
        <w:spacing w:before="120"/>
      </w:pPr>
      <w:r>
        <w:rPr>
          <w:i/>
          <w:iCs/>
        </w:rPr>
        <w:t xml:space="preserve">Figure 15.H — Hands-on platform tools for Chapter 15: running the transformation portfolio.</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TRY THIS — Find your own portfolio’s binding constraint.</w:t>
            </w:r>
          </w:p>
          <w:p>
            <w:pPr>
              <w:spacing w:after="60" w:line="264" w:lineRule="auto"/>
            </w:pPr>
            <w:r>
              <w:rPr>
                <w:sz w:val="20"/>
                <w:szCs w:val="20"/>
              </w:rPr>
              <w:t xml:space="preserve">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and score your organization or state on each pillar. Then list your three most urgent initiatives by deadline. If none of them sits in your highest-friction pillar, your portfolio is being scheduled by calendar rather than by dependency — the failure this chapter is written to prevent.</w:t>
            </w:r>
          </w:p>
        </w:tc>
      </w:tr>
    </w:tbl>
    <w:p>
      <w:pPr>
        <w:spacing w:after="120"/>
      </w:pPr>
    </w:p>
    <w:p>
      <w:pPr>
        <w:pStyle w:val="Heading2"/>
        <w:pBdr>
          <w:top w:val="single" w:sz="6" w:space="10" w:color="C9D2DF"/>
        </w:pBdr>
      </w:pPr>
      <w:r>
        <w:rPr>
          <w:color w:val="161B22"/>
        </w:rPr>
        <w:t xml:space="preserve">15.15  </w:t>
      </w:r>
      <w:bookmarkStart w:id="1424" w:name="_Toc1423"/>
      <w:r>
        <w:rPr>
          <w:b/>
          <w:bCs/>
          <w:color w:val="161B22"/>
        </w:rPr>
        <w:t xml:space="preserve">Implications for You</w:t>
      </w:r>
      <w:bookmarkEnd w:id="1424"/>
    </w:p>
    <w:p>
      <w:pPr>
        <w:pStyle w:val="FirstParagraph"/>
      </w:pPr>
      <w:r>
        <w:rPr>
          <w:b/>
          <w:bCs/>
        </w:rPr>
        <w:t xml:space="preserve">If you are an AHS or state agency leader:</w:t>
      </w:r>
      <w:r>
        <w:t xml:space="preserve"> </w:t>
      </w:r>
      <w:r>
        <w:t xml:space="preserve">the argument of this chapter is not that Vermont needs more oversight — it has the HCAC, monthly legislative reporting, and federal review. It needs an</w:t>
      </w:r>
      <w:r>
        <w:t xml:space="preserve"> </w:t>
      </w:r>
      <w:r>
        <w:rPr>
          <w:i/>
          <w:iCs/>
        </w:rPr>
        <w:t xml:space="preserve">integrator</w:t>
      </w:r>
      <w:r>
        <w:t xml:space="preserve">: one role accountable for the portfolio as a whole, with authority to resolve resource conflicts between components that today are managed by different units against different deadlines. The single most consequential decision is not whether to hire a Portfolio Manager but whether that role is given authority over sequencing. A PMO that reports status without the power to hold a component back until its upstream gate opens will document the cascade rather than prevent it.</w:t>
      </w:r>
    </w:p>
    <w:p>
      <w:pPr>
        <w:pStyle w:val="BodyText"/>
      </w:pPr>
      <w:r>
        <w:rPr>
          <w:b/>
          <w:bCs/>
        </w:rPr>
        <w:t xml:space="preserve">If you lead a hospital PMO or transformation office:</w:t>
      </w:r>
      <w:r>
        <w:t xml:space="preserve"> </w:t>
      </w:r>
      <w:r>
        <w:t xml:space="preserve">Figure 15.3 is a template, not a Vermont artifact. Build the same inventory for your own organization — every initiative touching the six pillars, each assigned a pillar, an owner, a type, and a stage gate. Most organizations discover in that exercise that they are running more simultaneous transformation components than they had counted, that several have no named owner, and that two or three are downstream of a gate nobody is tracking. Then apply the sequencing test above: the components correctly waiting are not your problem; the ones running ahead of their dependencies are.</w:t>
      </w:r>
    </w:p>
    <w:p>
      <w:pPr>
        <w:pStyle w:val="BodyText"/>
      </w:pPr>
      <w:r>
        <w:rPr>
          <w:b/>
          <w:bCs/>
        </w:rPr>
        <w:t xml:space="preserve">If you are a legislator or board member:</w:t>
      </w:r>
      <w:r>
        <w:t xml:space="preserve"> </w:t>
      </w:r>
      <w:r>
        <w:t xml:space="preserve">the oversight question that separates a real portfolio from a reporting exercise is short.</w:t>
      </w:r>
      <w:r>
        <w:t xml:space="preserve"> </w:t>
      </w:r>
      <w:r>
        <w:rPr>
          <w:i/>
          <w:iCs/>
        </w:rPr>
        <w:t xml:space="preserve">Which component is currently the binding constraint on all the others, who owns it, and what would it take to accelerate it?</w:t>
      </w:r>
      <w:r>
        <w:t xml:space="preserve"> </w:t>
      </w:r>
      <w:r>
        <w:t xml:space="preserve">An organization managing a genuine portfolio can answer in one sentence. An organization managing a list will answer with a status summary of all nineteen.</w:t>
      </w:r>
    </w:p>
    <w:p>
      <w:pPr>
        <w:pStyle w:val="BodyText"/>
      </w:pPr>
      <w:r>
        <w:rPr>
          <w:b/>
          <w:bCs/>
        </w:rPr>
        <w:t xml:space="preserve">If you are in another state:</w:t>
      </w:r>
      <w:r>
        <w:t xml:space="preserve"> </w:t>
      </w:r>
      <w:r>
        <w:t xml:space="preserve">the portfolio does not have to be nineteen components or built on PMI’s standard specifically. What transfers is the discipline of defining the portfolio at all — naming every component, assigning each to a pillar and an owner, and scheduling by dependency rather than by deadline. States that skip this step do not avoid portfolio management; they do it implicitly, badly, and without anyone accountable for the result.</w:t>
      </w:r>
    </w:p>
    <w:p>
      <w:pPr>
        <w:pStyle w:val="Heading2"/>
        <w:pBdr>
          <w:top w:val="single" w:sz="6" w:space="10" w:color="C9D2DF"/>
        </w:pBdr>
      </w:pPr>
      <w:r>
        <w:rPr>
          <w:color w:val="161B22"/>
        </w:rPr>
        <w:t xml:space="preserve">15.16  </w:t>
      </w:r>
      <w:bookmarkStart w:id="1425" w:name="_Toc1424"/>
      <w:r>
        <w:rPr>
          <w:b/>
          <w:bCs/>
          <w:color w:val="161B22"/>
        </w:rPr>
        <w:t xml:space="preserve">Key Concepts in This Chapter</w:t>
      </w:r>
      <w:bookmarkEnd w:id="1425"/>
    </w:p>
    <w:p>
      <w:pPr>
        <w:pStyle w:val="FirstParagraph"/>
        <w:spacing w:before="160" w:after="120"/>
      </w:pPr>
      <w:r>
        <w:rPr>
          <w:rFonts w:ascii="Calibri" w:hAnsi="Calibri"/>
          <w:color w:val="000000"/>
          <w:sz w:val="18"/>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(5th ed.) and the PMBOK Guide (7th ed.), applied to Vermont’s 19-component transformation portfolio measured against Act 167’s five goals.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PMI Standard for Portfolio Management, 5th ed. (2017); PMBOK Guide, 7th ed. (2021); PMI Program Management Standard, 3rd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w:t>
      </w:r>
    </w:p>
    <w:p>
      <w:r>
        <w:br w:type="page"/>
      </w:r>
    </w:p>
    <w:p>
      <w:pPr>
        <w:pStyle w:val="Heading1"/>
      </w:pPr>
      <w:bookmarkStart w:id="1426" w:name="_Toc1425"/>
      <w:r>
        <w:rPr>
          <w:b/>
          <w:bCs/>
          <w:color w:val="161B22"/>
        </w:rPr>
        <w:t xml:space="preserve">Chapter 16 — The AHS Restructuring Roadmap: A Six-Pillar Framework for System Architects</w:t>
      </w:r>
      <w:bookmarkEnd w:id="142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Written for AHS staff, Health Care Delivery Advisory Committee members, Vermont legislators, and hospital leaders who must deliver the Statewide Health Care Delivery Strategic Plan by December 2028.</w:t>
      </w:r>
    </w:p>
    <w:p>
      <w:pPr>
        <w:pStyle w:val="BodyText"/>
      </w:pPr>
      <w:r>
        <w:t xml:space="preserve">Unlike most other chapters in this book, this one is deliberately written as an operational playbook for a single named agency rather than a general framework illustrated by a Vermont example — because the six-pillar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w:t>
      </w:r>
      <w:r>
        <w:t xml:space="preserve"> </w:t>
      </w:r>
      <w:r>
        <w:t xml:space="preserve">“Vermont as National Template,”</w:t>
      </w:r>
      <w:r>
        <w:t xml:space="preserve"> </w:t>
      </w:r>
      <w:r>
        <w:t xml:space="preserve">addresses that question directly.</w:t>
      </w:r>
    </w:p>
    <w:p>
      <w:pPr>
        <w:pStyle w:val="Heading2"/>
        <w:pBdr>
          <w:top w:val="single" w:sz="6" w:space="10" w:color="C9D2DF"/>
        </w:pBdr>
        <w:keepNext w:val="false"/>
      </w:pPr>
      <w:r>
        <w:rPr>
          <w:color w:val="161B22"/>
        </w:rPr>
        <w:t xml:space="preserve">16.1  </w:t>
      </w:r>
      <w:bookmarkStart w:id="1427" w:name="_Toc1426"/>
      <w:r>
        <w:rPr>
          <w:b/>
          <w:bCs/>
          <w:color w:val="161B22"/>
        </w:rPr>
        <w:t xml:space="preserve">The Statutory Mandate — What Act 68 Actually Requires AHS to Do</w:t>
      </w:r>
      <w:bookmarkEnd w:id="1427"/>
    </w:p>
    <w:p>
      <w:pPr>
        <w:pStyle w:val="FirstParagraph"/>
        <w:keepNext w:val="false"/>
      </w:pPr>
      <w:r>
        <w:t xml:space="preserve">Act 68 requires AHS to deliver a Statewide Health Care Delivery Strategic Plan to the Vermont Legislature by December 1, 2028. The most important thing to understand about that mandate is that it is not a mandate to write a plan. It is a mandate to become a different kind of organization.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HTRTable"/>
        <w:tblLook w:firstRow="1" w:lastRow="0" w:firstColumn="0" w:lastColumn="0" w:noHBand="0" w:noVBand="1" w:val="0020"/>
        <w:tblW w:w="9072" w:type="dxa"/>
        <w:tblLayout w:type="fixed"/>
      </w:tblPr>
      <w:tblGrid>
        <w:gridCol w:w="2474"/>
        <w:gridCol w:w="3298"/>
        <w:gridCol w:w="3298"/>
      </w:tblGrid>
      <w:tr>
        <w:trPr>
          <w:tblHeader w:val="on"/>
          <w:cantSplit/>
        </w:trPr>
        <w:tc>
          <w:tcPr>
            <w:shd w:val="clear" w:color="auto" w:fill="1B3A6B"/>
            <w:tcW w:w="2474" w:type="dxa"/>
          </w:tcPr>
          <w:p>
            <w:pPr>
              <w:pStyle w:val="Compact"/>
              <w:jc w:val="left"/>
            </w:pPr>
            <w:r>
              <w:rPr>
                <w:b/>
                <w:color w:val="FFFFFF"/>
                <w:sz w:val="18"/>
              </w:rPr>
              <w:t xml:space="preserve">Statutory requirement</w:t>
            </w:r>
          </w:p>
        </w:tc>
        <w:tc>
          <w:tcPr>
            <w:shd w:val="clear" w:color="auto" w:fill="1B3A6B"/>
            <w:tcW w:w="3298" w:type="dxa"/>
          </w:tcPr>
          <w:p>
            <w:pPr>
              <w:pStyle w:val="Compact"/>
              <w:jc w:val="left"/>
            </w:pPr>
            <w:r>
              <w:rPr>
                <w:b/>
                <w:color w:val="FFFFFF"/>
                <w:sz w:val="18"/>
              </w:rPr>
              <w:t xml:space="preserve">What it means in practice</w:t>
            </w:r>
          </w:p>
        </w:tc>
        <w:tc>
          <w:tcPr>
            <w:shd w:val="clear" w:color="auto" w:fill="1B3A6B"/>
            <w:tcW w:w="3298" w:type="dxa"/>
          </w:tcPr>
          <w:p>
            <w:pPr>
              <w:pStyle w:val="Compact"/>
              <w:jc w:val="left"/>
            </w:pPr>
            <w:r>
              <w:rPr>
                <w:b/>
                <w:color w:val="FFFFFF"/>
                <w:sz w:val="18"/>
              </w:rPr>
              <w:t xml:space="preserve">Deadline</w:t>
            </w:r>
          </w:p>
        </w:tc>
      </w:tr>
      <w:tr>
        <w:trPr>
          <w:cantSplit/>
        </w:trPr>
        <w:tc>
          <w:tcPr>
            <w:tcW w:w="2474" w:type="dxa"/>
          </w:tcPr>
          <w:p>
            <w:pPr>
              <w:pStyle w:val="Compact"/>
              <w:jc w:val="left"/>
            </w:pPr>
            <w:r>
              <w:rPr>
                <w:sz w:val="18"/>
              </w:rPr>
              <w:t xml:space="preserve">Statewide Health Care Delivery Strategic Plan</w:t>
            </w:r>
          </w:p>
        </w:tc>
        <w:tc>
          <w:tcPr>
            <w:tcW w:w="3298" w:type="dxa"/>
          </w:tcPr>
          <w:p>
            <w:pPr>
              <w:pStyle w:val="Compact"/>
              <w:jc w:val="left"/>
            </w:pPr>
            <w:r>
              <w:rPr>
                <w:sz w:val="18"/>
              </w:rPr>
              <w:t xml:space="preserve">A comprehensive plan covering payment-reform trajectory, primary-care investment targets, hospital-network configuration, behavioral-health integration, equity goals, and administrative simplification. Updated every three years.</w:t>
            </w:r>
          </w:p>
        </w:tc>
        <w:tc>
          <w:tcPr>
            <w:tcW w:w="3298" w:type="dxa"/>
          </w:tcPr>
          <w:p>
            <w:pPr>
              <w:pStyle w:val="Compact"/>
              <w:jc w:val="left"/>
            </w:pPr>
            <w:r>
              <w:rPr>
                <w:sz w:val="18"/>
              </w:rPr>
              <w:t xml:space="preserve">First delivery: Dec 1, 2028</w:t>
            </w:r>
          </w:p>
        </w:tc>
      </w:tr>
      <w:tr>
        <w:trPr/>
        <w:tc>
          <w:tcPr>
            <w:tcW w:w="2474" w:type="dxa"/>
          </w:tcPr>
          <w:p>
            <w:pPr>
              <w:pStyle w:val="Compact"/>
              <w:jc w:val="left"/>
            </w:pPr>
            <w:r>
              <w:rPr>
                <w:sz w:val="18"/>
              </w:rPr>
              <w:t xml:space="preserve">Affordability benchmarks</w:t>
            </w:r>
          </w:p>
        </w:tc>
        <w:tc>
          <w:tcPr>
            <w:tcW w:w="3298" w:type="dxa"/>
          </w:tcPr>
          <w:p>
            <w:pPr>
              <w:pStyle w:val="Compact"/>
              <w:jc w:val="left"/>
            </w:pPr>
            <w:r>
              <w:rPr>
                <w:sz w:val="18"/>
              </w:rPr>
              <w:t xml:space="preserve">Specific, measurable affordability standards — not aspirational language; must define what</w:t>
            </w:r>
            <w:r>
              <w:rPr>
                <w:sz w:val="18"/>
              </w:rPr>
              <w:t xml:space="preserve"> </w:t>
            </w:r>
            <w:r>
              <w:rPr>
                <w:sz w:val="18"/>
              </w:rPr>
              <w:t xml:space="preserve">“affordable”</w:t>
            </w:r>
            <w:r>
              <w:rPr>
                <w:sz w:val="18"/>
              </w:rPr>
              <w:t xml:space="preserve"> </w:t>
            </w:r>
            <w:r>
              <w:rPr>
                <w:sz w:val="18"/>
              </w:rPr>
              <w:t xml:space="preserve">means for Vermont families and how progress is measured.</w:t>
            </w:r>
          </w:p>
        </w:tc>
        <w:tc>
          <w:tcPr>
            <w:tcW w:w="3298" w:type="dxa"/>
          </w:tcPr>
          <w:p>
            <w:pPr>
              <w:pStyle w:val="Compact"/>
              <w:jc w:val="left"/>
            </w:pPr>
            <w:r>
              <w:rPr>
                <w:sz w:val="18"/>
              </w:rPr>
              <w:t xml:space="preserve">Set by HCAC; in the plan</w:t>
            </w:r>
          </w:p>
        </w:tc>
      </w:tr>
      <w:tr>
        <w:trPr/>
        <w:tc>
          <w:tcPr>
            <w:tcW w:w="2474" w:type="dxa"/>
          </w:tcPr>
          <w:p>
            <w:pPr>
              <w:pStyle w:val="Compact"/>
              <w:jc w:val="left"/>
            </w:pPr>
            <w:r>
              <w:rPr>
                <w:sz w:val="18"/>
              </w:rPr>
              <w:t xml:space="preserve">Total-cost-of-care targets</w:t>
            </w:r>
          </w:p>
        </w:tc>
        <w:tc>
          <w:tcPr>
            <w:tcW w:w="3298" w:type="dxa"/>
          </w:tcPr>
          <w:p>
            <w:pPr>
              <w:pStyle w:val="Compact"/>
              <w:jc w:val="left"/>
            </w:pPr>
            <w:r>
              <w:rPr>
                <w:sz w:val="18"/>
              </w:rPr>
              <w:t xml:space="preserve">Quantified per-capita cost-growth targets, aligned with AHEAD and Act 68’s hospital-spending-reduction requirement.</w:t>
            </w:r>
          </w:p>
        </w:tc>
        <w:tc>
          <w:tcPr>
            <w:tcW w:w="3298" w:type="dxa"/>
          </w:tcPr>
          <w:p>
            <w:pPr>
              <w:pStyle w:val="Compact"/>
              <w:jc w:val="left"/>
            </w:pPr>
            <w:r>
              <w:rPr>
                <w:sz w:val="18"/>
              </w:rPr>
              <w:t xml:space="preserve">2.5% hospital-spending reduction for FY2026; AHEAD TCOC from 2027</w:t>
            </w:r>
          </w:p>
        </w:tc>
      </w:tr>
      <w:tr>
        <w:trPr/>
        <w:tc>
          <w:tcPr>
            <w:tcW w:w="2474" w:type="dxa"/>
          </w:tcPr>
          <w:p>
            <w:pPr>
              <w:pStyle w:val="Compact"/>
              <w:jc w:val="left"/>
            </w:pPr>
            <w:r>
              <w:rPr>
                <w:sz w:val="18"/>
              </w:rPr>
              <w:t xml:space="preserve">Standardized accountability metrics</w:t>
            </w:r>
          </w:p>
        </w:tc>
        <w:tc>
          <w:tcPr>
            <w:tcW w:w="3298" w:type="dxa"/>
          </w:tcPr>
          <w:p>
            <w:pPr>
              <w:pStyle w:val="Compact"/>
              <w:jc w:val="left"/>
            </w:pPr>
            <w:r>
              <w:rPr>
                <w:sz w:val="18"/>
              </w:rPr>
              <w:t xml:space="preserve">A defined set of outcome measures tied to the five Act 167 goals, reported monthly and used to evaluate the plan.</w:t>
            </w:r>
          </w:p>
        </w:tc>
        <w:tc>
          <w:tcPr>
            <w:tcW w:w="3298" w:type="dxa"/>
          </w:tcPr>
          <w:p>
            <w:pPr>
              <w:pStyle w:val="Compact"/>
              <w:jc w:val="left"/>
            </w:pPr>
            <w:r>
              <w:rPr>
                <w:sz w:val="18"/>
              </w:rPr>
              <w:t xml:space="preserve">Monthly already; full framework by plan delivery</w:t>
            </w:r>
          </w:p>
        </w:tc>
      </w:tr>
      <w:tr>
        <w:trPr/>
        <w:tc>
          <w:tcPr>
            <w:tcW w:w="2474" w:type="dxa"/>
          </w:tcPr>
          <w:p>
            <w:pPr>
              <w:pStyle w:val="Compact"/>
              <w:jc w:val="left"/>
            </w:pPr>
            <w:r>
              <w:rPr>
                <w:sz w:val="18"/>
              </w:rPr>
              <w:t xml:space="preserve">Primary-care investment plan</w:t>
            </w:r>
          </w:p>
        </w:tc>
        <w:tc>
          <w:tcPr>
            <w:tcW w:w="3298" w:type="dxa"/>
          </w:tcPr>
          <w:p>
            <w:pPr>
              <w:pStyle w:val="Compact"/>
              <w:jc w:val="left"/>
            </w:pPr>
            <w:r>
              <w:rPr>
                <w:sz w:val="18"/>
              </w:rPr>
              <w:t xml:space="preserve">A plan to raise primary care as a share of total spend (an AHEAD requirement), including Blueprint expansion, CCBHC development, and CoCM deployment.</w:t>
            </w:r>
          </w:p>
        </w:tc>
        <w:tc>
          <w:tcPr>
            <w:tcW w:w="3298" w:type="dxa"/>
          </w:tcPr>
          <w:p>
            <w:pPr>
              <w:pStyle w:val="Compact"/>
              <w:jc w:val="left"/>
            </w:pPr>
            <w:r>
              <w:rPr>
                <w:sz w:val="18"/>
              </w:rPr>
              <w:t xml:space="preserve">AHEAD targets from 2027; plan formalizes it</w:t>
            </w:r>
          </w:p>
        </w:tc>
      </w:tr>
      <w:tr>
        <w:trPr/>
        <w:tc>
          <w:tcPr>
            <w:tcW w:w="2474" w:type="dxa"/>
          </w:tcPr>
          <w:p>
            <w:pPr>
              <w:pStyle w:val="Compact"/>
              <w:jc w:val="left"/>
            </w:pPr>
            <w:r>
              <w:rPr>
                <w:sz w:val="18"/>
              </w:rPr>
              <w:t xml:space="preserve">Health-equity strategy</w:t>
            </w:r>
          </w:p>
        </w:tc>
        <w:tc>
          <w:tcPr>
            <w:tcW w:w="3298" w:type="dxa"/>
          </w:tcPr>
          <w:p>
            <w:pPr>
              <w:pStyle w:val="Compact"/>
              <w:jc w:val="left"/>
            </w:pPr>
            <w:r>
              <w:rPr>
                <w:sz w:val="18"/>
              </w:rPr>
              <w:t xml:space="preserve">A specific plan to reduce disparities in access and outcomes — required by Act 68.</w:t>
            </w:r>
          </w:p>
        </w:tc>
        <w:tc>
          <w:tcPr>
            <w:tcW w:w="3298" w:type="dxa"/>
          </w:tcPr>
          <w:p>
            <w:pPr>
              <w:pStyle w:val="Compact"/>
              <w:jc w:val="left"/>
            </w:pPr>
            <w:r>
              <w:rPr>
                <w:sz w:val="18"/>
              </w:rPr>
              <w:t xml:space="preserve">In the plan; equity measures in monthly reporting</w:t>
            </w:r>
          </w:p>
        </w:tc>
      </w:tr>
      <w:tr>
        <w:trPr>
          <w:cantSplit/>
        </w:trPr>
        <w:tc>
          <w:tcPr>
            <w:tcW w:w="2474" w:type="dxa"/>
          </w:tcPr>
          <w:p>
            <w:pPr>
              <w:pStyle w:val="Compact"/>
              <w:jc w:val="left"/>
            </w:pPr>
            <w:r>
              <w:rPr>
                <w:sz w:val="18"/>
              </w:rPr>
              <w:t xml:space="preserve">Workforce strategy</w:t>
            </w:r>
          </w:p>
        </w:tc>
        <w:tc>
          <w:tcPr>
            <w:tcW w:w="3298" w:type="dxa"/>
          </w:tcPr>
          <w:p>
            <w:pPr>
              <w:pStyle w:val="Compact"/>
              <w:jc w:val="left"/>
            </w:pPr>
            <w:r>
              <w:rPr>
                <w:sz w:val="18"/>
              </w:rPr>
              <w:t xml:space="preserve">A plan to attract and retain professionals (Act 68), including RHT workforce investments.</w:t>
            </w:r>
          </w:p>
        </w:tc>
        <w:tc>
          <w:tcPr>
            <w:tcW w:w="3298" w:type="dxa"/>
          </w:tcPr>
          <w:p>
            <w:pPr>
              <w:pStyle w:val="Compact"/>
              <w:jc w:val="left"/>
            </w:pPr>
            <w:r>
              <w:rPr>
                <w:sz w:val="18"/>
              </w:rPr>
              <w:t xml:space="preserve">RHT covers 2026–2030; integrated into the plan</w:t>
            </w:r>
          </w:p>
        </w:tc>
      </w:tr>
    </w:tbl>
    <w:p>
      <w:pPr>
        <w:pStyle w:val="Caption"/>
        <w:spacing w:before="120"/>
      </w:pPr>
      <w:r>
        <w:rPr>
          <w:i/>
          <w:iCs/>
        </w:rPr>
        <w:t xml:space="preserve">Figure 16.1 — Act 68 statutory requirements for the Strategic Plan. Sources: Act 68 of 2025; HCAC mandate (healthcarereform.vermont.gov).</w:t>
      </w:r>
    </w:p>
    <w:p>
      <w:pPr>
        <w:pStyle w:val="BodyText"/>
      </w:pPr>
      <w:r>
        <w:t xml:space="preserve">The plan is not AHS’s alone to write. Act 68 created an 18-member Health Care Delivery Advisory Committee — representing AHS, GMCB, the Health Care Advocate, hospitals, health centers, insurers, health professions,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pPr>
        <w:pStyle w:val="PullQuote"/>
      </w:pPr>
      <w:r>
        <w:rPr>
          <w:rFonts w:ascii="Garamond" w:hAnsi="Garamond"/>
          <w:i/>
          <w:color w:val="1A1A1A"/>
          <w:sz w:val="22"/>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p>
    <w:p>
      <w:pPr>
        <w:pStyle w:val="QuoteAttr"/>
      </w:pPr>
      <w:r>
        <w:rPr>
          <w:rFonts w:ascii="Garamond" w:hAnsi="Garamond"/>
          <w:b w:val="0"/>
          <w:i w:val="0"/>
          <w:color w:val="333333"/>
          <w:sz w:val="19"/>
        </w:rPr>
        <w:t xml:space="preserve">— Oliver Wyman, Act 167 Community Engagement: Recommendations (August 2024, revised October 2024 and January 2025) — priority actions for AHS in 2025</w:t>
      </w:r>
    </w:p>
    <w:p>
      <w:pPr>
        <w:pStyle w:val="Heading2"/>
        <w:pBdr>
          <w:top w:val="single" w:sz="6" w:space="10" w:color="C9D2DF"/>
        </w:pBdr>
      </w:pPr>
      <w:r>
        <w:rPr>
          <w:color w:val="161B22"/>
        </w:rPr>
        <w:t xml:space="preserve">16.2  </w:t>
      </w:r>
      <w:bookmarkStart w:id="1428" w:name="_Toc1427"/>
      <w:r>
        <w:rPr>
          <w:b/>
          <w:bCs/>
          <w:color w:val="161B22"/>
        </w:rPr>
        <w:t xml:space="preserve">The Organizational Diagnosis — Why AHS Must Restructure, Not Just Plan</w:t>
      </w:r>
      <w:bookmarkEnd w:id="1428"/>
    </w:p>
    <w:p>
      <w:pPr>
        <w:pStyle w:val="FirstParagraph"/>
        <w:keepNext w:val="false"/>
      </w:pPr>
      <w:r>
        <w:t xml:space="preserve">Oliver Wyman’s finding was blunt: AHS’s organizational structure is one of the primary barriers to transformation.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pPr>
        <w:pStyle w:val="Heading3"/>
        <w:keepNext w:val="false"/>
      </w:pPr>
      <w:r>
        <w:rPr>
          <w:color w:val="161B22"/>
        </w:rPr>
        <w:t xml:space="preserve">16.2.1  </w:t>
      </w:r>
      <w:bookmarkStart w:id="1429" w:name="_Toc1428"/>
      <w:r>
        <w:rPr>
          <w:b/>
          <w:bCs/>
          <w:color w:val="161B22"/>
        </w:rPr>
        <w:t xml:space="preserve">The Four Structural Gaps</w:t>
      </w:r>
      <w:bookmarkEnd w:id="1429"/>
    </w:p>
    <w:tbl>
      <w:tblPr>
        <w:tblStyle w:val="HTRTable"/>
        <w:tblLook w:firstRow="1" w:lastRow="0" w:firstColumn="0" w:lastColumn="0" w:noHBand="0" w:noVBand="1" w:val="0020"/>
        <w:tblW w:w="9072" w:type="dxa"/>
        <w:tblLayout w:type="fixed"/>
      </w:tblPr>
      <w:tblGrid>
        <w:gridCol w:w="1846"/>
        <w:gridCol w:w="2408"/>
        <w:gridCol w:w="2408"/>
        <w:gridCol w:w="2408"/>
      </w:tblGrid>
      <w:tr>
        <w:trPr>
          <w:tblHeader w:val="on"/>
          <w:cantSplit/>
        </w:trPr>
        <w:tc>
          <w:tcPr>
            <w:shd w:val="clear" w:color="auto" w:fill="1B3A6B"/>
            <w:tcW w:w="1846" w:type="dxa"/>
          </w:tcPr>
          <w:p>
            <w:pPr>
              <w:pStyle w:val="Compact"/>
              <w:jc w:val="left"/>
            </w:pPr>
            <w:r>
              <w:rPr>
                <w:b/>
                <w:color w:val="FFFFFF"/>
                <w:sz w:val="18"/>
              </w:rPr>
              <w:t xml:space="preserve">Gap</w:t>
            </w:r>
          </w:p>
        </w:tc>
        <w:tc>
          <w:tcPr>
            <w:shd w:val="clear" w:color="auto" w:fill="1B3A6B"/>
            <w:tcW w:w="2408" w:type="dxa"/>
          </w:tcPr>
          <w:p>
            <w:pPr>
              <w:pStyle w:val="Compact"/>
              <w:jc w:val="left"/>
            </w:pPr>
            <w:r>
              <w:rPr>
                <w:b/>
                <w:color w:val="FFFFFF"/>
                <w:sz w:val="18"/>
              </w:rPr>
              <w:t xml:space="preserve">What it looks like in practice</w:t>
            </w:r>
          </w:p>
        </w:tc>
        <w:tc>
          <w:tcPr>
            <w:shd w:val="clear" w:color="auto" w:fill="1B3A6B"/>
            <w:tcW w:w="2408" w:type="dxa"/>
          </w:tcPr>
          <w:p>
            <w:pPr>
              <w:pStyle w:val="Compact"/>
              <w:jc w:val="left"/>
            </w:pPr>
            <w:r>
              <w:rPr>
                <w:b/>
                <w:color w:val="FFFFFF"/>
                <w:sz w:val="18"/>
              </w:rPr>
              <w:t xml:space="preserve">Consequence</w:t>
            </w:r>
          </w:p>
        </w:tc>
        <w:tc>
          <w:tcPr>
            <w:shd w:val="clear" w:color="auto" w:fill="1B3A6B"/>
            <w:tcW w:w="2408" w:type="dxa"/>
          </w:tcPr>
          <w:p>
            <w:pPr>
              <w:pStyle w:val="Compact"/>
              <w:jc w:val="left"/>
            </w:pPr>
            <w:r>
              <w:rPr>
                <w:b/>
                <w:color w:val="FFFFFF"/>
                <w:sz w:val="18"/>
              </w:rPr>
              <w:t xml:space="preserve">Required structural change</w:t>
            </w:r>
          </w:p>
        </w:tc>
      </w:tr>
      <w:tr>
        <w:trPr>
          <w:cantSplit/>
        </w:trPr>
        <w:tc>
          <w:tcPr>
            <w:tcW w:w="1846" w:type="dxa"/>
          </w:tcPr>
          <w:p>
            <w:pPr>
              <w:pStyle w:val="Compact"/>
              <w:jc w:val="left"/>
            </w:pPr>
            <w:r>
              <w:rPr>
                <w:sz w:val="18"/>
              </w:rPr>
              <w:t xml:space="preserve">Program-silo structure misaligned with HSAs</w:t>
            </w:r>
          </w:p>
        </w:tc>
        <w:tc>
          <w:tcPr>
            <w:tcW w:w="2408" w:type="dxa"/>
          </w:tcPr>
          <w:p>
            <w:pPr>
              <w:pStyle w:val="Compact"/>
              <w:jc w:val="left"/>
            </w:pPr>
            <w:r>
              <w:rPr>
                <w:sz w:val="18"/>
              </w:rPr>
              <w:t xml:space="preserve">A Northeast Kingdom hospital addressing housing, transportation, BH, and primary-care gaps must work with separate AHS programs (DVHA, DMH, ADS, DAIL, Health Care Reform), each with different requirements and funding authorities.</w:t>
            </w:r>
          </w:p>
        </w:tc>
        <w:tc>
          <w:tcPr>
            <w:tcW w:w="2408" w:type="dxa"/>
          </w:tcPr>
          <w:p>
            <w:pPr>
              <w:pStyle w:val="Compact"/>
              <w:jc w:val="left"/>
            </w:pPr>
            <w:r>
              <w:rPr>
                <w:sz w:val="18"/>
              </w:rPr>
              <w:t xml:space="preserve">Hospitals experience AHS as disconnected programs. Population health management — which crosses program boundaries — becomes administratively near-impossible.</w:t>
            </w:r>
          </w:p>
        </w:tc>
        <w:tc>
          <w:tcPr>
            <w:tcW w:w="2408" w:type="dxa"/>
          </w:tcPr>
          <w:p>
            <w:pPr>
              <w:pStyle w:val="Compact"/>
              <w:jc w:val="left"/>
            </w:pPr>
            <w:r>
              <w:rPr>
                <w:sz w:val="18"/>
              </w:rPr>
              <w:t xml:space="preserve">Designate HSA-level coordinators who convene all relevant AHS programs around each hospital’s service area; establish HSA governance with regular inter-program coordination.</w:t>
            </w:r>
          </w:p>
        </w:tc>
      </w:tr>
      <w:tr>
        <w:trPr/>
        <w:tc>
          <w:tcPr>
            <w:tcW w:w="1846" w:type="dxa"/>
          </w:tcPr>
          <w:p>
            <w:pPr>
              <w:pStyle w:val="Compact"/>
              <w:jc w:val="left"/>
            </w:pPr>
            <w:r>
              <w:rPr>
                <w:sz w:val="18"/>
              </w:rPr>
              <w:t xml:space="preserve">Absence of a Planning &amp; Effectiveness function</w:t>
            </w:r>
          </w:p>
        </w:tc>
        <w:tc>
          <w:tcPr>
            <w:tcW w:w="2408" w:type="dxa"/>
          </w:tcPr>
          <w:p>
            <w:pPr>
              <w:pStyle w:val="Compact"/>
              <w:jc w:val="left"/>
            </w:pPr>
            <w:r>
              <w:rPr>
                <w:sz w:val="18"/>
              </w:rPr>
              <w:t xml:space="preserve">AHS has no dedicated analytical unit to model the cost/access impact of service-site changes, the system-wide cost of regionalization scenarios, or whether investments produce intended outcomes.</w:t>
            </w:r>
          </w:p>
        </w:tc>
        <w:tc>
          <w:tcPr>
            <w:tcW w:w="2408" w:type="dxa"/>
          </w:tcPr>
          <w:p>
            <w:pPr>
              <w:pStyle w:val="Compact"/>
              <w:jc w:val="left"/>
            </w:pPr>
            <w:r>
              <w:rPr>
                <w:sz w:val="18"/>
              </w:rPr>
              <w:t xml:space="preserve">AHS cannot answer the questions transformation planning is supposed to generate. Strategic planning becomes opinion-based, not evidence-based.</w:t>
            </w:r>
          </w:p>
        </w:tc>
        <w:tc>
          <w:tcPr>
            <w:tcW w:w="2408" w:type="dxa"/>
          </w:tcPr>
          <w:p>
            <w:pPr>
              <w:pStyle w:val="Compact"/>
              <w:jc w:val="left"/>
            </w:pPr>
            <w:r>
              <w:rPr>
                <w:sz w:val="18"/>
              </w:rPr>
              <w:t xml:space="preserve">Establish a Division of Planning, Analytics, and Effectiveness; partner with GMCB on a joint analytics platform; integrate VHCURES access for planning.</w:t>
            </w:r>
          </w:p>
        </w:tc>
      </w:tr>
      <w:tr>
        <w:trPr/>
        <w:tc>
          <w:tcPr>
            <w:tcW w:w="1846" w:type="dxa"/>
          </w:tcPr>
          <w:p>
            <w:pPr>
              <w:pStyle w:val="Compact"/>
              <w:jc w:val="left"/>
            </w:pPr>
            <w:r>
              <w:rPr>
                <w:sz w:val="18"/>
              </w:rPr>
              <w:t xml:space="preserve">Under-resourcing of transformation management</w:t>
            </w:r>
          </w:p>
        </w:tc>
        <w:tc>
          <w:tcPr>
            <w:tcW w:w="2408" w:type="dxa"/>
          </w:tcPr>
          <w:p>
            <w:pPr>
              <w:pStyle w:val="Compact"/>
              <w:jc w:val="left"/>
            </w:pPr>
            <w:r>
              <w:rPr>
                <w:sz w:val="18"/>
              </w:rPr>
              <w:t xml:space="preserve">Act 68 requires AHS to simultaneously negotiate AHEAD, manage 14 hospital plans, develop the Strategic Plan, oversee $195M RHT, coordinate RBP/global budgets with GMCB, and report monthly. The Health Care Reform Office has neither the staff nor the authority.</w:t>
            </w:r>
          </w:p>
        </w:tc>
        <w:tc>
          <w:tcPr>
            <w:tcW w:w="2408" w:type="dxa"/>
          </w:tcPr>
          <w:p>
            <w:pPr>
              <w:pStyle w:val="Compact"/>
              <w:jc w:val="left"/>
            </w:pPr>
            <w:r>
              <w:rPr>
                <w:sz w:val="18"/>
              </w:rPr>
              <w:t xml:space="preserve">Activities are sequenced by capacity, not strategy. The absence of PM infrastructure is the single most likely cause of plan failure.</w:t>
            </w:r>
          </w:p>
        </w:tc>
        <w:tc>
          <w:tcPr>
            <w:tcW w:w="2408" w:type="dxa"/>
          </w:tcPr>
          <w:p>
            <w:pPr>
              <w:pStyle w:val="Compact"/>
              <w:jc w:val="left"/>
            </w:pPr>
            <w:r>
              <w:rPr>
                <w:sz w:val="18"/>
              </w:rPr>
              <w:t xml:space="preserve">Hire dedicated transformation staff using RHT implementation funds (explicitly authorized); establish a PMO; clarify reporting lines and authority.</w:t>
            </w:r>
          </w:p>
        </w:tc>
      </w:tr>
      <w:tr>
        <w:trPr>
          <w:cantSplit/>
        </w:trPr>
        <w:tc>
          <w:tcPr>
            <w:tcW w:w="1846" w:type="dxa"/>
          </w:tcPr>
          <w:p>
            <w:pPr>
              <w:pStyle w:val="Compact"/>
              <w:jc w:val="left"/>
            </w:pPr>
            <w:r>
              <w:rPr>
                <w:sz w:val="18"/>
              </w:rPr>
              <w:t xml:space="preserve">Fragmented SDOH integration</w:t>
            </w:r>
          </w:p>
        </w:tc>
        <w:tc>
          <w:tcPr>
            <w:tcW w:w="2408" w:type="dxa"/>
          </w:tcPr>
          <w:p>
            <w:pPr>
              <w:pStyle w:val="Compact"/>
              <w:jc w:val="left"/>
            </w:pPr>
            <w:r>
              <w:rPr>
                <w:sz w:val="18"/>
              </w:rPr>
              <w:t xml:space="preserve">AHS has authority over housing supports, food assistance, transportation, mental health, substance use, and developmental services — all SDOH drivers — but administers, reports, and evaluates them separately from healthcare outcomes.</w:t>
            </w:r>
          </w:p>
        </w:tc>
        <w:tc>
          <w:tcPr>
            <w:tcW w:w="2408" w:type="dxa"/>
          </w:tcPr>
          <w:p>
            <w:pPr>
              <w:pStyle w:val="Compact"/>
              <w:jc w:val="left"/>
            </w:pPr>
            <w:r>
              <w:rPr>
                <w:sz w:val="18"/>
              </w:rPr>
              <w:t xml:space="preserve">Vermont cannot achieve the SDOH-driven utilization reduction global budgets require if the SDOH programs are organizationally disconnected from delivery reform.</w:t>
            </w:r>
          </w:p>
        </w:tc>
        <w:tc>
          <w:tcPr>
            <w:tcW w:w="2408" w:type="dxa"/>
          </w:tcPr>
          <w:p>
            <w:pPr>
              <w:pStyle w:val="Compact"/>
              <w:jc w:val="left"/>
            </w:pPr>
            <w:r>
              <w:rPr>
                <w:sz w:val="18"/>
              </w:rPr>
              <w:t xml:space="preserve">Establish cross-program SDOH integration protocols; build a shared data architecture linking social-service utilization to healthcare outcomes in VHCURES; include SDOH directors in HSA coordination.</w:t>
            </w:r>
          </w:p>
        </w:tc>
      </w:tr>
    </w:tbl>
    <w:p>
      <w:pPr>
        <w:pStyle w:val="Caption"/>
        <w:spacing w:before="120"/>
      </w:pPr>
      <w:r>
        <w:rPr>
          <w:i/>
          <w:iCs/>
        </w:rPr>
        <w:t xml:space="preserve">Figure 16.2 — AHS organizational gaps and required structural changes. Sources: Oliver Wyman Act 167 Recommendations (2024); AHS Transformation Reports (2025); Act 68 of 2025.</w:t>
      </w:r>
    </w:p>
    <w:p>
      <w:pPr>
        <w:pStyle w:val="Heading2"/>
        <w:pBdr>
          <w:top w:val="single" w:sz="6" w:space="10" w:color="C9D2DF"/>
        </w:pBdr>
      </w:pPr>
      <w:r>
        <w:rPr>
          <w:color w:val="161B22"/>
        </w:rPr>
        <w:t xml:space="preserve">16.3  </w:t>
      </w:r>
      <w:bookmarkStart w:id="1430" w:name="_Toc1429"/>
      <w:r>
        <w:rPr>
          <w:b/>
          <w:bCs/>
          <w:color w:val="161B22"/>
        </w:rPr>
        <w:t xml:space="preserve">The Redesigned AHS Operating Model — A Population Health System Operator</w:t>
      </w:r>
      <w:bookmarkEnd w:id="1430"/>
    </w:p>
    <w:p>
      <w:pPr>
        <w:pStyle w:val="FirstParagraph"/>
      </w:pPr>
      <w: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w:t>
      </w:r>
      <w:r>
        <w:t xml:space="preserve"> </w:t>
      </w:r>
      <w:r>
        <w:t xml:space="preserve">“restructuring”</w:t>
      </w:r>
      <w:r>
        <w:t xml:space="preserve"> </w:t>
      </w:r>
      <w:r>
        <w:t xml:space="preserve">is accurate. AHS does not need a new mission statement. It needs a new operating model.</w:t>
      </w:r>
    </w:p>
    <w:p>
      <w:pPr>
        <w:pStyle w:val="Heading3"/>
      </w:pPr>
      <w:r>
        <w:rPr>
          <w:color w:val="161B22"/>
        </w:rPr>
        <w:t xml:space="preserve">16.3.1  </w:t>
      </w:r>
      <w:bookmarkStart w:id="1431" w:name="_Toc1430"/>
      <w:r>
        <w:rPr>
          <w:b/>
          <w:bCs/>
          <w:color w:val="161B22"/>
        </w:rPr>
        <w:t xml:space="preserve">Level 1 — Statewide System Architect</w:t>
      </w:r>
      <w:bookmarkEnd w:id="1431"/>
    </w:p>
    <w:p>
      <w:pPr>
        <w:pStyle w:val="FirstParagraph"/>
      </w:pPr>
      <w:r>
        <w:t xml:space="preserve">At the statewide level, AHS sets strategic direction, establishes the payment-reform trajectory with GMCB, allocates capital (RHT, AHEAD EAST Fund, Act 68 grants), develops the accountability framework, and monitors performance against the five goals. This requires four capacities AHS is building but has not fully developed:</w:t>
      </w:r>
    </w:p>
    <w:p>
      <w:pPr>
        <w:pStyle w:val="Compact"/>
        <w:numPr>
          <w:ilvl w:val="0"/>
          <w:numId w:val="1035"/>
        </w:numPr>
        <w:keepLines w:val="true"/>
        <w:keepNext w:val="true"/>
      </w:pPr>
      <w:r>
        <w:t xml:space="preserve">Strategic-planning capacity — to develop, maintain, and update the plan on a three-year cycle with required stakeholder input. A substantial ongoing function, not a one-time project.</w:t>
      </w:r>
    </w:p>
    <w:p>
      <w:pPr>
        <w:pStyle w:val="Compact"/>
        <w:numPr>
          <w:ilvl w:val="0"/>
          <w:numId w:val="1035"/>
        </w:numPr>
        <w:keepLines w:val="true"/>
        <w:keepNext w:val="true"/>
      </w:pPr>
      <w:r>
        <w:t xml:space="preserve">Analytics and modeling capacity — to model cost, quality, and access implications *before* implementation (</w:t>
      </w:r>
      <w:r>
        <w:t xml:space="preserve">“what happens to access in Windsor County if Springfield converts to REH?”</w:t>
      </w:r>
      <w:r>
        <w:t xml:space="preserve">). Requires the joint AHS-GMCB analytics vendor plus internal staff to interpret outputs.</w:t>
      </w:r>
    </w:p>
    <w:p>
      <w:pPr>
        <w:pStyle w:val="Compact"/>
        <w:numPr>
          <w:ilvl w:val="0"/>
          <w:numId w:val="1035"/>
        </w:numPr>
        <w:keepLines w:val="true"/>
        <w:keepNext w:val="true"/>
      </w:pPr>
      <w:r>
        <w:t xml:space="preserve">Federal-relationship management — active management of CMS (AHEAD), HRSA (RHT), and CMMI relationships. The AHEAD State Agreement alone requires ongoing methodology negotiation, monitoring, and withdrawal-condition management.</w:t>
      </w:r>
    </w:p>
    <w:p>
      <w:pPr>
        <w:pStyle w:val="Compact"/>
        <w:numPr>
          <w:ilvl w:val="0"/>
          <w:numId w:val="1035"/>
        </w:numPr>
        <w:keepLines w:val="true"/>
      </w:pPr>
      <w:r>
        <w:t xml:space="preserve">Legislative accountability — producing the monthly reports, the December 2028 plan, and the three-year updates. The monthly reporting requirement is a real accountability mechanism, not a formality.</w:t>
      </w:r>
    </w:p>
    <w:p>
      <w:pPr>
        <w:pStyle w:val="FirstParagraph"/>
      </w:pPr>
      <w:r>
        <w:t xml:space="preserve">The Health Care Delivery Advisory Committee (18 members: AHS Secretary, GMCB Chair, Health Care Advocate, and representatives of hospitals, FQHCs, insurers, nursing/pharmacy/primary care and other professions, small business, and long-term care)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pPr>
        <w:pStyle w:val="Heading3"/>
        <w:keepNext w:val="false"/>
      </w:pPr>
      <w:r>
        <w:rPr>
          <w:color w:val="161B22"/>
        </w:rPr>
        <w:t xml:space="preserve">16.3.2  </w:t>
      </w:r>
      <w:bookmarkStart w:id="1432" w:name="_Toc1431"/>
      <w:r>
        <w:rPr>
          <w:b/>
          <w:bCs/>
          <w:color w:val="161B22"/>
        </w:rPr>
        <w:t xml:space="preserve">Level 2 — Regional Network Convener (HSA Level)</w:t>
      </w:r>
      <w:bookmarkEnd w:id="1432"/>
    </w:p>
    <w:p>
      <w:pPr>
        <w:pStyle w:val="FirstParagraph"/>
        <w:keepNext w:val="false"/>
      </w:pPr>
      <w: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tbl>
      <w:tblPr>
        <w:tblStyle w:val="HTRTable"/>
        <w:tblLook w:firstRow="1" w:lastRow="0" w:firstColumn="0" w:lastColumn="0" w:noHBand="0" w:noVBand="1" w:val="0020"/>
        <w:tblW w:w="9072" w:type="dxa"/>
        <w:tblLayout w:type="fixed"/>
      </w:tblPr>
      <w:tblGrid>
        <w:gridCol w:w="918"/>
        <w:gridCol w:w="2181"/>
        <w:gridCol w:w="2526"/>
        <w:gridCol w:w="3445"/>
      </w:tblGrid>
      <w:tr>
        <w:trPr>
          <w:tblHeader w:val="on"/>
          <w:cantSplit/>
        </w:trPr>
        <w:tc>
          <w:tcPr>
            <w:shd w:val="clear" w:color="auto" w:fill="1B3A6B"/>
            <w:tcW w:w="918" w:type="dxa"/>
          </w:tcPr>
          <w:p>
            <w:pPr>
              <w:pStyle w:val="Compact"/>
              <w:jc w:val="left"/>
            </w:pPr>
            <w:r>
              <w:rPr>
                <w:b/>
                <w:color w:val="FFFFFF"/>
                <w:sz w:val="18"/>
              </w:rPr>
              <w:t xml:space="preserve">HSA region</w:t>
            </w:r>
          </w:p>
        </w:tc>
        <w:tc>
          <w:tcPr>
            <w:shd w:val="clear" w:color="auto" w:fill="1B3A6B"/>
            <w:tcW w:w="2181" w:type="dxa"/>
          </w:tcPr>
          <w:p>
            <w:pPr>
              <w:pStyle w:val="Compact"/>
              <w:jc w:val="left"/>
            </w:pPr>
            <w:r>
              <w:rPr>
                <w:b/>
                <w:color w:val="FFFFFF"/>
                <w:sz w:val="18"/>
              </w:rPr>
              <w:t xml:space="preserve">Key hospital(s)</w:t>
            </w:r>
          </w:p>
        </w:tc>
        <w:tc>
          <w:tcPr>
            <w:shd w:val="clear" w:color="auto" w:fill="1B3A6B"/>
            <w:tcW w:w="2526" w:type="dxa"/>
          </w:tcPr>
          <w:p>
            <w:pPr>
              <w:pStyle w:val="Compact"/>
              <w:jc w:val="left"/>
            </w:pPr>
            <w:r>
              <w:rPr>
                <w:b/>
                <w:color w:val="FFFFFF"/>
                <w:sz w:val="18"/>
              </w:rPr>
              <w:t xml:space="preserve">Profile</w:t>
            </w:r>
          </w:p>
        </w:tc>
        <w:tc>
          <w:tcPr>
            <w:shd w:val="clear" w:color="auto" w:fill="1B3A6B"/>
            <w:tcW w:w="3445" w:type="dxa"/>
          </w:tcPr>
          <w:p>
            <w:pPr>
              <w:pStyle w:val="Compact"/>
              <w:jc w:val="left"/>
            </w:pPr>
            <w:r>
              <w:rPr>
                <w:b/>
                <w:color w:val="FFFFFF"/>
                <w:sz w:val="18"/>
              </w:rPr>
              <w:t xml:space="preserve">Priority transformation challenges</w:t>
            </w:r>
          </w:p>
        </w:tc>
      </w:tr>
      <w:tr>
        <w:trPr>
          <w:cantSplit/>
        </w:trPr>
        <w:tc>
          <w:tcPr>
            <w:tcW w:w="918" w:type="dxa"/>
          </w:tcPr>
          <w:p>
            <w:pPr>
              <w:pStyle w:val="Compact"/>
              <w:jc w:val="left"/>
            </w:pPr>
            <w:r>
              <w:rPr>
                <w:sz w:val="18"/>
              </w:rPr>
              <w:t xml:space="preserve">Burlington</w:t>
            </w:r>
          </w:p>
        </w:tc>
        <w:tc>
          <w:tcPr>
            <w:tcW w:w="2181" w:type="dxa"/>
          </w:tcPr>
          <w:p>
            <w:pPr>
              <w:pStyle w:val="Compact"/>
              <w:jc w:val="left"/>
            </w:pPr>
            <w:r>
              <w:rPr>
                <w:sz w:val="18"/>
              </w:rPr>
              <w:t xml:space="preserve">UVM Medical Center</w:t>
            </w:r>
          </w:p>
        </w:tc>
        <w:tc>
          <w:tcPr>
            <w:tcW w:w="2526" w:type="dxa"/>
          </w:tcPr>
          <w:p>
            <w:pPr>
              <w:pStyle w:val="Compact"/>
              <w:jc w:val="left"/>
            </w:pPr>
            <w:r>
              <w:rPr>
                <w:sz w:val="18"/>
              </w:rPr>
              <w:t xml:space="preserve">~230K, growing, most diverse; non-rural</w:t>
            </w:r>
          </w:p>
        </w:tc>
        <w:tc>
          <w:tcPr>
            <w:tcW w:w="3445" w:type="dxa"/>
          </w:tcPr>
          <w:p>
            <w:pPr>
              <w:pStyle w:val="Compact"/>
              <w:jc w:val="left"/>
            </w:pPr>
            <w:r>
              <w:rPr>
                <w:sz w:val="18"/>
              </w:rPr>
              <w:t xml:space="preserve">Admin-overhead reduction at UVMMC; primary-care access for growing immigrant population; BH integration at scale</w:t>
            </w:r>
          </w:p>
        </w:tc>
      </w:tr>
      <w:tr>
        <w:trPr/>
        <w:tc>
          <w:tcPr>
            <w:tcW w:w="918" w:type="dxa"/>
          </w:tcPr>
          <w:p>
            <w:pPr>
              <w:pStyle w:val="Compact"/>
              <w:jc w:val="left"/>
            </w:pPr>
            <w:r>
              <w:rPr>
                <w:sz w:val="18"/>
              </w:rPr>
              <w:t xml:space="preserve">Barre/Montpelier</w:t>
            </w:r>
          </w:p>
        </w:tc>
        <w:tc>
          <w:tcPr>
            <w:tcW w:w="2181" w:type="dxa"/>
          </w:tcPr>
          <w:p>
            <w:pPr>
              <w:pStyle w:val="Compact"/>
              <w:jc w:val="left"/>
            </w:pPr>
            <w:r>
              <w:rPr>
                <w:sz w:val="18"/>
              </w:rPr>
              <w:t xml:space="preserve">Central Vermont Medical Center</w:t>
            </w:r>
          </w:p>
        </w:tc>
        <w:tc>
          <w:tcPr>
            <w:tcW w:w="2526" w:type="dxa"/>
          </w:tcPr>
          <w:p>
            <w:pPr>
              <w:pStyle w:val="Compact"/>
              <w:jc w:val="left"/>
            </w:pPr>
            <w:r>
              <w:rPr>
                <w:sz w:val="18"/>
              </w:rPr>
              <w:t xml:space="preserve">~65K, aging, state-government center</w:t>
            </w:r>
          </w:p>
        </w:tc>
        <w:tc>
          <w:tcPr>
            <w:tcW w:w="3445" w:type="dxa"/>
          </w:tcPr>
          <w:p>
            <w:pPr>
              <w:pStyle w:val="Compact"/>
              <w:jc w:val="left"/>
            </w:pPr>
            <w:r>
              <w:rPr>
                <w:sz w:val="18"/>
              </w:rPr>
              <w:t xml:space="preserve">Radiation/neurology COE development; state-employee-plan RBP transition; Washington County rural access</w:t>
            </w:r>
          </w:p>
        </w:tc>
      </w:tr>
      <w:tr>
        <w:trPr/>
        <w:tc>
          <w:tcPr>
            <w:tcW w:w="918" w:type="dxa"/>
          </w:tcPr>
          <w:p>
            <w:pPr>
              <w:pStyle w:val="Compact"/>
              <w:jc w:val="left"/>
            </w:pPr>
            <w:r>
              <w:rPr>
                <w:sz w:val="18"/>
              </w:rPr>
              <w:t xml:space="preserve">Rutland</w:t>
            </w:r>
          </w:p>
        </w:tc>
        <w:tc>
          <w:tcPr>
            <w:tcW w:w="2181" w:type="dxa"/>
          </w:tcPr>
          <w:p>
            <w:pPr>
              <w:pStyle w:val="Compact"/>
              <w:jc w:val="left"/>
            </w:pPr>
            <w:r>
              <w:rPr>
                <w:sz w:val="18"/>
              </w:rPr>
              <w:t xml:space="preserve">Rutland Regional Medical Center</w:t>
            </w:r>
          </w:p>
        </w:tc>
        <w:tc>
          <w:tcPr>
            <w:tcW w:w="2526" w:type="dxa"/>
          </w:tcPr>
          <w:p>
            <w:pPr>
              <w:pStyle w:val="Compact"/>
              <w:jc w:val="left"/>
            </w:pPr>
            <w:r>
              <w:rPr>
                <w:sz w:val="18"/>
              </w:rPr>
              <w:t xml:space="preserve">~62K, aging, lower income</w:t>
            </w:r>
          </w:p>
        </w:tc>
        <w:tc>
          <w:tcPr>
            <w:tcW w:w="3445" w:type="dxa"/>
          </w:tcPr>
          <w:p>
            <w:pPr>
              <w:pStyle w:val="Compact"/>
              <w:jc w:val="left"/>
            </w:pPr>
            <w:r>
              <w:rPr>
                <w:sz w:val="18"/>
              </w:rPr>
              <w:t xml:space="preserve">COE development (surgery, neurology, psych); high opioid overdose; workforce-housing shortage</w:t>
            </w:r>
          </w:p>
        </w:tc>
      </w:tr>
      <w:tr>
        <w:trPr/>
        <w:tc>
          <w:tcPr>
            <w:tcW w:w="918" w:type="dxa"/>
          </w:tcPr>
          <w:p>
            <w:pPr>
              <w:pStyle w:val="Compact"/>
              <w:jc w:val="left"/>
            </w:pPr>
            <w:r>
              <w:rPr>
                <w:sz w:val="18"/>
              </w:rPr>
              <w:t xml:space="preserve">White River Jct.</w:t>
            </w:r>
          </w:p>
        </w:tc>
        <w:tc>
          <w:tcPr>
            <w:tcW w:w="2181" w:type="dxa"/>
          </w:tcPr>
          <w:p>
            <w:pPr>
              <w:pStyle w:val="Compact"/>
              <w:jc w:val="left"/>
            </w:pPr>
            <w:r>
              <w:rPr>
                <w:sz w:val="18"/>
              </w:rPr>
              <w:t xml:space="preserve">Mt. Ascutney Hospital</w:t>
            </w:r>
          </w:p>
        </w:tc>
        <w:tc>
          <w:tcPr>
            <w:tcW w:w="2526" w:type="dxa"/>
          </w:tcPr>
          <w:p>
            <w:pPr>
              <w:pStyle w:val="Compact"/>
              <w:jc w:val="left"/>
            </w:pPr>
            <w:r>
              <w:rPr>
                <w:sz w:val="18"/>
              </w:rPr>
              <w:t xml:space="preserve">~59K, aging, Dartmouth Health connection</w:t>
            </w:r>
          </w:p>
        </w:tc>
        <w:tc>
          <w:tcPr>
            <w:tcW w:w="3445" w:type="dxa"/>
          </w:tcPr>
          <w:p>
            <w:pPr>
              <w:pStyle w:val="Compact"/>
              <w:jc w:val="left"/>
            </w:pPr>
            <w:r>
              <w:rPr>
                <w:sz w:val="18"/>
              </w:rPr>
              <w:t xml:space="preserve">REH or focused-scope transition; cross-border coordination; rehabilitation COE</w:t>
            </w:r>
          </w:p>
        </w:tc>
      </w:tr>
      <w:tr>
        <w:trPr/>
        <w:tc>
          <w:tcPr>
            <w:tcW w:w="918" w:type="dxa"/>
          </w:tcPr>
          <w:p>
            <w:pPr>
              <w:pStyle w:val="Compact"/>
              <w:jc w:val="left"/>
            </w:pPr>
            <w:r>
              <w:rPr>
                <w:sz w:val="18"/>
              </w:rPr>
              <w:t xml:space="preserve">St. Albans</w:t>
            </w:r>
          </w:p>
        </w:tc>
        <w:tc>
          <w:tcPr>
            <w:tcW w:w="2181" w:type="dxa"/>
          </w:tcPr>
          <w:p>
            <w:pPr>
              <w:pStyle w:val="Compact"/>
              <w:jc w:val="left"/>
            </w:pPr>
            <w:r>
              <w:rPr>
                <w:sz w:val="18"/>
              </w:rPr>
              <w:t xml:space="preserve">Northwestern Medical Center</w:t>
            </w:r>
          </w:p>
        </w:tc>
        <w:tc>
          <w:tcPr>
            <w:tcW w:w="2526" w:type="dxa"/>
          </w:tcPr>
          <w:p>
            <w:pPr>
              <w:pStyle w:val="Compact"/>
              <w:jc w:val="left"/>
            </w:pPr>
            <w:r>
              <w:rPr>
                <w:sz w:val="18"/>
              </w:rPr>
              <w:t xml:space="preserve">~53K, rural, Franklin/Grand Isle</w:t>
            </w:r>
          </w:p>
        </w:tc>
        <w:tc>
          <w:tcPr>
            <w:tcW w:w="3445" w:type="dxa"/>
          </w:tcPr>
          <w:p>
            <w:pPr>
              <w:pStyle w:val="Compact"/>
              <w:jc w:val="left"/>
            </w:pPr>
            <w:r>
              <w:rPr>
                <w:sz w:val="18"/>
              </w:rPr>
              <w:t xml:space="preserve">Cancer-surgery and radiation COEs; workforce recruitment; northern-border needs</w:t>
            </w:r>
          </w:p>
        </w:tc>
      </w:tr>
      <w:tr>
        <w:trPr/>
        <w:tc>
          <w:tcPr>
            <w:tcW w:w="918" w:type="dxa"/>
          </w:tcPr>
          <w:p>
            <w:pPr>
              <w:pStyle w:val="Compact"/>
              <w:jc w:val="left"/>
            </w:pPr>
            <w:r>
              <w:rPr>
                <w:sz w:val="18"/>
              </w:rPr>
              <w:t xml:space="preserve">Bennington</w:t>
            </w:r>
          </w:p>
        </w:tc>
        <w:tc>
          <w:tcPr>
            <w:tcW w:w="2181" w:type="dxa"/>
          </w:tcPr>
          <w:p>
            <w:pPr>
              <w:pStyle w:val="Compact"/>
              <w:jc w:val="left"/>
            </w:pPr>
            <w:r>
              <w:rPr>
                <w:sz w:val="18"/>
              </w:rPr>
              <w:t xml:space="preserve">Southwestern Vermont Medical Center</w:t>
            </w:r>
          </w:p>
        </w:tc>
        <w:tc>
          <w:tcPr>
            <w:tcW w:w="2526" w:type="dxa"/>
          </w:tcPr>
          <w:p>
            <w:pPr>
              <w:pStyle w:val="Compact"/>
              <w:jc w:val="left"/>
            </w:pPr>
            <w:r>
              <w:rPr>
                <w:sz w:val="18"/>
              </w:rPr>
              <w:t xml:space="preserve">~48K, aging, most rural</w:t>
            </w:r>
          </w:p>
        </w:tc>
        <w:tc>
          <w:tcPr>
            <w:tcW w:w="3445" w:type="dxa"/>
          </w:tcPr>
          <w:p>
            <w:pPr>
              <w:pStyle w:val="Compact"/>
              <w:jc w:val="left"/>
            </w:pPr>
            <w:r>
              <w:rPr>
                <w:sz w:val="18"/>
              </w:rPr>
              <w:t xml:space="preserve">9 COEs — secondary RSC role; critical psych services; Berkshire/Taconic coordination</w:t>
            </w:r>
          </w:p>
        </w:tc>
      </w:tr>
      <w:tr>
        <w:trPr/>
        <w:tc>
          <w:tcPr>
            <w:tcW w:w="918" w:type="dxa"/>
          </w:tcPr>
          <w:p>
            <w:pPr>
              <w:pStyle w:val="Compact"/>
              <w:jc w:val="left"/>
            </w:pPr>
            <w:r>
              <w:rPr>
                <w:sz w:val="18"/>
              </w:rPr>
              <w:t xml:space="preserve">Middlebury</w:t>
            </w:r>
          </w:p>
        </w:tc>
        <w:tc>
          <w:tcPr>
            <w:tcW w:w="2181" w:type="dxa"/>
          </w:tcPr>
          <w:p>
            <w:pPr>
              <w:pStyle w:val="Compact"/>
              <w:jc w:val="left"/>
            </w:pPr>
            <w:r>
              <w:rPr>
                <w:sz w:val="18"/>
              </w:rPr>
              <w:t xml:space="preserve">Porter Medical Center</w:t>
            </w:r>
          </w:p>
        </w:tc>
        <w:tc>
          <w:tcPr>
            <w:tcW w:w="2526" w:type="dxa"/>
          </w:tcPr>
          <w:p>
            <w:pPr>
              <w:pStyle w:val="Compact"/>
              <w:jc w:val="left"/>
            </w:pPr>
            <w:r>
              <w:rPr>
                <w:sz w:val="18"/>
              </w:rPr>
              <w:t xml:space="preserve">~46K, aging, Addison County</w:t>
            </w:r>
          </w:p>
        </w:tc>
        <w:tc>
          <w:tcPr>
            <w:tcW w:w="3445" w:type="dxa"/>
          </w:tcPr>
          <w:p>
            <w:pPr>
              <w:pStyle w:val="Compact"/>
              <w:jc w:val="left"/>
            </w:pPr>
            <w:r>
              <w:rPr>
                <w:sz w:val="18"/>
              </w:rPr>
              <w:t xml:space="preserve">TBD tier; UVM-network affiliation; shared-service opportunities with UVMMC</w:t>
            </w:r>
          </w:p>
        </w:tc>
      </w:tr>
      <w:tr>
        <w:trPr/>
        <w:tc>
          <w:tcPr>
            <w:tcW w:w="918" w:type="dxa"/>
          </w:tcPr>
          <w:p>
            <w:pPr>
              <w:pStyle w:val="Compact"/>
              <w:jc w:val="left"/>
            </w:pPr>
            <w:r>
              <w:rPr>
                <w:sz w:val="18"/>
              </w:rPr>
              <w:t xml:space="preserve">Brattleboro</w:t>
            </w:r>
          </w:p>
        </w:tc>
        <w:tc>
          <w:tcPr>
            <w:tcW w:w="2181" w:type="dxa"/>
          </w:tcPr>
          <w:p>
            <w:pPr>
              <w:pStyle w:val="Compact"/>
              <w:jc w:val="left"/>
            </w:pPr>
            <w:r>
              <w:rPr>
                <w:sz w:val="18"/>
              </w:rPr>
              <w:t xml:space="preserve">Brattleboro Memorial Hospital</w:t>
            </w:r>
          </w:p>
        </w:tc>
        <w:tc>
          <w:tcPr>
            <w:tcW w:w="2526" w:type="dxa"/>
          </w:tcPr>
          <w:p>
            <w:pPr>
              <w:pStyle w:val="Compact"/>
              <w:jc w:val="left"/>
            </w:pPr>
            <w:r>
              <w:rPr>
                <w:sz w:val="18"/>
              </w:rPr>
              <w:t xml:space="preserve">~42K, aging, high SUD/MH burden</w:t>
            </w:r>
          </w:p>
        </w:tc>
        <w:tc>
          <w:tcPr>
            <w:tcW w:w="3445" w:type="dxa"/>
          </w:tcPr>
          <w:p>
            <w:pPr>
              <w:pStyle w:val="Compact"/>
              <w:jc w:val="left"/>
            </w:pPr>
            <w:r>
              <w:rPr>
                <w:sz w:val="18"/>
              </w:rPr>
              <w:t xml:space="preserve">Acute general-surgery COE; high suicide/self-harm rates; Brattleboro Retreat coordination</w:t>
            </w:r>
          </w:p>
        </w:tc>
      </w:tr>
      <w:tr>
        <w:trPr/>
        <w:tc>
          <w:tcPr>
            <w:tcW w:w="918" w:type="dxa"/>
          </w:tcPr>
          <w:p>
            <w:pPr>
              <w:pStyle w:val="Compact"/>
              <w:jc w:val="left"/>
            </w:pPr>
            <w:r>
              <w:rPr>
                <w:sz w:val="18"/>
              </w:rPr>
              <w:t xml:space="preserve">Newport</w:t>
            </w:r>
          </w:p>
        </w:tc>
        <w:tc>
          <w:tcPr>
            <w:tcW w:w="2181" w:type="dxa"/>
          </w:tcPr>
          <w:p>
            <w:pPr>
              <w:pStyle w:val="Compact"/>
              <w:jc w:val="left"/>
            </w:pPr>
            <w:r>
              <w:rPr>
                <w:sz w:val="18"/>
              </w:rPr>
              <w:t xml:space="preserve">North Country Hospital</w:t>
            </w:r>
          </w:p>
        </w:tc>
        <w:tc>
          <w:tcPr>
            <w:tcW w:w="2526" w:type="dxa"/>
          </w:tcPr>
          <w:p>
            <w:pPr>
              <w:pStyle w:val="Compact"/>
              <w:jc w:val="left"/>
            </w:pPr>
            <w:r>
              <w:rPr>
                <w:sz w:val="18"/>
              </w:rPr>
              <w:t xml:space="preserve">~41K, very rural, NEK</w:t>
            </w:r>
          </w:p>
        </w:tc>
        <w:tc>
          <w:tcPr>
            <w:tcW w:w="3445" w:type="dxa"/>
          </w:tcPr>
          <w:p>
            <w:pPr>
              <w:pStyle w:val="Compact"/>
              <w:jc w:val="left"/>
            </w:pPr>
            <w:r>
              <w:rPr>
                <w:sz w:val="18"/>
              </w:rPr>
              <w:t xml:space="preserve">Among most financially vulnerable; REH candidacy; high Essex/Orleans uninsurance</w:t>
            </w:r>
          </w:p>
        </w:tc>
      </w:tr>
      <w:tr>
        <w:trPr/>
        <w:tc>
          <w:tcPr>
            <w:tcW w:w="918" w:type="dxa"/>
          </w:tcPr>
          <w:p>
            <w:pPr>
              <w:pStyle w:val="Compact"/>
              <w:jc w:val="left"/>
            </w:pPr>
            <w:r>
              <w:rPr>
                <w:sz w:val="18"/>
              </w:rPr>
              <w:t xml:space="preserve">St. Johnsbury</w:t>
            </w:r>
          </w:p>
        </w:tc>
        <w:tc>
          <w:tcPr>
            <w:tcW w:w="2181" w:type="dxa"/>
          </w:tcPr>
          <w:p>
            <w:pPr>
              <w:pStyle w:val="Compact"/>
              <w:jc w:val="left"/>
            </w:pPr>
            <w:r>
              <w:rPr>
                <w:sz w:val="18"/>
              </w:rPr>
              <w:t xml:space="preserve">Northeastern Vermont Regional Hospital</w:t>
            </w:r>
          </w:p>
        </w:tc>
        <w:tc>
          <w:tcPr>
            <w:tcW w:w="2526" w:type="dxa"/>
          </w:tcPr>
          <w:p>
            <w:pPr>
              <w:pStyle w:val="Compact"/>
              <w:jc w:val="left"/>
            </w:pPr>
            <w:r>
              <w:rPr>
                <w:sz w:val="18"/>
              </w:rPr>
              <w:t xml:space="preserve">~39K, very rural, NEK</w:t>
            </w:r>
          </w:p>
        </w:tc>
        <w:tc>
          <w:tcPr>
            <w:tcW w:w="3445" w:type="dxa"/>
          </w:tcPr>
          <w:p>
            <w:pPr>
              <w:pStyle w:val="Compact"/>
              <w:jc w:val="left"/>
            </w:pPr>
            <w:r>
              <w:rPr>
                <w:sz w:val="18"/>
              </w:rPr>
              <w:t xml:space="preserve">Cancer-surgery and infusion COEs; highest poverty (Caledonia/Essex); broadband/telehealth priority</w:t>
            </w:r>
          </w:p>
        </w:tc>
      </w:tr>
      <w:tr>
        <w:trPr/>
        <w:tc>
          <w:tcPr>
            <w:tcW w:w="918" w:type="dxa"/>
          </w:tcPr>
          <w:p>
            <w:pPr>
              <w:pStyle w:val="Compact"/>
              <w:jc w:val="left"/>
            </w:pPr>
            <w:r>
              <w:rPr>
                <w:sz w:val="18"/>
              </w:rPr>
              <w:t xml:space="preserve">Springfield</w:t>
            </w:r>
          </w:p>
        </w:tc>
        <w:tc>
          <w:tcPr>
            <w:tcW w:w="2181" w:type="dxa"/>
          </w:tcPr>
          <w:p>
            <w:pPr>
              <w:pStyle w:val="Compact"/>
              <w:jc w:val="left"/>
            </w:pPr>
            <w:r>
              <w:rPr>
                <w:sz w:val="18"/>
              </w:rPr>
              <w:t xml:space="preserve">Springfield Hospital</w:t>
            </w:r>
          </w:p>
        </w:tc>
        <w:tc>
          <w:tcPr>
            <w:tcW w:w="2526" w:type="dxa"/>
          </w:tcPr>
          <w:p>
            <w:pPr>
              <w:pStyle w:val="Compact"/>
              <w:jc w:val="left"/>
            </w:pPr>
            <w:r>
              <w:rPr>
                <w:sz w:val="18"/>
              </w:rPr>
              <w:t xml:space="preserve">~31K, rural, Windsor/Windham border</w:t>
            </w:r>
          </w:p>
        </w:tc>
        <w:tc>
          <w:tcPr>
            <w:tcW w:w="3445" w:type="dxa"/>
          </w:tcPr>
          <w:p>
            <w:pPr>
              <w:pStyle w:val="Compact"/>
              <w:jc w:val="left"/>
            </w:pPr>
            <w:r>
              <w:rPr>
                <w:sz w:val="18"/>
              </w:rPr>
              <w:t xml:space="preserve">Memory-care and adult-psych COEs; SUD corridor; most complex plan given financial position</w:t>
            </w:r>
          </w:p>
        </w:tc>
      </w:tr>
      <w:tr>
        <w:trPr/>
        <w:tc>
          <w:tcPr>
            <w:tcW w:w="918" w:type="dxa"/>
          </w:tcPr>
          <w:p>
            <w:pPr>
              <w:pStyle w:val="Compact"/>
              <w:jc w:val="left"/>
            </w:pPr>
            <w:r>
              <w:rPr>
                <w:sz w:val="18"/>
              </w:rPr>
              <w:t xml:space="preserve">Morrisville</w:t>
            </w:r>
          </w:p>
        </w:tc>
        <w:tc>
          <w:tcPr>
            <w:tcW w:w="2181" w:type="dxa"/>
          </w:tcPr>
          <w:p>
            <w:pPr>
              <w:pStyle w:val="Compact"/>
              <w:jc w:val="left"/>
            </w:pPr>
            <w:r>
              <w:rPr>
                <w:sz w:val="18"/>
              </w:rPr>
              <w:t xml:space="preserve">Copley Hospital</w:t>
            </w:r>
          </w:p>
        </w:tc>
        <w:tc>
          <w:tcPr>
            <w:tcW w:w="2526" w:type="dxa"/>
          </w:tcPr>
          <w:p>
            <w:pPr>
              <w:pStyle w:val="Compact"/>
              <w:jc w:val="left"/>
            </w:pPr>
            <w:r>
              <w:rPr>
                <w:sz w:val="18"/>
              </w:rPr>
              <w:t xml:space="preserve">~31K, rural, Lamoille/Orleans</w:t>
            </w:r>
          </w:p>
        </w:tc>
        <w:tc>
          <w:tcPr>
            <w:tcW w:w="3445" w:type="dxa"/>
          </w:tcPr>
          <w:p>
            <w:pPr>
              <w:pStyle w:val="Compact"/>
              <w:jc w:val="left"/>
            </w:pPr>
            <w:r>
              <w:rPr>
                <w:sz w:val="18"/>
              </w:rPr>
              <w:t xml:space="preserve">Orthopedics/rheumatology COEs; Stowe seasonal population; critical workforce housing</w:t>
            </w:r>
          </w:p>
        </w:tc>
      </w:tr>
      <w:tr>
        <w:trPr/>
        <w:tc>
          <w:tcPr>
            <w:tcW w:w="918" w:type="dxa"/>
          </w:tcPr>
          <w:p>
            <w:pPr>
              <w:pStyle w:val="Compact"/>
              <w:jc w:val="left"/>
            </w:pPr>
            <w:r>
              <w:rPr>
                <w:sz w:val="18"/>
              </w:rPr>
              <w:t xml:space="preserve">Randolph</w:t>
            </w:r>
          </w:p>
        </w:tc>
        <w:tc>
          <w:tcPr>
            <w:tcW w:w="2181" w:type="dxa"/>
          </w:tcPr>
          <w:p>
            <w:pPr>
              <w:pStyle w:val="Compact"/>
              <w:jc w:val="left"/>
            </w:pPr>
            <w:r>
              <w:rPr>
                <w:sz w:val="18"/>
              </w:rPr>
              <w:t xml:space="preserve">Gifford Medical Center</w:t>
            </w:r>
          </w:p>
        </w:tc>
        <w:tc>
          <w:tcPr>
            <w:tcW w:w="2526" w:type="dxa"/>
          </w:tcPr>
          <w:p>
            <w:pPr>
              <w:pStyle w:val="Compact"/>
              <w:jc w:val="left"/>
            </w:pPr>
            <w:r>
              <w:rPr>
                <w:sz w:val="18"/>
              </w:rPr>
              <w:t xml:space="preserve">~28K, very rural, Orange County</w:t>
            </w:r>
          </w:p>
        </w:tc>
        <w:tc>
          <w:tcPr>
            <w:tcW w:w="3445" w:type="dxa"/>
          </w:tcPr>
          <w:p>
            <w:pPr>
              <w:pStyle w:val="Compact"/>
              <w:jc w:val="left"/>
            </w:pPr>
            <w:r>
              <w:rPr>
                <w:sz w:val="18"/>
              </w:rPr>
              <w:t xml:space="preserve">TBD tier — among most vulnerable; comprehensive assessment needed; AHEAD CAH protections</w:t>
            </w:r>
          </w:p>
        </w:tc>
      </w:tr>
      <w:tr>
        <w:trPr>
          <w:cantSplit/>
        </w:trPr>
        <w:tc>
          <w:tcPr>
            <w:tcW w:w="918" w:type="dxa"/>
          </w:tcPr>
          <w:p>
            <w:pPr>
              <w:pStyle w:val="Compact"/>
              <w:jc w:val="left"/>
            </w:pPr>
            <w:r>
              <w:rPr>
                <w:sz w:val="18"/>
              </w:rPr>
              <w:t xml:space="preserve">Townshend</w:t>
            </w:r>
          </w:p>
        </w:tc>
        <w:tc>
          <w:tcPr>
            <w:tcW w:w="2181" w:type="dxa"/>
          </w:tcPr>
          <w:p>
            <w:pPr>
              <w:pStyle w:val="Compact"/>
              <w:jc w:val="left"/>
            </w:pPr>
            <w:r>
              <w:rPr>
                <w:sz w:val="18"/>
              </w:rPr>
              <w:t xml:space="preserve">Grace Cottage Hospital</w:t>
            </w:r>
          </w:p>
        </w:tc>
        <w:tc>
          <w:tcPr>
            <w:tcW w:w="2526" w:type="dxa"/>
          </w:tcPr>
          <w:p>
            <w:pPr>
              <w:pStyle w:val="Compact"/>
              <w:jc w:val="left"/>
            </w:pPr>
            <w:r>
              <w:rPr>
                <w:sz w:val="18"/>
              </w:rPr>
              <w:t xml:space="preserve">~14K, very rural; 19-bed, Vermont’s smallest</w:t>
            </w:r>
          </w:p>
        </w:tc>
        <w:tc>
          <w:tcPr>
            <w:tcW w:w="3445" w:type="dxa"/>
          </w:tcPr>
          <w:p>
            <w:pPr>
              <w:pStyle w:val="Compact"/>
              <w:jc w:val="left"/>
            </w:pPr>
            <w:r>
              <w:rPr>
                <w:sz w:val="18"/>
              </w:rPr>
              <w:t xml:space="preserve">REH conversion the likely path; coordination with Brattleboro Memorial essential; palliative-care specialty worth preserving</w:t>
            </w:r>
          </w:p>
        </w:tc>
      </w:tr>
    </w:tbl>
    <w:p>
      <w:pPr>
        <w:pStyle w:val="Caption"/>
        <w:spacing w:before="120"/>
      </w:pPr>
      <w:r>
        <w:rPr>
          <w:i/>
          <w:iCs/>
        </w:rPr>
        <w:t xml:space="preserve">Figure 16.3 — Vermont’s 14 HSAs: regional profile and priority transformation challenges. Sources: Oliver Wyman Act 167 Report; Vermont RHT Program Application; AHS Transformation Reports 2025.</w:t>
      </w:r>
    </w:p>
    <w:p>
      <w:pPr>
        <w:pStyle w:val="Heading3"/>
      </w:pPr>
      <w:r>
        <w:rPr>
          <w:color w:val="161B22"/>
        </w:rPr>
        <w:t xml:space="preserve">16.3.3  </w:t>
      </w:r>
      <w:bookmarkStart w:id="1433" w:name="_Toc1432"/>
      <w:r>
        <w:rPr>
          <w:b/>
          <w:bCs/>
          <w:color w:val="161B22"/>
        </w:rPr>
        <w:t xml:space="preserve">Level 3 — Program Delivery Operator</w:t>
      </w:r>
      <w:bookmarkEnd w:id="1433"/>
    </w:p>
    <w:p>
      <w:pPr>
        <w:pStyle w:val="FirstParagraph"/>
      </w:pPr>
      <w: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pPr>
        <w:pStyle w:val="Heading2"/>
        <w:pBdr>
          <w:top w:val="single" w:sz="6" w:space="10" w:color="C9D2DF"/>
        </w:pBdr>
      </w:pPr>
      <w:r>
        <w:rPr>
          <w:color w:val="161B22"/>
        </w:rPr>
        <w:t xml:space="preserve">16.4  </w:t>
      </w:r>
      <w:bookmarkStart w:id="1434" w:name="_Toc1433"/>
      <w:r>
        <w:rPr>
          <w:b/>
          <w:bCs/>
          <w:color w:val="161B22"/>
        </w:rPr>
        <w:t xml:space="preserve">The Six-Pillar Framework Applied to AHS’s Mandate</w:t>
      </w:r>
      <w:bookmarkEnd w:id="1434"/>
    </w:p>
    <w:p>
      <w:pPr>
        <w:pStyle w:val="FirstParagraph"/>
      </w:pPr>
      <w:r>
        <w:t xml:space="preserve">The six-pillar framework provides the analytical architecture for the Strategic Plan. Each pillar corresponds to a domain of AHS’s mandate, a set of capabilities to develop, and a set of measurable outcomes.</w:t>
      </w:r>
    </w:p>
    <w:p>
      <w:pPr>
        <w:pStyle w:val="BodyText"/>
      </w:pPr>
      <w:r>
        <w:t xml:space="preserve">Pillar 1 — Policy (legislative compliance, federal relationships, regulatory strategy): AHEAD Model management (ongoing CMS negotiation, TCOC compliance, withdrawal conditions); Act 68 compliance tracking (RBP FY2027, non-CAH global budgets FY2028, plan December 2028, legislative reporting calendar); RHT Program administration (grant management, contractor oversight, annual CMS reporting); and federal-policy monitoring (Medicaid reconciliation, CMMI changes, CMS guidance).</w:t>
      </w:r>
    </w:p>
    <w:p>
      <w:pPr>
        <w:pStyle w:val="BodyText"/>
      </w:pPr>
      <w:r>
        <w:t xml:space="preserve">Pillar 2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EAST Fund management (up to ~$150M/yr in additional Medicare funds toward primary care, BH, home health, long-term care); and transformation-ROI tracking against Oliver Wyman’s $400M+ projected savings.</w:t>
      </w:r>
    </w:p>
    <w:p>
      <w:pPr>
        <w:pStyle w:val="BodyText"/>
      </w:pPr>
      <w:r>
        <w:t xml:space="preserve">Pillar 3 — Technology (data infrastructure, HIE governance, analytics, EHR strategy): VHCURES expansion and more-timely access (the November 2025 report acknowledged most measures reflect 2023 data — a two-year lag that makes real-time management impossible); HIE strategic development (the Act 167–mandated feasibility assessment of a statewide EHR); analytics-vendor implementation (the most urgent near-term investment); and cross-program data integration linking SDOH programs to healthcare outcomes.</w:t>
      </w:r>
    </w:p>
    <w:p>
      <w:pPr>
        <w:pStyle w:val="BodyText"/>
      </w:pPr>
      <w:r>
        <w:t xml:space="preserve">Pillar 4 — Clinical (primary-care expansion, BH integration, care-model design): Blueprint expansion and the AHEAD transition (moving Blueprint’s Medicare payments to Primary Care AHEAD; making the MHI behavioral-health-integration pilot permanent through EAST Fund investment); CCBHC network development (5 new entities by July 2026, integrated with primary care, EDs, and 988); care-model technical assistance for the global-budget environment; and long-term-care capacity development (PACE gap, dementia-care COE, HCBS expansion).</w:t>
      </w:r>
    </w:p>
    <w:p>
      <w:pPr>
        <w:pStyle w:val="BodyText"/>
      </w:pPr>
      <w:r>
        <w:t xml:space="preserve">Pillar 5 — Equity (disparity elimination, geographic access, SDOH, culturally competent care): geographic-equity monitoring by county, with attention to the Northeast Kingdom (6–8% uninsurance vs. 3% statewide); Medicaid-access protection (whether RBP/global budgets affect hospitals’ willingness to maintain Medicaid volumes — Act 68 requires access-protection consideration in RBP design); culturally competent care investment (language access, cultural competence, LGBTQ+ competency, weight-bias); and SDOH-program coordination directed toward the communities where gaps most drive utilization.</w:t>
      </w:r>
    </w:p>
    <w:p>
      <w:pPr>
        <w:pStyle w:val="BodyText"/>
        <w:keepNext w:val="false"/>
      </w:pPr>
      <w:r>
        <w:t xml:space="preserve">Pillar 6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pPr>
        <w:pStyle w:val="Heading2"/>
        <w:pBdr>
          <w:top w:val="single" w:sz="6" w:space="10" w:color="C9D2DF"/>
        </w:pBdr>
        <w:keepNext w:val="false"/>
      </w:pPr>
      <w:r>
        <w:rPr>
          <w:color w:val="161B22"/>
        </w:rPr>
        <w:t xml:space="preserve">16.5  </w:t>
      </w:r>
      <w:bookmarkStart w:id="1435" w:name="_Toc1434"/>
      <w:r>
        <w:rPr>
          <w:b/>
          <w:bCs/>
          <w:color w:val="161B22"/>
        </w:rPr>
        <w:t xml:space="preserve">The AHS Restructuring Implementation Timeline</w:t>
      </w:r>
      <w:bookmarkEnd w:id="1435"/>
    </w:p>
    <w:tbl>
      <w:tblPr>
        <w:tblStyle w:val="HTRTable"/>
        <w:tblLook w:firstRow="1" w:lastRow="0" w:firstColumn="0" w:lastColumn="0" w:noHBand="0" w:noVBand="1" w:val="0020"/>
        <w:tblW w:w="9072" w:type="dxa"/>
        <w:tblLayout w:type="fixed"/>
      </w:tblPr>
      <w:tblGrid>
        <w:gridCol w:w="918"/>
        <w:gridCol w:w="3240"/>
        <w:gridCol w:w="1890"/>
        <w:gridCol w:w="3024"/>
      </w:tblGrid>
      <w:tr>
        <w:trPr>
          <w:tblHeader w:val="on"/>
          <w:cantSplit/>
        </w:trPr>
        <w:tc>
          <w:tcPr>
            <w:shd w:val="clear" w:color="auto" w:fill="1B3A6B"/>
            <w:tcW w:w="918" w:type="dxa"/>
          </w:tcPr>
          <w:p>
            <w:pPr>
              <w:pStyle w:val="Compact"/>
              <w:jc w:val="left"/>
            </w:pPr>
            <w:r>
              <w:rPr>
                <w:b/>
                <w:color w:val="FFFFFF"/>
                <w:sz w:val="18"/>
              </w:rPr>
              <w:t xml:space="preserve">Deadline</w:t>
            </w:r>
          </w:p>
        </w:tc>
        <w:tc>
          <w:tcPr>
            <w:shd w:val="clear" w:color="auto" w:fill="1B3A6B"/>
            <w:tcW w:w="3240" w:type="dxa"/>
          </w:tcPr>
          <w:p>
            <w:pPr>
              <w:pStyle w:val="Compact"/>
              <w:jc w:val="left"/>
            </w:pPr>
            <w:r>
              <w:rPr>
                <w:b/>
                <w:color w:val="FFFFFF"/>
                <w:sz w:val="18"/>
              </w:rPr>
              <w:t xml:space="preserve">Milestone</w:t>
            </w:r>
          </w:p>
        </w:tc>
        <w:tc>
          <w:tcPr>
            <w:shd w:val="clear" w:color="auto" w:fill="1B3A6B"/>
            <w:tcW w:w="1890" w:type="dxa"/>
          </w:tcPr>
          <w:p>
            <w:pPr>
              <w:pStyle w:val="Compact"/>
              <w:jc w:val="left"/>
            </w:pPr>
            <w:r>
              <w:rPr>
                <w:b/>
                <w:color w:val="FFFFFF"/>
                <w:sz w:val="18"/>
              </w:rPr>
              <w:t xml:space="preserve">Primary owner</w:t>
            </w:r>
          </w:p>
        </w:tc>
        <w:tc>
          <w:tcPr>
            <w:shd w:val="clear" w:color="auto" w:fill="1B3A6B"/>
            <w:tcW w:w="3024" w:type="dxa"/>
          </w:tcPr>
          <w:p>
            <w:pPr>
              <w:pStyle w:val="Compact"/>
              <w:jc w:val="left"/>
            </w:pPr>
            <w:r>
              <w:rPr>
                <w:b/>
                <w:color w:val="FFFFFF"/>
                <w:sz w:val="18"/>
              </w:rPr>
              <w:t xml:space="preserve">Status</w:t>
            </w:r>
          </w:p>
        </w:tc>
      </w:tr>
      <w:tr>
        <w:trPr>
          <w:cantSplit/>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Hospital transformation grant awards; all 14 hospitals engaged</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In progress — all eligible hospitals applied</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Analytics-vendor procurement (joint AHS-GMCB)</w:t>
            </w:r>
          </w:p>
        </w:tc>
        <w:tc>
          <w:tcPr>
            <w:tcW w:w="1890" w:type="dxa"/>
          </w:tcPr>
          <w:p>
            <w:pPr>
              <w:pStyle w:val="Compact"/>
              <w:jc w:val="left"/>
            </w:pPr>
            <w:r>
              <w:rPr>
                <w:sz w:val="18"/>
              </w:rPr>
              <w:t xml:space="preserve">AHS + GMCB</w:t>
            </w:r>
          </w:p>
        </w:tc>
        <w:tc>
          <w:tcPr>
            <w:tcW w:w="3024" w:type="dxa"/>
          </w:tcPr>
          <w:p>
            <w:pPr>
              <w:pStyle w:val="Compact"/>
              <w:jc w:val="left"/>
            </w:pPr>
            <w:r>
              <w:rPr>
                <w:sz w:val="18"/>
              </w:rPr>
              <w:t xml:space="preserve">Underway as of November 2025</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CCBHC certification for 5 new entities (July 2026 target)</w:t>
            </w:r>
          </w:p>
        </w:tc>
        <w:tc>
          <w:tcPr>
            <w:tcW w:w="1890" w:type="dxa"/>
          </w:tcPr>
          <w:p>
            <w:pPr>
              <w:pStyle w:val="Compact"/>
              <w:jc w:val="left"/>
            </w:pPr>
            <w:r>
              <w:rPr>
                <w:sz w:val="18"/>
              </w:rPr>
              <w:t xml:space="preserve">AHS / DMH</w:t>
            </w:r>
          </w:p>
        </w:tc>
        <w:tc>
          <w:tcPr>
            <w:tcW w:w="3024" w:type="dxa"/>
          </w:tcPr>
          <w:p>
            <w:pPr>
              <w:pStyle w:val="Compact"/>
              <w:jc w:val="left"/>
            </w:pPr>
            <w:r>
              <w:rPr>
                <w:sz w:val="18"/>
              </w:rPr>
              <w:t xml:space="preserve">On track per RHT plan</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AHEAD Medicaid global budget operational (January 2026)</w:t>
            </w:r>
          </w:p>
        </w:tc>
        <w:tc>
          <w:tcPr>
            <w:tcW w:w="1890" w:type="dxa"/>
          </w:tcPr>
          <w:p>
            <w:pPr>
              <w:pStyle w:val="Compact"/>
              <w:jc w:val="left"/>
            </w:pPr>
            <w:r>
              <w:rPr>
                <w:sz w:val="18"/>
              </w:rPr>
              <w:t xml:space="preserve">DVHA / CMS</w:t>
            </w:r>
          </w:p>
        </w:tc>
        <w:tc>
          <w:tcPr>
            <w:tcW w:w="3024" w:type="dxa"/>
          </w:tcPr>
          <w:p>
            <w:pPr>
              <w:pStyle w:val="Compact"/>
              <w:jc w:val="left"/>
            </w:pPr>
            <w:r>
              <w:rPr>
                <w:sz w:val="18"/>
              </w:rPr>
              <w:t xml:space="preserve">Operational</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RHT implementation planning and staff hiring</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$195M received Dec 2025; planning underway</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Final hospital transformation plans</w:t>
            </w:r>
          </w:p>
        </w:tc>
        <w:tc>
          <w:tcPr>
            <w:tcW w:w="1890" w:type="dxa"/>
          </w:tcPr>
          <w:p>
            <w:pPr>
              <w:pStyle w:val="Compact"/>
              <w:jc w:val="left"/>
            </w:pPr>
            <w:r>
              <w:rPr>
                <w:sz w:val="18"/>
              </w:rPr>
              <w:t xml:space="preserve">AHS + 14 hospitals + RHRC successor</w:t>
            </w:r>
          </w:p>
        </w:tc>
        <w:tc>
          <w:tcPr>
            <w:tcW w:w="3024" w:type="dxa"/>
          </w:tcPr>
          <w:p>
            <w:pPr>
              <w:pStyle w:val="Compact"/>
              <w:jc w:val="left"/>
            </w:pPr>
            <w:r>
              <w:rPr>
                <w:sz w:val="18"/>
              </w:rPr>
              <w:t xml:space="preserve">Plans expected early 2026</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HSA Coordinator roles established</w:t>
            </w:r>
          </w:p>
        </w:tc>
        <w:tc>
          <w:tcPr>
            <w:tcW w:w="1890" w:type="dxa"/>
          </w:tcPr>
          <w:p>
            <w:pPr>
              <w:pStyle w:val="Compact"/>
              <w:jc w:val="left"/>
            </w:pPr>
            <w:r>
              <w:rPr>
                <w:sz w:val="18"/>
              </w:rPr>
              <w:t xml:space="preserve">AHS Secretary</w:t>
            </w:r>
          </w:p>
        </w:tc>
        <w:tc>
          <w:tcPr>
            <w:tcW w:w="3024" w:type="dxa"/>
          </w:tcPr>
          <w:p>
            <w:pPr>
              <w:pStyle w:val="Compact"/>
              <w:jc w:val="left"/>
            </w:pPr>
            <w:r>
              <w:rPr>
                <w:sz w:val="18"/>
              </w:rPr>
              <w:t xml:space="preserve">Organizational change requiring Secretary-level decision</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Division of Planning and Effectiveness established</w:t>
            </w:r>
          </w:p>
        </w:tc>
        <w:tc>
          <w:tcPr>
            <w:tcW w:w="1890" w:type="dxa"/>
          </w:tcPr>
          <w:p>
            <w:pPr>
              <w:pStyle w:val="Compact"/>
              <w:jc w:val="left"/>
            </w:pPr>
            <w:r>
              <w:rPr>
                <w:sz w:val="18"/>
              </w:rPr>
              <w:t xml:space="preserve">AHS Secretary + GMCB Chair</w:t>
            </w:r>
          </w:p>
        </w:tc>
        <w:tc>
          <w:tcPr>
            <w:tcW w:w="3024" w:type="dxa"/>
          </w:tcPr>
          <w:p>
            <w:pPr>
              <w:pStyle w:val="Compact"/>
              <w:jc w:val="left"/>
            </w:pPr>
            <w:r>
              <w:rPr>
                <w:sz w:val="18"/>
              </w:rPr>
              <w:t xml:space="preserve">OW-recommended; critical for plan development</w:t>
            </w:r>
          </w:p>
        </w:tc>
      </w:tr>
      <w:tr>
        <w:trPr/>
        <w:tc>
          <w:tcPr>
            <w:tcW w:w="918" w:type="dxa"/>
          </w:tcPr>
          <w:p>
            <w:pPr>
              <w:pStyle w:val="Compact"/>
              <w:jc w:val="left"/>
            </w:pPr>
            <w:r>
              <w:rPr>
                <w:sz w:val="18"/>
              </w:rPr>
              <w:t xml:space="preserve">FY2027 (Oct 2026)</w:t>
            </w:r>
          </w:p>
        </w:tc>
        <w:tc>
          <w:tcPr>
            <w:tcW w:w="3240" w:type="dxa"/>
          </w:tcPr>
          <w:p>
            <w:pPr>
              <w:pStyle w:val="Compact"/>
              <w:jc w:val="left"/>
            </w:pPr>
            <w:r>
              <w:rPr>
                <w:sz w:val="18"/>
              </w:rPr>
              <w:t xml:space="preserve">RBP maximum rates in effect for commercial payers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Statutory deadline; GMCB leads</w:t>
            </w:r>
          </w:p>
        </w:tc>
      </w:tr>
      <w:tr>
        <w:trPr/>
        <w:tc>
          <w:tcPr>
            <w:tcW w:w="918" w:type="dxa"/>
          </w:tcPr>
          <w:p>
            <w:pPr>
              <w:pStyle w:val="Compact"/>
              <w:jc w:val="left"/>
            </w:pPr>
            <w:r>
              <w:rPr>
                <w:sz w:val="18"/>
              </w:rPr>
              <w:t xml:space="preserve">FY2027 (Jan 2027)</w:t>
            </w:r>
          </w:p>
        </w:tc>
        <w:tc>
          <w:tcPr>
            <w:tcW w:w="3240" w:type="dxa"/>
          </w:tcPr>
          <w:p>
            <w:pPr>
              <w:pStyle w:val="Compact"/>
              <w:jc w:val="left"/>
            </w:pPr>
            <w:r>
              <w:rPr>
                <w:sz w:val="18"/>
              </w:rPr>
              <w:t xml:space="preserve">AHEAD Cohort 2 begins — Medicare FFS global budgets</w:t>
            </w:r>
          </w:p>
        </w:tc>
        <w:tc>
          <w:tcPr>
            <w:tcW w:w="1890" w:type="dxa"/>
          </w:tcPr>
          <w:p>
            <w:pPr>
              <w:pStyle w:val="Compact"/>
              <w:jc w:val="left"/>
            </w:pPr>
            <w:r>
              <w:rPr>
                <w:sz w:val="18"/>
              </w:rPr>
              <w:t xml:space="preserve">AHS + DVHA + GMCB + CMS</w:t>
            </w:r>
          </w:p>
        </w:tc>
        <w:tc>
          <w:tcPr>
            <w:tcW w:w="3024" w:type="dxa"/>
          </w:tcPr>
          <w:p>
            <w:pPr>
              <w:pStyle w:val="Compact"/>
              <w:jc w:val="left"/>
            </w:pPr>
            <w:r>
              <w:rPr>
                <w:sz w:val="18"/>
              </w:rPr>
              <w:t xml:space="preserve">Nine-year model; ongoing federal coordination</w:t>
            </w:r>
          </w:p>
        </w:tc>
      </w:tr>
      <w:tr>
        <w:trPr/>
        <w:tc>
          <w:tcPr>
            <w:tcW w:w="918" w:type="dxa"/>
          </w:tcPr>
          <w:p>
            <w:pPr>
              <w:pStyle w:val="Compact"/>
              <w:jc w:val="left"/>
            </w:pPr>
            <w:r>
              <w:rPr>
                <w:sz w:val="18"/>
              </w:rPr>
              <w:t xml:space="preserve">FY2027</w:t>
            </w:r>
          </w:p>
        </w:tc>
        <w:tc>
          <w:tcPr>
            <w:tcW w:w="3240" w:type="dxa"/>
          </w:tcPr>
          <w:p>
            <w:pPr>
              <w:pStyle w:val="Compact"/>
              <w:jc w:val="left"/>
            </w:pPr>
            <w:r>
              <w:rPr>
                <w:sz w:val="18"/>
              </w:rPr>
              <w:t xml:space="preserve">Primary Care AHEAD operational — enhanced primary-care payments</w:t>
            </w:r>
          </w:p>
        </w:tc>
        <w:tc>
          <w:tcPr>
            <w:tcW w:w="1890" w:type="dxa"/>
          </w:tcPr>
          <w:p>
            <w:pPr>
              <w:pStyle w:val="Compact"/>
              <w:jc w:val="left"/>
            </w:pPr>
            <w:r>
              <w:rPr>
                <w:sz w:val="18"/>
              </w:rPr>
              <w:t xml:space="preserve">DVHA + Blueprint</w:t>
            </w:r>
          </w:p>
        </w:tc>
        <w:tc>
          <w:tcPr>
            <w:tcW w:w="3024" w:type="dxa"/>
          </w:tcPr>
          <w:p>
            <w:pPr>
              <w:pStyle w:val="Compact"/>
              <w:jc w:val="left"/>
            </w:pPr>
            <w:r>
              <w:rPr>
                <w:sz w:val="18"/>
              </w:rPr>
              <w:t xml:space="preserve">Replaces expiring Medicare demo</w:t>
            </w:r>
          </w:p>
        </w:tc>
      </w:tr>
      <w:tr>
        <w:trPr/>
        <w:tc>
          <w:tcPr>
            <w:tcW w:w="918" w:type="dxa"/>
          </w:tcPr>
          <w:p>
            <w:pPr>
              <w:pStyle w:val="Compact"/>
              <w:jc w:val="left"/>
            </w:pPr>
            <w:r>
              <w:rPr>
                <w:sz w:val="18"/>
              </w:rPr>
              <w:t xml:space="preserve">FY2028 (Oct 2027)</w:t>
            </w:r>
          </w:p>
        </w:tc>
        <w:tc>
          <w:tcPr>
            <w:tcW w:w="3240" w:type="dxa"/>
          </w:tcPr>
          <w:p>
            <w:pPr>
              <w:pStyle w:val="Compact"/>
              <w:jc w:val="left"/>
            </w:pPr>
            <w:r>
              <w:rPr>
                <w:sz w:val="18"/>
              </w:rPr>
              <w:t xml:space="preserve">Global budgets for non-CAH hospitals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Requires completed RBP methodology and budget design</w:t>
            </w:r>
          </w:p>
        </w:tc>
      </w:tr>
      <w:tr>
        <w:trPr/>
        <w:tc>
          <w:tcPr>
            <w:tcW w:w="918" w:type="dxa"/>
          </w:tcPr>
          <w:p>
            <w:pPr>
              <w:pStyle w:val="Compact"/>
              <w:jc w:val="left"/>
            </w:pPr>
            <w:r>
              <w:rPr>
                <w:sz w:val="18"/>
              </w:rPr>
              <w:t xml:space="preserve">December 2028</w:t>
            </w:r>
          </w:p>
        </w:tc>
        <w:tc>
          <w:tcPr>
            <w:tcW w:w="3240" w:type="dxa"/>
          </w:tcPr>
          <w:p>
            <w:pPr>
              <w:pStyle w:val="Compact"/>
              <w:jc w:val="left"/>
            </w:pPr>
            <w:r>
              <w:rPr>
                <w:sz w:val="18"/>
              </w:rPr>
              <w:t xml:space="preserve">Statewide Strategic Plan delivered to legislature</w:t>
            </w:r>
          </w:p>
        </w:tc>
        <w:tc>
          <w:tcPr>
            <w:tcW w:w="1890" w:type="dxa"/>
          </w:tcPr>
          <w:p>
            <w:pPr>
              <w:pStyle w:val="Compact"/>
              <w:jc w:val="left"/>
            </w:pPr>
            <w:r>
              <w:rPr>
                <w:sz w:val="18"/>
              </w:rPr>
              <w:t xml:space="preserve">AHS Secretary + HCAC</w:t>
            </w:r>
          </w:p>
        </w:tc>
        <w:tc>
          <w:tcPr>
            <w:tcW w:w="3024" w:type="dxa"/>
          </w:tcPr>
          <w:p>
            <w:pPr>
              <w:pStyle w:val="Compact"/>
              <w:jc w:val="left"/>
            </w:pPr>
            <w:r>
              <w:rPr>
                <w:sz w:val="18"/>
              </w:rPr>
              <w:t xml:space="preserve">Statutory; updated every three years</w:t>
            </w:r>
          </w:p>
        </w:tc>
      </w:tr>
      <w:tr>
        <w:trPr>
          <w:cantSplit/>
        </w:trPr>
        <w:tc>
          <w:tcPr>
            <w:tcW w:w="918" w:type="dxa"/>
          </w:tcPr>
          <w:p>
            <w:pPr>
              <w:pStyle w:val="Compact"/>
              <w:jc w:val="left"/>
            </w:pPr>
            <w:r>
              <w:rPr>
                <w:sz w:val="18"/>
              </w:rPr>
              <w:t xml:space="preserve">FY2030 (Oct 2029)</w:t>
            </w:r>
          </w:p>
        </w:tc>
        <w:tc>
          <w:tcPr>
            <w:tcW w:w="3240" w:type="dxa"/>
          </w:tcPr>
          <w:p>
            <w:pPr>
              <w:pStyle w:val="Compact"/>
              <w:jc w:val="left"/>
            </w:pPr>
            <w:r>
              <w:rPr>
                <w:sz w:val="18"/>
              </w:rPr>
              <w:t xml:space="preserve">Global budgets for all hospitals including CAHs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Completes all-hospital global-budget coverage</w:t>
            </w:r>
          </w:p>
        </w:tc>
      </w:tr>
    </w:tbl>
    <w:p>
      <w:pPr>
        <w:pStyle w:val="Caption"/>
        <w:spacing w:before="120"/>
      </w:pPr>
      <w:r>
        <w:rPr>
          <w:i/>
          <w:iCs/>
        </w:rPr>
        <w:t xml:space="preserve">Figure 16.4 — AHS restructuring and Vermont transformation timeline. Sources: Act 68 of 2025; AHEAD State Agreement (January 2025); AHS Transformation Reports; Vermont RHT Program Application.</w:t>
      </w:r>
    </w:p>
    <w:p>
      <w:pPr>
        <w:pStyle w:val="Heading2"/>
        <w:pBdr>
          <w:top w:val="single" w:sz="6" w:space="10" w:color="C9D2DF"/>
        </w:pBdr>
      </w:pPr>
      <w:r>
        <w:rPr>
          <w:color w:val="161B22"/>
        </w:rPr>
        <w:t xml:space="preserve">16.6  </w:t>
      </w:r>
      <w:bookmarkStart w:id="1436" w:name="_Toc1435"/>
      <w:r>
        <w:rPr>
          <w:b/>
          <w:bCs/>
          <w:color w:val="161B22"/>
        </w:rPr>
        <w:t xml:space="preserve">A Framework for the 2028 Statewide Strategic Plan</w:t>
      </w:r>
      <w:bookmarkEnd w:id="1436"/>
    </w:p>
    <w:p>
      <w:pPr>
        <w:pStyle w:val="FirstParagraph"/>
      </w:pPr>
      <w:r>
        <w:t xml:space="preserve">The Strategic Plan is the most consequential document AHS will produce this decade; it will define Vermont’s system for the decade following its delivery. The proposed structure, organized around the six pillars and Act 68’s requirements:</w:t>
      </w:r>
    </w:p>
    <w:p>
      <w:pPr>
        <w:pStyle w:val="Compact"/>
        <w:numPr>
          <w:ilvl w:val="0"/>
          <w:numId w:val="1036"/>
        </w:numPr>
        <w:keepLines w:val="true"/>
        <w:keepNext w:val="true"/>
      </w:pPr>
    </w:p>
    <w:p>
      <w:pPr>
        <w:pStyle w:val="Compact"/>
        <w:numPr>
          <w:ilvl w:val="1"/>
          <w:numId w:val="1037"/>
        </w:numPr>
        <w:keepLines w:val="true"/>
        <w:keepNext w:val="true"/>
      </w:pPr>
      <w:r>
        <w:t xml:space="preserve">Executive Summary (5–8 pp) — the crisis in 2028; what changed since 2022; the five goals and progress; the plan’s central 2028–2031 commitments.</w:t>
      </w:r>
    </w:p>
    <w:p>
      <w:pPr>
        <w:pStyle w:val="Compact"/>
        <w:numPr>
          <w:ilvl w:val="0"/>
          <w:numId w:val="1036"/>
        </w:numPr>
        <w:keepLines w:val="true"/>
      </w:pPr>
    </w:p>
    <w:p>
      <w:pPr>
        <w:pStyle w:val="Compact"/>
        <w:numPr>
          <w:ilvl w:val="1"/>
          <w:numId w:val="1038"/>
        </w:numPr>
        <w:keepLines w:val="true"/>
      </w:pPr>
      <w:r>
        <w:t xml:space="preserve">System Context and Diagnosis (15–20 pp) — an updated Oliver Wyman analysis: demographics, hospital finances, payer landscape, workforce, SDOH burden as of a 2028 baseline.</w:t>
      </w:r>
    </w:p>
    <w:p>
      <w:pPr>
        <w:pStyle w:val="Compact"/>
        <w:numPr>
          <w:ilvl w:val="0"/>
          <w:numId w:val="1036"/>
        </w:numPr>
        <w:keepLines w:val="true"/>
      </w:pPr>
    </w:p>
    <w:p>
      <w:pPr>
        <w:pStyle w:val="Compact"/>
        <w:numPr>
          <w:ilvl w:val="1"/>
          <w:numId w:val="1039"/>
        </w:numPr>
        <w:keepLines w:val="true"/>
      </w:pPr>
      <w:r>
        <w:t xml:space="preserve">Payment Reform Architecture — Economics (20–25 pp) — RBP status; global-budget parameters per hospital; AHEAD TCOC targets and performance; affordability benchmarks.</w:t>
      </w:r>
    </w:p>
    <w:p>
      <w:pPr>
        <w:pStyle w:val="Compact"/>
        <w:numPr>
          <w:ilvl w:val="0"/>
          <w:numId w:val="1036"/>
        </w:numPr>
        <w:keepLines w:val="true"/>
      </w:pPr>
    </w:p>
    <w:p>
      <w:pPr>
        <w:pStyle w:val="Compact"/>
        <w:numPr>
          <w:ilvl w:val="1"/>
          <w:numId w:val="1040"/>
        </w:numPr>
        <w:keepLines w:val="true"/>
      </w:pPr>
      <w:r>
        <w:t xml:space="preserve">Primary Care and Behavioral Health — Clinical (15–20 pp) — Blueprint enrollment/performance; CCBHC coverage; CoCM status; BH access indicators and 2028–2031 targets.</w:t>
      </w:r>
    </w:p>
    <w:p>
      <w:pPr>
        <w:pStyle w:val="Compact"/>
        <w:numPr>
          <w:ilvl w:val="0"/>
          <w:numId w:val="1036"/>
        </w:numPr>
        <w:keepLines w:val="true"/>
      </w:pPr>
    </w:p>
    <w:p>
      <w:pPr>
        <w:pStyle w:val="Compact"/>
        <w:numPr>
          <w:ilvl w:val="1"/>
          <w:numId w:val="1041"/>
        </w:numPr>
        <w:keepLines w:val="true"/>
      </w:pPr>
      <w:r>
        <w:t xml:space="preserve">Hospital Network and Regionalization — Operations (20–25 pp) — confirmed tier designations; COE network; transfer infrastructure; shared services; REH/CACC conversions; workforce distribution.</w:t>
      </w:r>
    </w:p>
    <w:p>
      <w:pPr>
        <w:pStyle w:val="Compact"/>
        <w:numPr>
          <w:ilvl w:val="0"/>
          <w:numId w:val="1036"/>
        </w:numPr>
        <w:keepLines w:val="true"/>
      </w:pPr>
    </w:p>
    <w:p>
      <w:pPr>
        <w:pStyle w:val="Compact"/>
        <w:numPr>
          <w:ilvl w:val="1"/>
          <w:numId w:val="1042"/>
        </w:numPr>
        <w:keepLines w:val="true"/>
      </w:pPr>
      <w:r>
        <w:t xml:space="preserve">Data and Technology Infrastructure — Technology (10–15 pp) — VHCURES enhancement; HIE connectivity; statewide-EHR decision; analytics capabilities; interoperability.</w:t>
      </w:r>
    </w:p>
    <w:p>
      <w:pPr>
        <w:pStyle w:val="Compact"/>
        <w:numPr>
          <w:ilvl w:val="0"/>
          <w:numId w:val="1036"/>
        </w:numPr>
        <w:keepLines w:val="true"/>
      </w:pPr>
    </w:p>
    <w:p>
      <w:pPr>
        <w:pStyle w:val="Compact"/>
        <w:numPr>
          <w:ilvl w:val="1"/>
          <w:numId w:val="1043"/>
        </w:numPr>
        <w:keepLines w:val="true"/>
      </w:pPr>
      <w:r>
        <w:t xml:space="preserve">Health Equity Strategy — Equity (15–20 pp) — geographic-equity indicators by HSA; disparity measures; SDOH coordination; culturally competent care; 2028–2031 targets.</w:t>
      </w:r>
    </w:p>
    <w:p>
      <w:pPr>
        <w:pStyle w:val="Compact"/>
        <w:numPr>
          <w:ilvl w:val="0"/>
          <w:numId w:val="1036"/>
        </w:numPr>
        <w:keepLines w:val="true"/>
      </w:pPr>
    </w:p>
    <w:p>
      <w:pPr>
        <w:pStyle w:val="Compact"/>
        <w:numPr>
          <w:ilvl w:val="1"/>
          <w:numId w:val="1044"/>
        </w:numPr>
        <w:keepLines w:val="true"/>
      </w:pPr>
      <w:r>
        <w:t xml:space="preserve">Workforce Strategy (15–20 pp) — supply/demand by profession and geography; RHT workforce investments and outcomes; scope-of-practice changes; pipeline; 2030 projections.</w:t>
      </w:r>
    </w:p>
    <w:p>
      <w:pPr>
        <w:pStyle w:val="Compact"/>
        <w:numPr>
          <w:ilvl w:val="0"/>
          <w:numId w:val="1036"/>
        </w:numPr>
        <w:keepLines w:val="true"/>
      </w:pPr>
    </w:p>
    <w:p>
      <w:pPr>
        <w:pStyle w:val="Compact"/>
        <w:numPr>
          <w:ilvl w:val="1"/>
          <w:numId w:val="1045"/>
        </w:numPr>
        <w:keepLines w:val="true"/>
      </w:pPr>
      <w:r>
        <w:t xml:space="preserve">AHS Organizational Architecture — Policy &amp; Operations (10–15 pp) — the redesigned structure; HSA Coordinator model; Division of Planning and Effectiveness; cross-program SDOH integration; governance relationships.</w:t>
      </w:r>
    </w:p>
    <w:p>
      <w:pPr>
        <w:pStyle w:val="Compact"/>
        <w:numPr>
          <w:ilvl w:val="0"/>
          <w:numId w:val="1036"/>
        </w:numPr>
        <w:keepLines w:val="true"/>
      </w:pPr>
    </w:p>
    <w:p>
      <w:pPr>
        <w:pStyle w:val="Compact"/>
        <w:numPr>
          <w:ilvl w:val="1"/>
          <w:numId w:val="1046"/>
        </w:numPr>
        <w:keepLines w:val="true"/>
      </w:pPr>
      <w:r>
        <w:t xml:space="preserve">Accountability Framework (10–15 pp) — full metrics dashboard (all 17+ Act 167/Act 68 measures); data sources and update frequencies; 2028–2031 targets; reporting calendar; revision conditions.</w:t>
      </w:r>
    </w:p>
    <w:p>
      <w:pPr>
        <w:pStyle w:val="Compact"/>
        <w:numPr>
          <w:ilvl w:val="0"/>
          <w:numId w:val="1036"/>
        </w:numPr>
        <w:keepLines w:val="true"/>
      </w:pPr>
    </w:p>
    <w:p>
      <w:pPr>
        <w:pStyle w:val="Compact"/>
        <w:numPr>
          <w:ilvl w:val="1"/>
          <w:numId w:val="1047"/>
        </w:numPr>
        <w:keepLines w:val="true"/>
      </w:pPr>
      <w:r>
        <w:t xml:space="preserve">Financial Plan (15–20 pp) — RHT capital allocation (remaining balance); EAST Fund allocation; Act 68 grant commitments; projected savings; state-budget implications.</w:t>
      </w:r>
    </w:p>
    <w:p>
      <w:pPr>
        <w:pStyle w:val="Caption"/>
      </w:pPr>
      <w:r>
        <w:rPr>
          <w:i/>
          <w:iCs/>
        </w:rPr>
        <w:t xml:space="preserve">Figure 16.5 — Proposed structure for the 2028 Statewide Strategic Plan. Sources: Act 68 of 2025; HCAC mandate; six-pillar framework.</w:t>
      </w:r>
    </w:p>
    <w:p>
      <w:pPr>
        <w:pStyle w:val="Heading3"/>
        <w:keepNext w:val="false"/>
      </w:pPr>
      <w:r>
        <w:rPr>
          <w:color w:val="161B22"/>
        </w:rPr>
        <w:t xml:space="preserve">16.6.1  </w:t>
      </w:r>
      <w:bookmarkStart w:id="1437" w:name="_Toc1436"/>
      <w:r>
        <w:rPr>
          <w:b/>
          <w:bCs/>
          <w:color w:val="161B22"/>
        </w:rPr>
        <w:t xml:space="preserve">The Central Commitment the Plan Must Make</w:t>
      </w:r>
      <w:bookmarkEnd w:id="1437"/>
    </w:p>
    <w:p>
      <w:pPr>
        <w:pStyle w:val="FirstParagraph"/>
        <w:keepNext w:val="false"/>
      </w:pPr>
      <w: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HTRTable"/>
        <w:tblLook w:firstRow="1" w:lastRow="0" w:firstColumn="0" w:lastColumn="0" w:noHBand="0" w:noVBand="1" w:val="0020"/>
        <w:tblW w:w="9072" w:type="dxa"/>
        <w:tblLayout w:type="fixed"/>
      </w:tblPr>
      <w:tblGrid>
        <w:gridCol w:w="3660"/>
        <w:gridCol w:w="636"/>
        <w:gridCol w:w="4775"/>
      </w:tblGrid>
      <w:tr>
        <w:trPr>
          <w:tblHeader w:val="on"/>
          <w:cantSplit/>
        </w:trPr>
        <w:tc>
          <w:tcPr>
            <w:shd w:val="clear" w:color="auto" w:fill="1B3A6B"/>
            <w:tcW w:w="3660" w:type="dxa"/>
          </w:tcPr>
          <w:p>
            <w:pPr>
              <w:pStyle w:val="Compact"/>
              <w:jc w:val="left"/>
            </w:pPr>
            <w:r>
              <w:rPr>
                <w:b/>
                <w:color w:val="FFFFFF"/>
                <w:sz w:val="18"/>
              </w:rPr>
              <w:t xml:space="preserve">Parameter</w:t>
            </w:r>
          </w:p>
        </w:tc>
        <w:tc>
          <w:tcPr>
            <w:shd w:val="clear" w:color="auto" w:fill="1B3A6B"/>
            <w:tcW w:w="636" w:type="dxa"/>
          </w:tcPr>
          <w:p>
            <w:pPr>
              <w:pStyle w:val="Compact"/>
              <w:jc w:val="left"/>
            </w:pPr>
            <w:r>
              <w:rPr>
                <w:b/>
                <w:color w:val="FFFFFF"/>
                <w:sz w:val="18"/>
              </w:rPr>
              <w:t xml:space="preserve">Value</w:t>
            </w:r>
          </w:p>
        </w:tc>
        <w:tc>
          <w:tcPr>
            <w:shd w:val="clear" w:color="auto" w:fill="1B3A6B"/>
            <w:tcW w:w="4775" w:type="dxa"/>
          </w:tcPr>
          <w:p>
            <w:pPr>
              <w:pStyle w:val="Compact"/>
              <w:jc w:val="left"/>
            </w:pPr>
            <w:r>
              <w:rPr>
                <w:b/>
                <w:color w:val="FFFFFF"/>
                <w:sz w:val="18"/>
              </w:rPr>
              <w:t xml:space="preserve">Detail</w:t>
            </w:r>
          </w:p>
        </w:tc>
      </w:tr>
      <w:tr>
        <w:trPr>
          <w:cantSplit/>
        </w:trPr>
        <w:tc>
          <w:tcPr>
            <w:tcW w:w="3660" w:type="dxa"/>
          </w:tcPr>
          <w:p>
            <w:pPr>
              <w:pStyle w:val="Compact"/>
              <w:jc w:val="left"/>
            </w:pPr>
            <w:r>
              <w:rPr>
                <w:sz w:val="18"/>
              </w:rPr>
              <w:t xml:space="preserve">Strategic Plan delivery</w:t>
            </w:r>
          </w:p>
        </w:tc>
        <w:tc>
          <w:tcPr>
            <w:tcW w:w="636" w:type="dxa"/>
          </w:tcPr>
          <w:p>
            <w:pPr>
              <w:pStyle w:val="Compact"/>
              <w:jc w:val="left"/>
            </w:pPr>
            <w:r>
              <w:rPr>
                <w:sz w:val="18"/>
              </w:rPr>
              <w:t xml:space="preserve">Dec 2028</w:t>
            </w:r>
          </w:p>
        </w:tc>
        <w:tc>
          <w:tcPr>
            <w:tcW w:w="4775" w:type="dxa"/>
          </w:tcPr>
          <w:p>
            <w:pPr>
              <w:pStyle w:val="Compact"/>
              <w:jc w:val="left"/>
            </w:pPr>
            <w:r>
              <w:rPr>
                <w:sz w:val="18"/>
              </w:rPr>
              <w:t xml:space="preserve">Act 68; updated every three years</w:t>
            </w:r>
          </w:p>
        </w:tc>
      </w:tr>
      <w:tr>
        <w:trPr/>
        <w:tc>
          <w:tcPr>
            <w:tcW w:w="3660" w:type="dxa"/>
          </w:tcPr>
          <w:p>
            <w:pPr>
              <w:pStyle w:val="Compact"/>
              <w:jc w:val="left"/>
            </w:pPr>
            <w:r>
              <w:rPr>
                <w:sz w:val="18"/>
              </w:rPr>
              <w:t xml:space="preserve">HCAC members</w:t>
            </w:r>
          </w:p>
        </w:tc>
        <w:tc>
          <w:tcPr>
            <w:tcW w:w="636" w:type="dxa"/>
          </w:tcPr>
          <w:p>
            <w:pPr>
              <w:pStyle w:val="Compact"/>
              <w:jc w:val="left"/>
            </w:pPr>
            <w:r>
              <w:rPr>
                <w:sz w:val="18"/>
              </w:rPr>
              <w:t xml:space="preserve">18</w:t>
            </w:r>
          </w:p>
        </w:tc>
        <w:tc>
          <w:tcPr>
            <w:tcW w:w="4775" w:type="dxa"/>
          </w:tcPr>
          <w:p>
            <w:pPr>
              <w:pStyle w:val="Compact"/>
              <w:jc w:val="left"/>
            </w:pPr>
            <w:r>
              <w:rPr>
                <w:sz w:val="18"/>
              </w:rPr>
              <w:t xml:space="preserve">AHS, GMCB, HCA, hospitals, health centers, insurers, professions, small business, LTC</w:t>
            </w:r>
          </w:p>
        </w:tc>
      </w:tr>
      <w:tr>
        <w:trPr/>
        <w:tc>
          <w:tcPr>
            <w:tcW w:w="3660" w:type="dxa"/>
          </w:tcPr>
          <w:p>
            <w:pPr>
              <w:pStyle w:val="Compact"/>
              <w:jc w:val="left"/>
            </w:pPr>
            <w:r>
              <w:rPr>
                <w:sz w:val="18"/>
              </w:rPr>
              <w:t xml:space="preserve">RHT capital available</w:t>
            </w:r>
          </w:p>
        </w:tc>
        <w:tc>
          <w:tcPr>
            <w:tcW w:w="636" w:type="dxa"/>
          </w:tcPr>
          <w:p>
            <w:pPr>
              <w:pStyle w:val="Compact"/>
              <w:jc w:val="left"/>
            </w:pPr>
            <w:r>
              <w:rPr>
                <w:sz w:val="18"/>
              </w:rPr>
              <w:t xml:space="preserve">$195M</w:t>
            </w:r>
          </w:p>
        </w:tc>
        <w:tc>
          <w:tcPr>
            <w:tcW w:w="4775" w:type="dxa"/>
          </w:tcPr>
          <w:p>
            <w:pPr>
              <w:pStyle w:val="Compact"/>
              <w:jc w:val="left"/>
            </w:pPr>
            <w:r>
              <w:rPr>
                <w:sz w:val="18"/>
              </w:rPr>
              <w:t xml:space="preserve">Vermont’s December 2025 award; aligned with Acts 167 and 68</w:t>
            </w:r>
          </w:p>
        </w:tc>
      </w:tr>
      <w:tr>
        <w:trPr>
          <w:cantSplit/>
        </w:trPr>
        <w:tc>
          <w:tcPr>
            <w:tcW w:w="3660" w:type="dxa"/>
          </w:tcPr>
          <w:p>
            <w:pPr>
              <w:pStyle w:val="Compact"/>
              <w:jc w:val="left"/>
            </w:pPr>
            <w:r>
              <w:rPr>
                <w:sz w:val="18"/>
              </w:rPr>
              <w:t xml:space="preserve">Projected direct transformation savings (5 yr)</w:t>
            </w:r>
          </w:p>
        </w:tc>
        <w:tc>
          <w:tcPr>
            <w:tcW w:w="636" w:type="dxa"/>
          </w:tcPr>
          <w:p>
            <w:pPr>
              <w:pStyle w:val="Compact"/>
              <w:jc w:val="left"/>
            </w:pPr>
            <w:r>
              <w:rPr>
                <w:sz w:val="18"/>
              </w:rPr>
              <w:t xml:space="preserve">&gt;$400M</w:t>
            </w:r>
          </w:p>
        </w:tc>
        <w:tc>
          <w:tcPr>
            <w:tcW w:w="4775" w:type="dxa"/>
          </w:tcPr>
          <w:p>
            <w:pPr>
              <w:pStyle w:val="Compact"/>
              <w:jc w:val="left"/>
            </w:pPr>
            <w:r>
              <w:rPr>
                <w:sz w:val="18"/>
              </w:rPr>
              <w:t xml:space="preserve">Independent of AHEAD and RBP payment-reform savings (Oliver Wyman)</w:t>
            </w:r>
          </w:p>
        </w:tc>
      </w:tr>
    </w:tbl>
    <w:p>
      <w:pPr>
        <w:pStyle w:val="Caption"/>
        <w:spacing w:before="120"/>
      </w:pPr>
      <w:r>
        <w:rPr>
          <w:i/>
          <w:iCs/>
        </w:rPr>
        <w:t xml:space="preserve">Figure 16.6 — Key parameters for the Strategic Plan. Sources: Act 68; VTDigger; Oliver Wyman Act 167 Report; Vermont RHT Program Application.</w:t>
      </w:r>
    </w:p>
    <w:p>
      <w:pPr>
        <w:pStyle w:val="Heading2"/>
        <w:pBdr>
          <w:top w:val="single" w:sz="6" w:space="10" w:color="C9D2DF"/>
        </w:pBdr>
      </w:pPr>
      <w:r>
        <w:rPr>
          <w:color w:val="161B22"/>
        </w:rPr>
        <w:t xml:space="preserve">16.7  </w:t>
      </w:r>
      <w:bookmarkStart w:id="1438" w:name="_Toc1437"/>
      <w:r>
        <w:rPr>
          <w:b/>
          <w:bCs/>
          <w:color w:val="161B22"/>
        </w:rPr>
        <w:t xml:space="preserve">Vermont as National Template — Why This Restructuring Matters Beyond Vermont</w:t>
      </w:r>
      <w:bookmarkEnd w:id="1438"/>
    </w:p>
    <w:p>
      <w:pPr>
        <w:pStyle w:val="FirstParagraph"/>
      </w:pPr>
      <w:r>
        <w:t xml:space="preserve">Vermont’s AHS restructuring matters beyond Vermont because it is the first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December 2028. They will be grounded in real experience with a real system under real pressure. That is not nothing. In American health policy, where policy debates run decades ahead of implementation evidence, it may be the most valuable contribution Vermont makes.</w:t>
      </w:r>
    </w:p>
    <w:p>
      <w:pPr>
        <w:pStyle w:val="BodyText"/>
      </w:pPr>
      <w:r>
        <w:t xml:space="preserve">Vermont will have answers by December 2028 — grounded in real experience with a real system under real pressure. Those answers may be the most valuable policy contribution Vermont makes to American healthcare in a generation. The significance is not that Vermont is large or powerful; it is that Vermont is early — early enough to produce a tested model before the rest of the country reaches the same crisis point, and early enough for the lessons to remain actionable.</w:t>
      </w:r>
    </w:p>
    <w:p>
      <w:pPr>
        <w:pStyle w:val="Heading2"/>
        <w:pBdr>
          <w:top w:val="single" w:sz="6" w:space="10" w:color="C9D2DF"/>
        </w:pBdr>
        <w:keepNext w:val="false"/>
      </w:pPr>
      <w:r>
        <w:rPr>
          <w:color w:val="161B22"/>
        </w:rPr>
        <w:t xml:space="preserve">16.8  </w:t>
      </w:r>
      <w:bookmarkStart w:id="1439" w:name="_Toc1438"/>
      <w:r>
        <w:rPr>
          <w:b/>
          <w:bCs/>
          <w:color w:val="161B22"/>
        </w:rPr>
        <w:t xml:space="preserve">Work This Chapter on the Platform</w:t>
      </w:r>
      <w:bookmarkEnd w:id="1439"/>
    </w:p>
    <w:p>
      <w:pPr>
        <w:pStyle w:val="FirstParagraph"/>
        <w:keepNext w:val="false"/>
      </w:pPr>
      <w:r>
        <w:t xml:space="preserve">This chapter specifies an organizational design. The tools below let a system architect test that design against the six-pillar framework it is built on, and against the record of what the agency has actually delivered.</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Map the redesigned AHS operating model onto the six pillars and check for uncovered functions</w:t>
            </w:r>
          </w:p>
        </w:tc>
        <w:tc>
          <w:tcPr>
            <w:tcW w:w="947" w:type="dxa"/>
          </w:tcPr>
          <w:p>
            <w:pPr>
              <w:pStyle w:val="Compact"/>
              <w:jc w:val="left"/>
            </w:pPr>
            <w:hyperlink r:id="rId479">
              <w:r>
                <w:rPr>
                  <w:rStyle w:val="Hyperlink"/>
                  <w:b/>
                  <w:bCs/>
                </w:rPr>
                <w:t xml:space="preserve">Six-Pillar Map</w:t>
              </w:r>
            </w:hyperlink>
          </w:p>
        </w:tc>
        <w:tc>
          <w:tcPr>
            <w:tcW w:w="4062" w:type="dxa"/>
          </w:tcPr>
          <w:p>
            <w:pPr>
              <w:pStyle w:val="Compact"/>
              <w:jc w:val="left"/>
            </w:pPr>
            <w:r>
              <w:rPr>
                <w:sz w:val="18"/>
              </w:rPr>
              <w:t xml:space="preserve">A pillar with no named organizational owner in the restructuring. That is the gap this chapter’s design is meant to close.</w:t>
            </w:r>
          </w:p>
        </w:tc>
      </w:tr>
      <w:tr>
        <w:trPr/>
        <w:tc>
          <w:tcPr>
            <w:tcW w:w="4062" w:type="dxa"/>
          </w:tcPr>
          <w:p>
            <w:pPr>
              <w:pStyle w:val="Compact"/>
              <w:jc w:val="left"/>
            </w:pPr>
            <w:r>
              <w:rPr>
                <w:sz w:val="18"/>
              </w:rPr>
              <w:t xml:space="preserve">Track AHS’s delivery against the statutory deadlines this chapter enumerates</w:t>
            </w:r>
          </w:p>
        </w:tc>
        <w:tc>
          <w:tcPr>
            <w:tcW w:w="947" w:type="dxa"/>
          </w:tcPr>
          <w:p>
            <w:pPr>
              <w:pStyle w:val="Compact"/>
              <w:jc w:val="left"/>
            </w:pPr>
            <w:hyperlink r:id="rId426">
              <w:r>
                <w:rPr>
                  <w:rStyle w:val="Hyperlink"/>
                  <w:b/>
                  <w:bCs/>
                </w:rPr>
                <w:t xml:space="preserve">HTI Dashboard</w:t>
              </w:r>
            </w:hyperlink>
          </w:p>
        </w:tc>
        <w:tc>
          <w:tcPr>
            <w:tcW w:w="4062" w:type="dxa"/>
          </w:tcPr>
          <w:p>
            <w:pPr>
              <w:pStyle w:val="Compact"/>
              <w:jc w:val="left"/>
            </w:pPr>
            <w:r>
              <w:rPr>
                <w:sz w:val="18"/>
              </w:rPr>
              <w:t xml:space="preserve">Whether Operations-pillar capacity is rising fast enough to meet the December 2028 Strategic Plan obligation.</w:t>
            </w:r>
          </w:p>
        </w:tc>
      </w:tr>
      <w:tr>
        <w:trPr>
          <w:cantSplit/>
        </w:trPr>
        <w:tc>
          <w:tcPr>
            <w:tcW w:w="4062" w:type="dxa"/>
          </w:tcPr>
          <w:p>
            <w:pPr>
              <w:pStyle w:val="Compact"/>
              <w:jc w:val="left"/>
            </w:pPr>
            <w:r>
              <w:rPr>
                <w:sz w:val="18"/>
              </w:rPr>
              <w:t xml:space="preserve">Test what the restructuring is worth by removing it</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Score a state with strong Policy and Economics but weak Operations. The composite collapse is the argument for this chapter in one number.</w:t>
            </w:r>
          </w:p>
        </w:tc>
      </w:tr>
    </w:tbl>
    <w:p>
      <w:pPr>
        <w:pStyle w:val="Caption"/>
        <w:spacing w:before="120"/>
      </w:pPr>
      <w:r>
        <w:rPr>
          <w:i/>
          <w:iCs/>
        </w:rPr>
        <w:t xml:space="preserve">Figure 16.H — Hands-on platform tools for Chapter 16: testing the AHS restructuring design.</w:t>
      </w:r>
    </w:p>
    <w:p>
      <w:pPr>
        <w:pStyle w:val="Heading2"/>
        <w:pBdr>
          <w:top w:val="single" w:sz="6" w:space="10" w:color="C9D2DF"/>
        </w:pBdr>
      </w:pPr>
      <w:r>
        <w:rPr>
          <w:color w:val="161B22"/>
        </w:rPr>
        <w:t xml:space="preserve">16.9  </w:t>
      </w:r>
      <w:bookmarkStart w:id="1440" w:name="_Toc1439"/>
      <w:r>
        <w:rPr>
          <w:b/>
          <w:bCs/>
          <w:color w:val="161B22"/>
        </w:rPr>
        <w:t xml:space="preserve">Implications for You</w:t>
      </w:r>
      <w:bookmarkEnd w:id="1440"/>
    </w:p>
    <w:p>
      <w:pPr>
        <w:pStyle w:val="FirstParagraph"/>
      </w:pPr>
      <w:r>
        <w:rPr>
          <w:b/>
          <w:bCs/>
        </w:rPr>
        <w:t xml:space="preserve">If you are an AHS leader:</w:t>
      </w:r>
      <w:r>
        <w:t xml:space="preserve"> </w:t>
      </w:r>
      <w:r>
        <w:t xml:space="preserve">the three decisions this chapter identifies as not yet made are the ones worth your attention — they are decisions, not constraints, and each forecloses options once taken. The restructuring’s success does not depend on the org chart being optimal; it depends on someone owning each pillar’s function with the authority to act on it.</w:t>
      </w:r>
    </w:p>
    <w:p>
      <w:pPr>
        <w:pStyle w:val="BodyText"/>
      </w:pPr>
      <w:r>
        <w:rPr>
          <w:b/>
          <w:bCs/>
        </w:rPr>
        <w:t xml:space="preserve">If you are a Vermont legislator:</w:t>
      </w:r>
      <w:r>
        <w:t xml:space="preserve"> </w:t>
      </w:r>
      <w:r>
        <w:t xml:space="preserve">Act 68 requires AHS to produce a Statewide Strategic Plan by December 2028. This chapter argues that the plan’s quality is determined by organizational capacity built two years earlier. The oversight question is therefore not about the plan; it is whether the Division of Planning and Effectiveness and the HSA-coordinator model are staffed and operating in FY2027.</w:t>
      </w:r>
    </w:p>
    <w:p>
      <w:pPr>
        <w:pStyle w:val="BodyText"/>
      </w:pPr>
      <w:r>
        <w:rPr>
          <w:b/>
          <w:bCs/>
        </w:rPr>
        <w:t xml:space="preserve">If you run a state health agency elsewhere:</w:t>
      </w:r>
      <w:r>
        <w:t xml:space="preserve"> </w:t>
      </w:r>
      <w:r>
        <w:t xml:space="preserve">the specific structure here is Vermont’s, but the diagnosis generalizes. An agency organized by program and funding stream cannot execute a transformation organized by population and geography. That mismatch is the most common structural reason state reform efforts stall, and it is invisible on an org chart that has not been read against the six pillars.</w:t>
      </w:r>
    </w:p>
    <w:p>
      <w:pPr>
        <w:pStyle w:val="BodyText"/>
      </w:pPr>
      <w:r>
        <w:rPr>
          <w:b/>
          <w:bCs/>
        </w:rPr>
        <w:t xml:space="preserve">If you are a hospital or provider leader:</w:t>
      </w:r>
      <w:r>
        <w:t xml:space="preserve"> </w:t>
      </w:r>
      <w:r>
        <w:t xml:space="preserve">the AHS restructuring determines who you will actually be dealing with — HSA coordinators rather than program administrators, and a planning function with the authority to say no. Organizations that build relationships with the new structure early will find the FY2028 transition considerably less disruptive than those waiting for it to settle.</w:t>
      </w:r>
    </w:p>
    <w:p>
      <w:pPr>
        <w:pStyle w:val="Heading2"/>
        <w:pBdr>
          <w:top w:val="single" w:sz="6" w:space="10" w:color="C9D2DF"/>
        </w:pBdr>
      </w:pPr>
      <w:r>
        <w:rPr>
          <w:color w:val="161B22"/>
        </w:rPr>
        <w:t xml:space="preserve">16.10  </w:t>
      </w:r>
      <w:bookmarkStart w:id="1441" w:name="_Toc1440"/>
      <w:r>
        <w:rPr>
          <w:b/>
          <w:bCs/>
          <w:color w:val="161B22"/>
        </w:rPr>
        <w:t xml:space="preserve">Key Concepts in This Chapter</w:t>
      </w:r>
      <w:bookmarkEnd w:id="1441"/>
    </w:p>
    <w:p>
      <w:pPr>
        <w:pStyle w:val="FirstParagraph"/>
        <w:spacing w:before="160" w:after="120"/>
      </w:pPr>
      <w:r>
        <w:rPr>
          <w:rFonts w:ascii="Calibri" w:hAnsi="Calibri"/>
          <w:color w:val="000000"/>
          <w:sz w:val="18"/>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p>
    <w:p>
      <w:pPr>
        <w:pStyle w:val="Heading1"/>
      </w:pPr>
      <w:bookmarkStart w:id="1442" w:name="_Toc1441"/>
      <w:r>
        <w:rPr>
          <w:b/>
          <w:bCs/>
          <w:color w:val="161B22"/>
        </w:rPr>
        <w:t xml:space="preserve">Conclusion — What Vermont Proves, and What Remains to Be Proven</w:t>
      </w:r>
      <w:bookmarkEnd w:id="1442"/>
    </w:p>
    <w:p>
      <w:pPr>
        <w:pStyle w:val="FirstParagraph"/>
      </w:pPr>
      <w:r>
        <w:rPr>
          <w:i/>
          <w:iCs/>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p>
    <w:p>
      <w:pPr>
        <w:pStyle w:val="Heading2"/>
        <w:pBdr>
          <w:top w:val="single" w:sz="6" w:space="10" w:color="C9D2DF"/>
        </w:pBdr>
      </w:pPr>
      <w:bookmarkStart w:id="1443" w:name="_Toc1442"/>
      <w:r>
        <w:rPr>
          <w:b/>
          <w:bCs/>
          <w:color w:val="161B22"/>
        </w:rPr>
        <w:t xml:space="preserve">What Failure Actually Looks Like</w:t>
      </w:r>
      <w:bookmarkEnd w:id="1443"/>
    </w:p>
    <w:p>
      <w:pPr>
        <w:pStyle w:val="FirstParagraph"/>
      </w:pPr>
      <w:r>
        <w:t xml:space="preserve">Before making the case for optimism, intellectual honesty requires naming what failure looks like — specifically, because the partial-transformation scenario is not obviously distinguishable from the real thing until years have passed.</w:t>
      </w:r>
    </w:p>
    <w:p>
      <w:pPr>
        <w:pStyle w:val="BodyText"/>
      </w:pPr>
      <w: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December 2028 and describes the right goals without committing to specific, measurable, accountable targets. The AHEAD performance year begins in January 2028 and the analytics vendor is not yet producing the population-level data hospitals need to manage their total cost of care. AHS receives its restructuring mandate but is not given the budget, the hiring authority, or the political cover to execute it at the pace Acts 167 and 68 require.</w:t>
      </w:r>
    </w:p>
    <w:p>
      <w:pPr>
        <w:pStyle w:val="BodyText"/>
      </w:pPr>
      <w: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pPr>
        <w:pStyle w:val="BodyText"/>
      </w:pPr>
      <w:r>
        <w:t xml:space="preserve">This failure scenario is not inevitable. But it is the modal outcome of healthcare reform efforts in American history, and pretending otherwise would make this book less useful to the people who need to prevent it.</w:t>
      </w:r>
    </w:p>
    <w:p>
      <w:pPr>
        <w:pStyle w:val="Heading2"/>
        <w:pBdr>
          <w:top w:val="single" w:sz="6" w:space="10" w:color="C9D2DF"/>
        </w:pBdr>
      </w:pPr>
      <w:bookmarkStart w:id="1444" w:name="_Toc1443"/>
      <w:r>
        <w:rPr>
          <w:b/>
          <w:bCs/>
          <w:color w:val="161B22"/>
        </w:rPr>
        <w:t xml:space="preserve">The Three Decisions That Are Not Yet Made</w:t>
      </w:r>
      <w:bookmarkEnd w:id="1444"/>
    </w:p>
    <w:p>
      <w:pPr>
        <w:pStyle w:val="FirstParagraph"/>
      </w:pPr>
      <w:r>
        <w:t xml:space="preserve">As of April 2026, Vermont’s transformation hinges on three decisions that have not yet been made. Each is the responsibility of a specific set of actors. Each has a right answer that this book can describe. Whether that answer is chosen is not determined by analysis.</w:t>
      </w:r>
    </w:p>
    <w:p>
      <w:pPr>
        <w:pStyle w:val="Heading3"/>
      </w:pPr>
      <w:bookmarkStart w:id="1445" w:name="_Toc1444"/>
      <w:r>
        <w:rPr>
          <w:b/>
          <w:bCs/>
          <w:color w:val="161B22"/>
        </w:rPr>
        <w:t xml:space="preserve">Decision 1: Will the Statewide Strategic Plan Be Binding or Descriptive?</w:t>
      </w:r>
      <w:bookmarkEnd w:id="1445"/>
    </w:p>
    <w:p>
      <w:pPr>
        <w:pStyle w:val="FirstParagraph"/>
      </w:pPr>
      <w:r>
        <w:t xml:space="preserve">Act 68 requires Vermont’s Agency of Human Services to submit a Statewide Health Care Delivery Strategic Plan to the legislature by December 1,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pPr>
        <w:pStyle w:val="BodyText"/>
      </w:pPr>
      <w: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pPr>
        <w:pStyle w:val="BodyText"/>
      </w:pPr>
      <w:r>
        <w:t xml:space="preserve">The people in Vermont who care about transformation have an obligation to press for the binding version. Not the aspirational one.</w:t>
      </w:r>
    </w:p>
    <w:p>
      <w:pPr>
        <w:pStyle w:val="Heading3"/>
      </w:pPr>
      <w:bookmarkStart w:id="1446" w:name="_Toc1445"/>
      <w:r>
        <w:rPr>
          <w:b/>
          <w:bCs/>
          <w:color w:val="161B22"/>
        </w:rPr>
        <w:t xml:space="preserve">Decision 2: Will the Analytics Vendor Be Operational Before AHEAD’s Financial Accountability Begins?</w:t>
      </w:r>
      <w:bookmarkEnd w:id="1446"/>
    </w:p>
    <w:p>
      <w:pPr>
        <w:pStyle w:val="FirstParagraph"/>
      </w:pPr>
      <w:r>
        <w:t xml:space="preserve">Vermont hospitals will begin accumulating financial accountability under AHEAD in January 2028. The AHS-GMCB analytics vendor must be fully operational — producing HCC gap reports, population attribution analyses, and global budget performance dashboards — before that date. If it is not, Vermont hospitals will enter their first year of full AHEAD accountability without the tools to manage it. The</w:t>
      </w:r>
      <w:r>
        <w:t xml:space="preserve"> </w:t>
      </w:r>
      <w:r>
        <w:t xml:space="preserve">“Managing Blind”</w:t>
      </w:r>
      <w:r>
        <w:t xml:space="preserve"> </w:t>
      </w:r>
      <w:r>
        <w:t xml:space="preserve">failure mode, which destroyed OneCare Vermont’s ability to demonstrate savings, will be replicated at the system level.</w:t>
      </w:r>
    </w:p>
    <w:p>
      <w:pPr>
        <w:pStyle w:val="BodyText"/>
      </w:pPr>
      <w:r>
        <w:t xml:space="preserve">The analytics vendor procurement is underway as of April 2026. The gap between procurement completion and vendor deployment is typically 12 to 18 months for complex health data systems. January 2028 is 21 months away. This is a manageable timeline that will become an unmanageable one if procurement slips. The people responsible for this procurement — AHS, GMCB, and the legislature that funds them — need to treat January 2028 as an immovable deadline, not an aspirational target.</w:t>
      </w:r>
    </w:p>
    <w:p>
      <w:pPr>
        <w:pStyle w:val="Heading3"/>
      </w:pPr>
      <w:bookmarkStart w:id="1447" w:name="_Toc1446"/>
      <w:r>
        <w:rPr>
          <w:b/>
          <w:bCs/>
          <w:color w:val="161B22"/>
        </w:rPr>
        <w:t xml:space="preserve">Decision 3: Will H.R. 1’s Medicaid Cuts Force a Contraction or Accelerate a Transformation?</w:t>
      </w:r>
      <w:bookmarkEnd w:id="1447"/>
    </w:p>
    <w:p>
      <w:pPr>
        <w:pStyle w:val="FirstParagraph"/>
      </w:pPr>
      <w:r>
        <w:t xml:space="preserve">H.R. 1’s $911 billion in Medicaid cuts over ten years, work requirements beginning in late 2026, and reduced ACA premium subsidies will arrive in Vermont at the same moment as AHEAD’s performance year and Act 68’s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pPr>
        <w:pStyle w:val="BodyText"/>
      </w:pPr>
      <w: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pPr>
        <w:pStyle w:val="BodyText"/>
      </w:pPr>
      <w:r>
        <w:t xml:space="preserve">This decision is partly outside Vermont’s control — federal policy is federal policy. What is within Vermont’s control is the pace and specificity of the RHT Program investments, the timeline for the analytics vendor, and the adequacy of Act 68’s EAST Fund utilization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pPr>
        <w:pStyle w:val="Heading2"/>
        <w:pBdr>
          <w:top w:val="single" w:sz="6" w:space="10" w:color="C9D2DF"/>
        </w:pBdr>
      </w:pPr>
      <w:bookmarkStart w:id="1448" w:name="_Toc1447"/>
      <w:r>
        <w:rPr>
          <w:b/>
          <w:bCs/>
          <w:color w:val="161B22"/>
        </w:rPr>
        <w:t xml:space="preserve">What Vermont Has Proved — As of April 2026</w:t>
      </w:r>
      <w:bookmarkEnd w:id="1448"/>
    </w:p>
    <w:p>
      <w:pPr>
        <w:pStyle w:val="FirstParagraph"/>
      </w:pPr>
      <w:r>
        <w:t xml:space="preserve">Even in its incomplete state, Vermont’s transformation has proved several things that were not obviously true before Acts 167 and 68.</w:t>
      </w:r>
    </w:p>
    <w:p>
      <w:pPr>
        <w:pStyle w:val="BodyText"/>
      </w:pPr>
      <w:r>
        <w:t xml:space="preserve">It has proved that a state government can impose mandatory rate regulation on a well-organized hospital sector and survive politically. UVMMC challenged GMCB enforcement in court and lost. Vermont hospitals have contested RBP methodology vigorously and the legislature has not reversed course. The political durability of mandatory reform — always the central uncertainty in healthcare policy — has held through two legislative cycles.</w:t>
      </w:r>
    </w:p>
    <w:p>
      <w:pPr>
        <w:pStyle w:val="BodyText"/>
      </w:pPr>
      <w:r>
        <w:t xml:space="preserve">It has proved that $195 million in federal transformation capital, properly structured, can fund the technology, workforce, and infrastructure investments that voluntary transformation never had the capital to build. The AHEAD EAST Fund provides another $150 million annually in Medicare performance funds for a state that invests in population health. Federal capital is available for states that create the regulatory conditions that justify it. Vermont created those conditions.</w:t>
      </w:r>
    </w:p>
    <w:p>
      <w:pPr>
        <w:pStyle w:val="BodyText"/>
      </w:pPr>
      <w:r>
        <w:t xml:space="preserve">It has proved that global budget enforcement is operationally feasible. GMCB’s FY23 enforcement actions against UVMMC ($80.3M overage) and RRMC ($11.1M overage) — the first such enforcement actions in Vermont’s regulatory history — demonstrated that the GMCB has the analytical capability, the legal authority, and the institutional will to enforce budget orders. This was not certain before it happened.</w:t>
      </w:r>
    </w:p>
    <w:p>
      <w:pPr>
        <w:pStyle w:val="BodyText"/>
      </w:pPr>
      <w:r>
        <w:t xml:space="preserve">It has proved that Vermont’s hospital sector, despite sustained political opposition to mandatory pricing reform, has not collapsed. The hospitals most opposed to Act 68 are still operating. Reference-based pricing has not yet taken effect as of April 2026, but the trajectory is established and the opposition has not succeeded in reversal. This is the evidence that was missing from every theoretical argument for mandatory reform.</w:t>
      </w:r>
    </w:p>
    <w:p>
      <w:pPr>
        <w:pStyle w:val="BodyText"/>
      </w:pPr>
      <w:r>
        <w:t xml:space="preserve">None of these proofs is complete. None of them is irreversible. But they are the empirical foundation that justifies a measured optimism — not the optimism of prediction, but the optimism of evidence.</w:t>
      </w:r>
    </w:p>
    <w:p>
      <w:pPr>
        <w:pStyle w:val="Heading2"/>
        <w:pBdr>
          <w:top w:val="single" w:sz="6" w:space="10" w:color="C9D2DF"/>
        </w:pBdr>
      </w:pPr>
      <w:bookmarkStart w:id="1449" w:name="_Toc1448"/>
      <w:r>
        <w:rPr>
          <w:b/>
          <w:bCs/>
          <w:color w:val="161B22"/>
        </w:rPr>
        <w:t xml:space="preserve">The People This Book Cannot Reach</w:t>
      </w:r>
      <w:bookmarkEnd w:id="1449"/>
    </w:p>
    <w:p>
      <w:pPr>
        <w:pStyle w:val="FirstParagraph"/>
      </w:pPr>
      <w: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six-pillar framework.</w:t>
      </w:r>
    </w:p>
    <w:p>
      <w:pPr>
        <w:pStyle w:val="BodyText"/>
      </w:pPr>
      <w: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pPr>
        <w:pStyle w:val="BodyText"/>
      </w:pPr>
      <w:r>
        <w:t xml:space="preserve">Those are the people transformation is for. They are the ones who will know whether it worked.</w:t>
      </w:r>
    </w:p>
    <w:p>
      <w:pPr>
        <w:pStyle w:val="Heading2"/>
        <w:pBdr>
          <w:top w:val="single" w:sz="6" w:space="10" w:color="C9D2DF"/>
        </w:pBdr>
      </w:pPr>
      <w:bookmarkStart w:id="1450" w:name="_Toc1449"/>
      <w:r>
        <w:rPr>
          <w:b/>
          <w:bCs/>
          <w:color w:val="161B22"/>
        </w:rPr>
        <w:t xml:space="preserve">The Call</w:t>
      </w:r>
      <w:bookmarkEnd w:id="1450"/>
    </w:p>
    <w:p>
      <w:pPr>
        <w:pStyle w:val="FirstParagraph"/>
      </w:pPr>
      <w: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AHEAD’s performance year, that participate constructively in the global budget methodology design — will enter the new payment environment with capabilities that their peers who resisted will not have. Resistance buys time. Engagement builds capacity. You will need the capacity.</w:t>
      </w:r>
    </w:p>
    <w:p>
      <w:pPr>
        <w:pStyle w:val="BodyText"/>
      </w:pPr>
      <w:r>
        <w:t xml:space="preserve">To the AHS and GMCB official: the window is January 2028. Everything else is subordinate to having the analytics vendor operational, the global budget methodology finalized, and the first cohort of transformation plans approved before AHEAD’s financial accountability begins. If those three things are in place, Vermont’s transformation has a credible path to the outcomes Acts 167 and 68 promised. If they are not, the statutory timeline will have passed faster than the institutional capacity to execute it.</w:t>
      </w:r>
    </w:p>
    <w:p>
      <w:pPr>
        <w:pStyle w:val="BodyText"/>
      </w:pPr>
      <w:r>
        <w:t xml:space="preserve">To the Vermont legislator: the December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pPr>
        <w:pStyle w:val="BodyText"/>
      </w:pPr>
      <w: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pPr>
        <w:pStyle w:val="BodyText"/>
      </w:pPr>
      <w:r>
        <w:t xml:space="preserve">The room in September 2024 was full because people knew something was wrong. This book has tried to give that knowledge a framework, evidence, and language for action. The action belongs to the people in the room. The moment belongs to Vermont.</w:t>
      </w:r>
    </w:p>
    <w:p>
      <w:pPr>
        <w:pStyle w:val="Heading2"/>
        <w:pBdr>
          <w:top w:val="single" w:sz="6" w:space="10" w:color="C9D2DF"/>
        </w:pBdr>
      </w:pPr>
      <w:bookmarkStart w:id="1451" w:name="_Toc1450"/>
      <w:r>
        <w:rPr>
          <w:b/>
          <w:bCs/>
          <w:color w:val="161B22"/>
        </w:rPr>
        <w:t xml:space="preserve">Key Concepts in This Chapter</w:t>
      </w:r>
      <w:bookmarkEnd w:id="1451"/>
    </w:p>
    <w:p>
      <w:pPr>
        <w:pStyle w:val="FirstParagraph"/>
        <w:spacing w:before="160" w:after="120"/>
      </w:pPr>
      <w:r>
        <w:rPr>
          <w:rFonts w:ascii="Calibri" w:hAnsi="Calibri"/>
          <w:b/>
          <w:bCs/>
          <w:color w:val="2E74B5"/>
          <w:sz w:val="20"/>
        </w:rPr>
        <w:t xml:space="preserve">Partial-transformation scenario</w:t>
      </w:r>
      <w:r>
        <w:rPr>
          <w:rFonts w:ascii="Calibri" w:hAnsi="Calibri"/>
          <w:color w:val="000000"/>
          <w:sz w:val="18"/>
        </w:rPr>
        <w:br/>
      </w:r>
      <w:r>
        <w:rPr>
          <w:rFonts w:ascii="Calibri" w:hAnsi="Calibri"/>
          <w:color w:val="000000"/>
          <w:sz w:val="18"/>
        </w:rPr>
        <w:t xml:space="preserve">The failure mode in which Vermont makes progress on all six pillars but execution gaps prevent full realization: RBP contested, global-budget methodology delayed, the Strategic Plan descriptive rather than binding. Distinguishable from success only in retrospect.</w:t>
      </w:r>
    </w:p>
    <w:p>
      <w:pPr>
        <w:pStyle w:val="BodyText"/>
        <w:spacing w:before="160" w:after="120"/>
      </w:pPr>
      <w:r>
        <w:rPr>
          <w:rFonts w:ascii="Calibri" w:hAnsi="Calibri"/>
          <w:b/>
          <w:bCs/>
          <w:color w:val="2E74B5"/>
          <w:sz w:val="20"/>
        </w:rPr>
        <w:t xml:space="preserve">Binding vs. descriptive plan</w:t>
      </w:r>
      <w:r>
        <w:rPr>
          <w:rFonts w:ascii="Calibri" w:hAnsi="Calibri"/>
          <w:color w:val="000000"/>
          <w:sz w:val="18"/>
        </w:rPr>
        <w:br/>
      </w:r>
      <w:r>
        <w:rPr>
          <w:rFonts w:ascii="Calibri" w:hAnsi="Calibri"/>
          <w:color w:val="000000"/>
          <w:sz w:val="18"/>
        </w:rPr>
        <w:t xml:space="preserve">A binding plan commits to specific targets, timelines, and accountable owners that can be evaluated by a disinterested observer. A descriptive plan states goals that could be plausibly claimed as achieved regardless of outcomes. Act 68’s December 2028 deadline requires the binding version.</w:t>
      </w:r>
    </w:p>
    <w:p>
      <w:pPr>
        <w:pStyle w:val="BodyText"/>
        <w:spacing w:before="160" w:after="120"/>
      </w:pPr>
      <w:r>
        <w:rPr>
          <w:rFonts w:ascii="Calibri" w:hAnsi="Calibri"/>
          <w:b/>
          <w:bCs/>
          <w:color w:val="2E74B5"/>
          <w:sz w:val="20"/>
        </w:rPr>
        <w:t xml:space="preserve">Transformation inflection point</w:t>
      </w:r>
      <w:r>
        <w:rPr>
          <w:rFonts w:ascii="Calibri" w:hAnsi="Calibri"/>
          <w:color w:val="000000"/>
          <w:sz w:val="18"/>
        </w:rPr>
        <w:br/>
      </w:r>
      <w:r>
        <w:rPr>
          <w:rFonts w:ascii="Calibri" w:hAnsi="Calibri"/>
          <w:color w:val="000000"/>
          <w:sz w:val="18"/>
        </w:rPr>
        <w:t xml:space="preserve">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p>
    <w:p>
      <w:pPr>
        <w:pStyle w:val="BodyText"/>
        <w:spacing w:before="160" w:after="120"/>
      </w:pPr>
      <w:r>
        <w:rPr>
          <w:rFonts w:ascii="Calibri" w:hAnsi="Calibri"/>
          <w:color w:val="000000"/>
          <w:sz w:val="18"/>
        </w:rPr>
        <w:t xml:space="preserve">The three critical decisions</w:t>
      </w:r>
    </w:p>
    <w:p>
      <w:pPr>
        <w:pStyle w:val="BodyText"/>
        <w:spacing w:before="160" w:after="120"/>
      </w:pPr>
      <w:r>
        <w:rPr>
          <w:rFonts w:ascii="Calibri" w:hAnsi="Calibri"/>
          <w:color w:val="000000"/>
          <w:sz w:val="18"/>
        </w:rPr>
        <w:t xml:space="preserve">Will the Strategic Plan be binding or descriptive? Will the analytics vendor be operational before January 2028? Will H.R. 1’s Medicaid cuts force contraction or accelerate transformation? These are the three unresolved questions on which Vermont’s transformation outcome most directly depends.</w:t>
      </w:r>
    </w:p>
    <w:p>
      <w:pPr>
        <w:pStyle w:val="BodyText"/>
        <w:spacing w:before="160" w:after="120"/>
      </w:pPr>
      <w:r>
        <w:rPr>
          <w:rFonts w:ascii="Calibri" w:hAnsi="Calibri"/>
          <w:color w:val="000000"/>
          <w:sz w:val="18"/>
        </w:rPr>
        <w:t xml:space="preserve">Vermont as national template</w:t>
      </w:r>
    </w:p>
    <w:p>
      <w:pPr>
        <w:pStyle w:val="BodyText"/>
        <w:spacing w:before="160" w:after="120"/>
      </w:pPr>
      <w:r>
        <w:rPr>
          <w:rFonts w:ascii="Calibri" w:hAnsi="Calibri"/>
          <w:color w:val="000000"/>
          <w:sz w:val="18"/>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p>
    <w:p>
      <w:pPr>
        <w:pStyle w:val="BodyText"/>
        <w:spacing w:before="160" w:after="120"/>
      </w:pPr>
      <w:r>
        <w:rPr>
          <w:rFonts w:ascii="Calibri" w:hAnsi="Calibri"/>
          <w:color w:val="000000"/>
          <w:sz w:val="18"/>
        </w:rPr>
        <w:t xml:space="preserve">— April 2026</w:t>
      </w:r>
    </w:p>
    <w:p>
      <w:r>
        <w:br w:type="page"/>
      </w:r>
    </w:p>
    <w:p>
      <w:pPr>
        <w:pStyle w:val="Heading1"/>
      </w:pPr>
      <w:bookmarkStart w:id="1452" w:name="_Toc1451"/>
      <w:r>
        <w:rPr>
          <w:b/>
          <w:bCs/>
          <w:color w:val="161B22"/>
        </w:rPr>
        <w:t xml:space="preserve">Appendix A — Vermont System Portrait</w:t>
      </w:r>
      <w:bookmarkEnd w:id="1452"/>
    </w:p>
    <w:p>
      <w:pPr>
        <w:pStyle w:val="FirstParagraph"/>
      </w:pPr>
      <w:r>
        <w:t xml:space="preserve">Demographics, Hospitals, Insurance, Workforce, and System in Motion</w:t>
      </w:r>
    </w:p>
    <w:p>
      <w:pPr>
        <w:pStyle w:val="BodyText"/>
      </w:pPr>
      <w: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pPr>
        <w:pStyle w:val="Heading2"/>
        <w:pBdr>
          <w:top w:val="single" w:sz="6" w:space="10" w:color="C9D2DF"/>
        </w:pBdr>
      </w:pPr>
      <w:r>
        <w:rPr>
          <w:color w:val="161B22"/>
        </w:rPr>
        <w:t xml:space="preserve">A.1  </w:t>
      </w:r>
      <w:bookmarkStart w:id="1453" w:name="_Toc1452"/>
      <w:r>
        <w:rPr>
          <w:b/>
          <w:bCs/>
          <w:color w:val="161B22"/>
        </w:rPr>
        <w:t xml:space="preserve">A.1 Vermont: The State</w:t>
      </w:r>
      <w:bookmarkEnd w:id="1453"/>
    </w:p>
    <w:p>
      <w:pPr>
        <w:pStyle w:val="FirstParagraph"/>
      </w:pPr>
      <w:r>
        <w:t xml:space="preserve">Vermont is the second-smallest state by population. Its 647,000 residents live across 14 counties and 255 towns in a predominantly rural landscape of 9,616 square miles. Population density is 70 people per square mile, below the national average of 94, and nearly two-thirds of residents live in areas classified as rural for healthcare-program eligibility.</w:t>
      </w:r>
    </w:p>
    <w:p>
      <w:pPr>
        <w:pStyle w:val="BodyText"/>
      </w:pPr>
      <w:r>
        <w:t xml:space="preserve">Geography is not merely a demographic fact; it is an infrastructure constraint. A patient in Essex County — among the most rural and least populated counties in the Northeast Kingdom, with 8% uninsurance against a 3% statewide rate — may be 45 minutes from the nearest emergency department, 90 minutes from a specialist, and hours from tertiary care. Public transportation is limited; broadband reaches roughly 80% of rural areas, leaving 20% without the connectivity telehealth and remote monitoring require. Healthcare employs about 14% of Vermont’s workforce and anchors rural communities where the hospital is often the largest employer. The University of Vermont Medical Center (UVMMC) in Burlington, with roughly 50% of the state’s hospital market share, is the economic center of gravity — every reform affecting UVMMC affects the state economy in ways no single hospital does in larger states.</w:t>
      </w:r>
    </w:p>
    <w:p>
      <w:pPr>
        <w:pStyle w:val="Heading2"/>
        <w:pBdr>
          <w:top w:val="single" w:sz="6" w:space="10" w:color="C9D2DF"/>
        </w:pBdr>
        <w:keepNext w:val="false"/>
      </w:pPr>
      <w:r>
        <w:rPr>
          <w:color w:val="161B22"/>
        </w:rPr>
        <w:t xml:space="preserve">A.2  </w:t>
      </w:r>
      <w:bookmarkStart w:id="1454" w:name="_Toc1453"/>
      <w:r>
        <w:rPr>
          <w:b/>
          <w:bCs/>
          <w:color w:val="161B22"/>
        </w:rPr>
        <w:t xml:space="preserve">A.2 Demographics and Population Projections</w:t>
      </w:r>
      <w:bookmarkEnd w:id="1454"/>
    </w:p>
    <w:p>
      <w:pPr>
        <w:pStyle w:val="FirstParagraph"/>
        <w:keepNext w:val="false"/>
      </w:pPr>
      <w:r>
        <w:t xml:space="preserve">Vermont’s demographic trajectory is the foundational fact of its transformation challenge.</w:t>
      </w:r>
    </w:p>
    <w:tbl>
      <w:tblPr>
        <w:tblStyle w:val="HTRTable"/>
        <w:tblLook w:firstRow="1" w:lastRow="0" w:firstColumn="0" w:lastColumn="0" w:noHBand="0" w:noVBand="1" w:val="0020"/>
        <w:tblW w:w="9072" w:type="dxa"/>
        <w:tblLayout w:type="fixed"/>
      </w:tblPr>
      <w:tblGrid>
        <w:gridCol w:w="3283"/>
        <w:gridCol w:w="604"/>
        <w:gridCol w:w="5184"/>
      </w:tblGrid>
      <w:tr>
        <w:trPr>
          <w:tblHeader w:val="on"/>
          <w:cantSplit/>
        </w:trPr>
        <w:tc>
          <w:tcPr>
            <w:shd w:val="clear" w:color="auto" w:fill="1B3A6B"/>
            <w:tcW w:w="3283" w:type="dxa"/>
          </w:tcPr>
          <w:p>
            <w:pPr>
              <w:pStyle w:val="Compact"/>
              <w:jc w:val="left"/>
            </w:pPr>
            <w:r>
              <w:rPr>
                <w:b/>
                <w:color w:val="FFFFFF"/>
                <w:sz w:val="18"/>
              </w:rPr>
              <w:t xml:space="preserve">Indicator</w:t>
            </w:r>
          </w:p>
        </w:tc>
        <w:tc>
          <w:tcPr>
            <w:shd w:val="clear" w:color="auto" w:fill="1B3A6B"/>
            <w:tcW w:w="604" w:type="dxa"/>
          </w:tcPr>
          <w:p>
            <w:pPr>
              <w:pStyle w:val="Compact"/>
              <w:jc w:val="left"/>
            </w:pPr>
            <w:r>
              <w:rPr>
                <w:b/>
                <w:color w:val="FFFFFF"/>
                <w:sz w:val="18"/>
              </w:rPr>
              <w:t xml:space="preserve">Value</w:t>
            </w:r>
          </w:p>
        </w:tc>
        <w:tc>
          <w:tcPr>
            <w:shd w:val="clear" w:color="auto" w:fill="1B3A6B"/>
            <w:tcW w:w="5184" w:type="dxa"/>
          </w:tcPr>
          <w:p>
            <w:pPr>
              <w:pStyle w:val="Compact"/>
              <w:jc w:val="left"/>
            </w:pPr>
            <w:r>
              <w:rPr>
                <w:b/>
                <w:color w:val="FFFFFF"/>
                <w:sz w:val="18"/>
              </w:rPr>
              <w:t xml:space="preserve">Significance</w:t>
            </w:r>
          </w:p>
        </w:tc>
      </w:tr>
      <w:tr>
        <w:trPr>
          <w:cantSplit/>
        </w:trPr>
        <w:tc>
          <w:tcPr>
            <w:tcW w:w="3283" w:type="dxa"/>
          </w:tcPr>
          <w:p>
            <w:pPr>
              <w:pStyle w:val="Compact"/>
              <w:jc w:val="left"/>
            </w:pPr>
            <w:r>
              <w:rPr>
                <w:sz w:val="18"/>
              </w:rPr>
              <w:t xml:space="preserve">Population aged 65+ by 2040</w:t>
            </w:r>
          </w:p>
        </w:tc>
        <w:tc>
          <w:tcPr>
            <w:tcW w:w="604" w:type="dxa"/>
          </w:tcPr>
          <w:p>
            <w:pPr>
              <w:pStyle w:val="Compact"/>
              <w:jc w:val="left"/>
            </w:pPr>
            <w:r>
              <w:rPr>
                <w:sz w:val="18"/>
              </w:rPr>
              <w:t xml:space="preserve">30%+</w:t>
            </w:r>
          </w:p>
        </w:tc>
        <w:tc>
          <w:tcPr>
            <w:tcW w:w="5184" w:type="dxa"/>
          </w:tcPr>
          <w:p>
            <w:pPr>
              <w:pStyle w:val="Compact"/>
              <w:jc w:val="left"/>
            </w:pPr>
            <w:r>
              <w:rPr>
                <w:sz w:val="18"/>
              </w:rPr>
              <w:t xml:space="preserve">Up from 21.7% in 2020 — a 57% increase in the elderly population</w:t>
            </w:r>
          </w:p>
        </w:tc>
      </w:tr>
      <w:tr>
        <w:trPr/>
        <w:tc>
          <w:tcPr>
            <w:tcW w:w="3283" w:type="dxa"/>
          </w:tcPr>
          <w:p>
            <w:pPr>
              <w:pStyle w:val="Compact"/>
              <w:jc w:val="left"/>
            </w:pPr>
            <w:r>
              <w:rPr>
                <w:sz w:val="18"/>
              </w:rPr>
              <w:t xml:space="preserve">Working-age population change by 2040</w:t>
            </w:r>
          </w:p>
        </w:tc>
        <w:tc>
          <w:tcPr>
            <w:tcW w:w="604" w:type="dxa"/>
          </w:tcPr>
          <w:p>
            <w:pPr>
              <w:pStyle w:val="Compact"/>
              <w:jc w:val="left"/>
            </w:pPr>
            <w:r>
              <w:rPr>
                <w:sz w:val="18"/>
              </w:rPr>
              <w:t xml:space="preserve">−13%</w:t>
            </w:r>
          </w:p>
        </w:tc>
        <w:tc>
          <w:tcPr>
            <w:tcW w:w="5184" w:type="dxa"/>
          </w:tcPr>
          <w:p>
            <w:pPr>
              <w:pStyle w:val="Compact"/>
              <w:jc w:val="left"/>
            </w:pPr>
            <w:r>
              <w:rPr>
                <w:sz w:val="18"/>
              </w:rPr>
              <w:t xml:space="preserve">From ~367,000 to ~318,000 — the commercial-insurance base shrinks</w:t>
            </w:r>
          </w:p>
        </w:tc>
      </w:tr>
      <w:tr>
        <w:trPr/>
        <w:tc>
          <w:tcPr>
            <w:tcW w:w="3283" w:type="dxa"/>
          </w:tcPr>
          <w:p>
            <w:pPr>
              <w:pStyle w:val="Compact"/>
              <w:jc w:val="left"/>
            </w:pPr>
            <w:r>
              <w:rPr>
                <w:sz w:val="18"/>
              </w:rPr>
              <w:t xml:space="preserve">Total population 2020–2040</w:t>
            </w:r>
          </w:p>
        </w:tc>
        <w:tc>
          <w:tcPr>
            <w:tcW w:w="604" w:type="dxa"/>
          </w:tcPr>
          <w:p>
            <w:pPr>
              <w:pStyle w:val="Compact"/>
              <w:jc w:val="left"/>
            </w:pPr>
            <w:r>
              <w:rPr>
                <w:sz w:val="18"/>
              </w:rPr>
              <w:t xml:space="preserve">Flat</w:t>
            </w:r>
          </w:p>
        </w:tc>
        <w:tc>
          <w:tcPr>
            <w:tcW w:w="5184" w:type="dxa"/>
          </w:tcPr>
          <w:p>
            <w:pPr>
              <w:pStyle w:val="Compact"/>
              <w:jc w:val="left"/>
            </w:pPr>
            <w:r>
              <w:rPr>
                <w:sz w:val="18"/>
              </w:rPr>
              <w:t xml:space="preserve">~612,000–624,000 throughout — aging, not growing</w:t>
            </w:r>
          </w:p>
        </w:tc>
      </w:tr>
      <w:tr>
        <w:trPr/>
        <w:tc>
          <w:tcPr>
            <w:tcW w:w="3283" w:type="dxa"/>
          </w:tcPr>
          <w:p>
            <w:pPr>
              <w:pStyle w:val="Compact"/>
              <w:jc w:val="left"/>
            </w:pPr>
            <w:r>
              <w:rPr>
                <w:sz w:val="18"/>
              </w:rPr>
              <w:t xml:space="preserve">Residents with health insurance (2025)</w:t>
            </w:r>
          </w:p>
        </w:tc>
        <w:tc>
          <w:tcPr>
            <w:tcW w:w="604" w:type="dxa"/>
          </w:tcPr>
          <w:p>
            <w:pPr>
              <w:pStyle w:val="Compact"/>
              <w:jc w:val="left"/>
            </w:pPr>
            <w:r>
              <w:rPr>
                <w:sz w:val="18"/>
              </w:rPr>
              <w:t xml:space="preserve">97%</w:t>
            </w:r>
          </w:p>
        </w:tc>
        <w:tc>
          <w:tcPr>
            <w:tcW w:w="5184" w:type="dxa"/>
          </w:tcPr>
          <w:p>
            <w:pPr>
              <w:pStyle w:val="Compact"/>
              <w:jc w:val="left"/>
            </w:pPr>
            <w:r>
              <w:rPr>
                <w:sz w:val="18"/>
              </w:rPr>
              <w:t xml:space="preserve">Among the highest coverage rates in the country</w:t>
            </w:r>
          </w:p>
        </w:tc>
      </w:tr>
      <w:tr>
        <w:trPr/>
        <w:tc>
          <w:tcPr>
            <w:tcW w:w="3283" w:type="dxa"/>
          </w:tcPr>
          <w:p>
            <w:pPr>
              <w:pStyle w:val="Compact"/>
              <w:jc w:val="left"/>
            </w:pPr>
            <w:r>
              <w:rPr>
                <w:sz w:val="18"/>
              </w:rPr>
              <w:t xml:space="preserve">Primary-care provider shortage by 2030</w:t>
            </w:r>
          </w:p>
        </w:tc>
        <w:tc>
          <w:tcPr>
            <w:tcW w:w="604" w:type="dxa"/>
          </w:tcPr>
          <w:p>
            <w:pPr>
              <w:pStyle w:val="Compact"/>
              <w:jc w:val="left"/>
            </w:pPr>
            <w:r>
              <w:rPr>
                <w:sz w:val="18"/>
              </w:rPr>
              <w:t xml:space="preserve">370 FTE</w:t>
            </w:r>
          </w:p>
        </w:tc>
        <w:tc>
          <w:tcPr>
            <w:tcW w:w="5184" w:type="dxa"/>
          </w:tcPr>
          <w:p>
            <w:pPr>
              <w:pStyle w:val="Compact"/>
              <w:jc w:val="left"/>
            </w:pPr>
            <w:r>
              <w:rPr>
                <w:sz w:val="18"/>
              </w:rPr>
              <w:t xml:space="preserve">112 family medicine, 190 other primary-care specialties (RHT application)</w:t>
            </w:r>
          </w:p>
        </w:tc>
      </w:tr>
      <w:tr>
        <w:trPr>
          <w:cantSplit/>
        </w:trPr>
        <w:tc>
          <w:tcPr>
            <w:tcW w:w="3283" w:type="dxa"/>
          </w:tcPr>
          <w:p>
            <w:pPr>
              <w:pStyle w:val="Compact"/>
              <w:jc w:val="left"/>
            </w:pPr>
            <w:r>
              <w:rPr>
                <w:sz w:val="18"/>
              </w:rPr>
              <w:t xml:space="preserve">Rental vacancy rate</w:t>
            </w:r>
          </w:p>
        </w:tc>
        <w:tc>
          <w:tcPr>
            <w:tcW w:w="604" w:type="dxa"/>
          </w:tcPr>
          <w:p>
            <w:pPr>
              <w:pStyle w:val="Compact"/>
              <w:jc w:val="left"/>
            </w:pPr>
            <w:r>
              <w:rPr>
                <w:sz w:val="18"/>
              </w:rPr>
              <w:t xml:space="preserve">3%</w:t>
            </w:r>
          </w:p>
        </w:tc>
        <w:tc>
          <w:tcPr>
            <w:tcW w:w="5184" w:type="dxa"/>
          </w:tcPr>
          <w:p>
            <w:pPr>
              <w:pStyle w:val="Compact"/>
              <w:jc w:val="left"/>
            </w:pPr>
            <w:r>
              <w:rPr>
                <w:sz w:val="18"/>
              </w:rPr>
              <w:t xml:space="preserve">Below the healthy 5% threshold — housing as a workforce constraint</w:t>
            </w:r>
          </w:p>
        </w:tc>
      </w:tr>
    </w:tbl>
    <w:p>
      <w:pPr>
        <w:pStyle w:val="Caption"/>
        <w:spacing w:before="280"/>
      </w:pPr>
      <w:r>
        <w:rPr>
          <w:i/>
          <w:iCs/>
        </w:rPr>
        <w:t xml:space="preserve">Figure A.1 — Vermont demographic transformation. Sources: Oliver Wyman Act 167 Report (2024); Vermont RHT Program Application; KFF.</w:t>
      </w:r>
    </w:p>
    <w:p>
      <w:pPr>
        <w:pStyle w:val="BodyText"/>
      </w:pPr>
      <w: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pPr>
        <w:pStyle w:val="Heading2"/>
        <w:pBdr>
          <w:top w:val="single" w:sz="6" w:space="10" w:color="C9D2DF"/>
        </w:pBdr>
        <w:keepNext w:val="false"/>
      </w:pPr>
      <w:r>
        <w:rPr>
          <w:color w:val="161B22"/>
        </w:rPr>
        <w:t xml:space="preserve">A.3  </w:t>
      </w:r>
      <w:bookmarkStart w:id="1455" w:name="_Toc1454"/>
      <w:r>
        <w:rPr>
          <w:b/>
          <w:bCs/>
          <w:color w:val="161B22"/>
        </w:rPr>
        <w:t xml:space="preserve">A.3 Regulatory Architecture: The Green Mountain Care Board</w:t>
      </w:r>
      <w:bookmarkEnd w:id="1455"/>
    </w:p>
    <w:p>
      <w:pPr>
        <w:pStyle w:val="FirstParagraph"/>
        <w:keepNext w:val="false"/>
      </w:pPr>
      <w: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approved $3.7 billion in system-wide hospital spending — a 3.5% increase after hospitals requested 8% — and enforced FY23 overages against UVMMC ($80.3M) and RRMC ($11.1M).</w:t>
      </w:r>
    </w:p>
    <w:tbl>
      <w:tblPr>
        <w:tblStyle w:val="HTRTable"/>
        <w:tblLook w:firstRow="1" w:lastRow="0" w:firstColumn="0" w:lastColumn="0" w:noHBand="0" w:noVBand="1" w:val="0020"/>
        <w:tblW w:w="9072" w:type="dxa"/>
        <w:tblLayout w:type="fixed"/>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GMCB function</w:t>
            </w:r>
          </w:p>
        </w:tc>
        <w:tc>
          <w:tcPr>
            <w:shd w:val="clear" w:color="auto" w:fill="1B3A6B"/>
            <w:tcW w:w="5916" w:type="dxa"/>
          </w:tcPr>
          <w:p>
            <w:pPr>
              <w:pStyle w:val="Compact"/>
              <w:jc w:val="left"/>
            </w:pPr>
            <w:r>
              <w:rPr>
                <w:b/>
                <w:color w:val="FFFFFF"/>
                <w:sz w:val="18"/>
              </w:rPr>
              <w:t xml:space="preserve">Why it matters for transformation</w:t>
            </w:r>
          </w:p>
        </w:tc>
      </w:tr>
      <w:tr>
        <w:trPr>
          <w:cantSplit/>
        </w:trPr>
        <w:tc>
          <w:tcPr>
            <w:tcW w:w="3155" w:type="dxa"/>
          </w:tcPr>
          <w:p>
            <w:pPr>
              <w:pStyle w:val="Compact"/>
              <w:jc w:val="left"/>
            </w:pPr>
            <w:r>
              <w:rPr>
                <w:sz w:val="18"/>
              </w:rPr>
              <w:t xml:space="preserve">Hospital budget review</w:t>
            </w:r>
          </w:p>
        </w:tc>
        <w:tc>
          <w:tcPr>
            <w:tcW w:w="5916" w:type="dxa"/>
          </w:tcPr>
          <w:p>
            <w:pPr>
              <w:pStyle w:val="Compact"/>
              <w:jc w:val="left"/>
            </w:pPr>
            <w:r>
              <w:rPr>
                <w:sz w:val="18"/>
              </w:rPr>
              <w:t xml:space="preserve">Annually sets Net Patient Revenue growth limits for all 14 hospitals; FY25 approved $3.7B (+4.1% vs. 8% requested). Drives attention to efficiency and alternative revenue.</w:t>
            </w:r>
          </w:p>
        </w:tc>
      </w:tr>
      <w:tr>
        <w:trPr/>
        <w:tc>
          <w:tcPr>
            <w:tcW w:w="3155" w:type="dxa"/>
          </w:tcPr>
          <w:p>
            <w:pPr>
              <w:pStyle w:val="Compact"/>
              <w:jc w:val="left"/>
            </w:pPr>
            <w:r>
              <w:rPr>
                <w:sz w:val="18"/>
              </w:rPr>
              <w:t xml:space="preserve">Budget enforcement</w:t>
            </w:r>
          </w:p>
        </w:tc>
        <w:tc>
          <w:tcPr>
            <w:tcW w:w="5916" w:type="dxa"/>
          </w:tcPr>
          <w:p>
            <w:pPr>
              <w:pStyle w:val="Compact"/>
              <w:jc w:val="left"/>
            </w:pPr>
            <w:r>
              <w:rPr>
                <w:sz w:val="18"/>
              </w:rPr>
              <w:t xml:space="preserve">Can reduce future commercial-rate approvals when budgets are exceeded (FY23: UVMMC $80.3M, RRMC $11.1M). Distinguishes Vermont’s model from advisory oversight.</w:t>
            </w:r>
          </w:p>
        </w:tc>
      </w:tr>
      <w:tr>
        <w:trPr/>
        <w:tc>
          <w:tcPr>
            <w:tcW w:w="3155" w:type="dxa"/>
          </w:tcPr>
          <w:p>
            <w:pPr>
              <w:pStyle w:val="Compact"/>
              <w:jc w:val="left"/>
            </w:pPr>
            <w:r>
              <w:rPr>
                <w:sz w:val="18"/>
              </w:rPr>
              <w:t xml:space="preserve">Monthly performance monitoring</w:t>
            </w:r>
          </w:p>
        </w:tc>
        <w:tc>
          <w:tcPr>
            <w:tcW w:w="5916" w:type="dxa"/>
          </w:tcPr>
          <w:p>
            <w:pPr>
              <w:pStyle w:val="Compact"/>
              <w:jc w:val="left"/>
            </w:pPr>
            <w:r>
              <w:rPr>
                <w:sz w:val="18"/>
              </w:rPr>
              <w:t xml:space="preserve">All 14 hospitals submit monthly financial reports — the operational substrate for transformation accountability.</w:t>
            </w:r>
          </w:p>
        </w:tc>
      </w:tr>
      <w:tr>
        <w:trPr/>
        <w:tc>
          <w:tcPr>
            <w:tcW w:w="3155" w:type="dxa"/>
          </w:tcPr>
          <w:p>
            <w:pPr>
              <w:pStyle w:val="Compact"/>
              <w:jc w:val="left"/>
            </w:pPr>
            <w:r>
              <w:rPr>
                <w:sz w:val="18"/>
              </w:rPr>
              <w:t xml:space="preserve">Reference-based pricing</w:t>
            </w:r>
          </w:p>
        </w:tc>
        <w:tc>
          <w:tcPr>
            <w:tcW w:w="5916" w:type="dxa"/>
          </w:tcPr>
          <w:p>
            <w:pPr>
              <w:pStyle w:val="Compact"/>
              <w:jc w:val="left"/>
            </w:pPr>
            <w:r>
              <w:rPr>
                <w:sz w:val="18"/>
              </w:rPr>
              <w:t xml:space="preserve">Act 68 mandates RBP from FY2027, with GMCB setting the methodology; existing rate-review infrastructure makes it implementable.</w:t>
            </w:r>
          </w:p>
        </w:tc>
      </w:tr>
      <w:tr>
        <w:trPr/>
        <w:tc>
          <w:tcPr>
            <w:tcW w:w="3155" w:type="dxa"/>
          </w:tcPr>
          <w:p>
            <w:pPr>
              <w:pStyle w:val="Compact"/>
              <w:jc w:val="left"/>
            </w:pPr>
            <w:r>
              <w:rPr>
                <w:sz w:val="18"/>
              </w:rPr>
              <w:t xml:space="preserve">Global-budget design</w:t>
            </w:r>
          </w:p>
        </w:tc>
        <w:tc>
          <w:tcPr>
            <w:tcW w:w="5916" w:type="dxa"/>
          </w:tcPr>
          <w:p>
            <w:pPr>
              <w:pStyle w:val="Compact"/>
              <w:jc w:val="left"/>
            </w:pPr>
            <w:r>
              <w:rPr>
                <w:sz w:val="18"/>
              </w:rPr>
              <w:t xml:space="preserve">GMCB sets prospective global budgets FY2028–2030, coordinated with AHEAD; the analytics-vendor procurement (McKinsey, 2025–2026) builds the technical infrastructure.</w:t>
            </w:r>
          </w:p>
        </w:tc>
      </w:tr>
      <w:tr>
        <w:trPr>
          <w:cantSplit/>
        </w:trPr>
        <w:tc>
          <w:tcPr>
            <w:tcW w:w="3155" w:type="dxa"/>
          </w:tcPr>
          <w:p>
            <w:pPr>
              <w:pStyle w:val="Compact"/>
              <w:jc w:val="left"/>
            </w:pPr>
            <w:r>
              <w:rPr>
                <w:sz w:val="18"/>
              </w:rPr>
              <w:t xml:space="preserve">Hospital-sustainability planning</w:t>
            </w:r>
          </w:p>
        </w:tc>
        <w:tc>
          <w:tcPr>
            <w:tcW w:w="5916" w:type="dxa"/>
          </w:tcPr>
          <w:p>
            <w:pPr>
              <w:pStyle w:val="Compact"/>
              <w:jc w:val="left"/>
            </w:pPr>
            <w:r>
              <w:rPr>
                <w:sz w:val="18"/>
              </w:rPr>
              <w:t xml:space="preserve">Under Act 167, GMCB commissioned the Oliver Wyman analysis and is the institutional receptor for its recommendations.</w:t>
            </w:r>
          </w:p>
        </w:tc>
      </w:tr>
    </w:tbl>
    <w:p>
      <w:pPr>
        <w:pStyle w:val="Caption"/>
        <w:spacing w:before="280"/>
      </w:pPr>
      <w:r>
        <w:rPr>
          <w:i/>
          <w:iCs/>
        </w:rPr>
        <w:t xml:space="preserve">Figure A.2 — GMCB regulatory functions. Sources: GMCB Hospital Budget Review Guide; Acts 167 and 68; GMCB Annual Report 2024.</w:t>
      </w:r>
    </w:p>
    <w:p>
      <w:pPr>
        <w:pStyle w:val="BodyText"/>
      </w:pPr>
      <w:r>
        <w:t xml:space="preserve">GMCB’s design explains a feature of Vermont’s transformation that is analytically important: mandatory authority precedes payment-reform deployment. The voluntary-ACO era produced modest results because the highest-cost providers could decline to participate. GMCB’s ability to set rates rather than recommend them is the structural condition that makes mandatory RBP and global budgeting achievable. States attempting payment reform without a comparable body are, in the framework’s terms, attempting Economics-pillar transformation without the Policy-pillar architecture that gives it enforcement teeth.</w:t>
      </w:r>
    </w:p>
    <w:p>
      <w:pPr>
        <w:pStyle w:val="Heading2"/>
        <w:pBdr>
          <w:top w:val="single" w:sz="6" w:space="10" w:color="C9D2DF"/>
        </w:pBdr>
      </w:pPr>
      <w:r>
        <w:rPr>
          <w:color w:val="161B22"/>
        </w:rPr>
        <w:t xml:space="preserve">A.4  </w:t>
      </w:r>
      <w:bookmarkStart w:id="1456" w:name="_Toc1455"/>
      <w:r>
        <w:rPr>
          <w:b/>
          <w:bCs/>
          <w:color w:val="161B22"/>
        </w:rPr>
        <w:t xml:space="preserve">A.4 The Hospital System</w:t>
      </w:r>
      <w:bookmarkEnd w:id="1456"/>
    </w:p>
    <w:p>
      <w:pPr>
        <w:pStyle w:val="FirstParagraph"/>
      </w:pPr>
      <w: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pPr>
        <w:pStyle w:val="BodyText"/>
        <w:keepNext w:val="false"/>
      </w:pPr>
      <w: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AHEAD’s global-budget design must protect most carefully. At the other end, UVMMC’s administrative cost per adjusted discharge was $3,826 against a $1,427 national benchmark — a structural cost problem voluntary reform cannot address.</w:t>
      </w:r>
    </w:p>
    <w:p>
      <w:pPr>
        <w:pStyle w:val="Heading3"/>
        <w:keepNext w:val="false"/>
      </w:pPr>
      <w:r>
        <w:rPr>
          <w:color w:val="161B22"/>
        </w:rPr>
        <w:t xml:space="preserve">A.4.1  </w:t>
      </w:r>
      <w:bookmarkStart w:id="1457" w:name="_Toc1456"/>
      <w:r>
        <w:rPr>
          <w:b/>
          <w:bCs/>
          <w:color w:val="161B22"/>
        </w:rPr>
        <w:t xml:space="preserve">The Fourteen Hospitals (January 2026 transformation plans)</w:t>
      </w:r>
      <w:bookmarkEnd w:id="1457"/>
    </w:p>
    <w:tbl>
      <w:tblPr>
        <w:tblStyle w:val="HTRTable"/>
        <w:tblLook w:firstRow="1" w:lastRow="0" w:firstColumn="0" w:lastColumn="0" w:noHBand="0" w:noVBand="1" w:val="0020"/>
        <w:tblW w:w="9072" w:type="dxa"/>
        <w:tblLayout w:type="fixed"/>
      </w:tblPr>
      <w:tblGrid>
        <w:gridCol w:w="1863"/>
        <w:gridCol w:w="588"/>
        <w:gridCol w:w="735"/>
        <w:gridCol w:w="2942"/>
        <w:gridCol w:w="2942"/>
      </w:tblGrid>
      <w:tr>
        <w:trPr>
          <w:tblHeader w:val="on"/>
          <w:cantSplit/>
        </w:trPr>
        <w:tc>
          <w:tcPr>
            <w:shd w:val="clear" w:color="auto" w:fill="1B3A6B"/>
            <w:tcW w:w="1863" w:type="dxa"/>
          </w:tcPr>
          <w:p>
            <w:pPr>
              <w:pStyle w:val="Compact"/>
              <w:jc w:val="left"/>
            </w:pPr>
            <w:r>
              <w:rPr>
                <w:b/>
                <w:color w:val="FFFFFF"/>
                <w:sz w:val="18"/>
              </w:rPr>
              <w:t xml:space="preserve">Hospital</w:t>
            </w:r>
          </w:p>
        </w:tc>
        <w:tc>
          <w:tcPr>
            <w:shd w:val="clear" w:color="auto" w:fill="1B3A6B"/>
            <w:tcW w:w="588" w:type="dxa"/>
          </w:tcPr>
          <w:p>
            <w:pPr>
              <w:pStyle w:val="Compact"/>
              <w:jc w:val="left"/>
            </w:pPr>
            <w:r>
              <w:rPr>
                <w:b/>
                <w:color w:val="FFFFFF"/>
                <w:sz w:val="18"/>
              </w:rPr>
              <w:t xml:space="preserve">Type</w:t>
            </w:r>
          </w:p>
        </w:tc>
        <w:tc>
          <w:tcPr>
            <w:shd w:val="clear" w:color="auto" w:fill="1B3A6B"/>
            <w:tcW w:w="735" w:type="dxa"/>
          </w:tcPr>
          <w:p>
            <w:pPr>
              <w:pStyle w:val="Compact"/>
              <w:jc w:val="left"/>
            </w:pPr>
            <w:r>
              <w:rPr>
                <w:b/>
                <w:color w:val="FFFFFF"/>
                <w:sz w:val="18"/>
              </w:rPr>
              <w:t xml:space="preserve">Grant</w:t>
            </w:r>
          </w:p>
        </w:tc>
        <w:tc>
          <w:tcPr>
            <w:shd w:val="clear" w:color="auto" w:fill="1B3A6B"/>
            <w:tcW w:w="2942" w:type="dxa"/>
          </w:tcPr>
          <w:p>
            <w:pPr>
              <w:pStyle w:val="Compact"/>
              <w:jc w:val="left"/>
            </w:pPr>
            <w:r>
              <w:rPr>
                <w:b/>
                <w:color w:val="FFFFFF"/>
                <w:sz w:val="18"/>
              </w:rPr>
              <w:t xml:space="preserve">Primary focus</w:t>
            </w:r>
          </w:p>
        </w:tc>
        <w:tc>
          <w:tcPr>
            <w:shd w:val="clear" w:color="auto" w:fill="1B3A6B"/>
            <w:tcW w:w="2942" w:type="dxa"/>
          </w:tcPr>
          <w:p>
            <w:pPr>
              <w:pStyle w:val="Compact"/>
              <w:jc w:val="left"/>
            </w:pPr>
            <w:r>
              <w:rPr>
                <w:b/>
                <w:color w:val="FFFFFF"/>
                <w:sz w:val="18"/>
              </w:rPr>
              <w:t xml:space="preserve">Key challenges</w:t>
            </w:r>
          </w:p>
        </w:tc>
      </w:tr>
      <w:tr>
        <w:trPr>
          <w:cantSplit/>
        </w:trPr>
        <w:tc>
          <w:tcPr>
            <w:tcW w:w="1863" w:type="dxa"/>
          </w:tcPr>
          <w:p>
            <w:pPr>
              <w:pStyle w:val="Compact"/>
              <w:jc w:val="left"/>
            </w:pPr>
            <w:r>
              <w:rPr>
                <w:sz w:val="18"/>
              </w:rPr>
              <w:t xml:space="preserve">UVM Medical Center</w:t>
            </w:r>
          </w:p>
        </w:tc>
        <w:tc>
          <w:tcPr>
            <w:tcW w:w="588" w:type="dxa"/>
          </w:tcPr>
          <w:p>
            <w:pPr>
              <w:pStyle w:val="Compact"/>
              <w:jc w:val="left"/>
            </w:pPr>
            <w:r>
              <w:rPr>
                <w:sz w:val="18"/>
              </w:rPr>
              <w:t xml:space="preserve">Academic hub</w:t>
            </w:r>
          </w:p>
        </w:tc>
        <w:tc>
          <w:tcPr>
            <w:tcW w:w="735" w:type="dxa"/>
          </w:tcPr>
          <w:p>
            <w:pPr>
              <w:pStyle w:val="Compact"/>
              <w:jc w:val="left"/>
            </w:pPr>
            <w:r>
              <w:rPr>
                <w:sz w:val="18"/>
              </w:rPr>
              <w:t xml:space="preserve">Not eligible</w:t>
            </w:r>
          </w:p>
        </w:tc>
        <w:tc>
          <w:tcPr>
            <w:tcW w:w="2942" w:type="dxa"/>
          </w:tcPr>
          <w:p>
            <w:pPr>
              <w:pStyle w:val="Compact"/>
              <w:jc w:val="left"/>
            </w:pPr>
            <w:r>
              <w:rPr>
                <w:sz w:val="18"/>
              </w:rPr>
              <w:t xml:space="preserve">Technology for acuity management and transfers; statewide reference hub</w:t>
            </w:r>
          </w:p>
        </w:tc>
        <w:tc>
          <w:tcPr>
            <w:tcW w:w="2942" w:type="dxa"/>
          </w:tcPr>
          <w:p>
            <w:pPr>
              <w:pStyle w:val="Compact"/>
              <w:jc w:val="left"/>
            </w:pPr>
            <w:r>
              <w:rPr>
                <w:sz w:val="18"/>
              </w:rPr>
              <w:t xml:space="preserve">Admin cost $3,826/discharge vs. $1,427; FY23 overage enforcement ($80.3M)</w:t>
            </w:r>
          </w:p>
        </w:tc>
      </w:tr>
      <w:tr>
        <w:trPr/>
        <w:tc>
          <w:tcPr>
            <w:tcW w:w="1863" w:type="dxa"/>
          </w:tcPr>
          <w:p>
            <w:pPr>
              <w:pStyle w:val="Compact"/>
              <w:jc w:val="left"/>
            </w:pPr>
            <w:r>
              <w:rPr>
                <w:sz w:val="18"/>
              </w:rPr>
              <w:t xml:space="preserve">Central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Acuity-management and transfer technology</w:t>
            </w:r>
          </w:p>
        </w:tc>
        <w:tc>
          <w:tcPr>
            <w:tcW w:w="2942" w:type="dxa"/>
          </w:tcPr>
          <w:p>
            <w:pPr>
              <w:pStyle w:val="Compact"/>
              <w:jc w:val="left"/>
            </w:pPr>
            <w:r>
              <w:rPr>
                <w:sz w:val="18"/>
              </w:rPr>
              <w:t xml:space="preserve">UVMHN system; subject to system budget constraints</w:t>
            </w:r>
          </w:p>
        </w:tc>
      </w:tr>
      <w:tr>
        <w:trPr/>
        <w:tc>
          <w:tcPr>
            <w:tcW w:w="1863" w:type="dxa"/>
          </w:tcPr>
          <w:p>
            <w:pPr>
              <w:pStyle w:val="Compact"/>
              <w:jc w:val="left"/>
            </w:pPr>
            <w:r>
              <w:rPr>
                <w:sz w:val="18"/>
              </w:rPr>
              <w:t xml:space="preserve">Porter Hospital</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Acuity/transfer technology (shared with CVMC)</w:t>
            </w:r>
          </w:p>
        </w:tc>
        <w:tc>
          <w:tcPr>
            <w:tcW w:w="2942" w:type="dxa"/>
          </w:tcPr>
          <w:p>
            <w:pPr>
              <w:pStyle w:val="Compact"/>
              <w:jc w:val="left"/>
            </w:pPr>
            <w:r>
              <w:rPr>
                <w:sz w:val="18"/>
              </w:rPr>
              <w:t xml:space="preserve">UVMHN system; FY23 overage of $11M</w:t>
            </w:r>
          </w:p>
        </w:tc>
      </w:tr>
      <w:tr>
        <w:trPr/>
        <w:tc>
          <w:tcPr>
            <w:tcW w:w="1863" w:type="dxa"/>
          </w:tcPr>
          <w:p>
            <w:pPr>
              <w:pStyle w:val="Compact"/>
              <w:jc w:val="left"/>
            </w:pPr>
            <w:r>
              <w:rPr>
                <w:sz w:val="18"/>
              </w:rPr>
              <w:t xml:space="preserve">Rutland Regional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Hospice utilization; community dermatology; SVMC collaboration</w:t>
            </w:r>
          </w:p>
        </w:tc>
        <w:tc>
          <w:tcPr>
            <w:tcW w:w="2942" w:type="dxa"/>
          </w:tcPr>
          <w:p>
            <w:pPr>
              <w:pStyle w:val="Compact"/>
              <w:jc w:val="left"/>
            </w:pPr>
            <w:r>
              <w:rPr>
                <w:sz w:val="18"/>
              </w:rPr>
              <w:t xml:space="preserve">FY23 overage $11.1M (partially enforced)</w:t>
            </w:r>
          </w:p>
        </w:tc>
      </w:tr>
      <w:tr>
        <w:trPr/>
        <w:tc>
          <w:tcPr>
            <w:tcW w:w="1863" w:type="dxa"/>
          </w:tcPr>
          <w:p>
            <w:pPr>
              <w:pStyle w:val="Compact"/>
              <w:jc w:val="left"/>
            </w:pPr>
            <w:r>
              <w:rPr>
                <w:sz w:val="18"/>
              </w:rPr>
              <w:t xml:space="preserve">Southwestern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RN Bridge to PCP; $29M cancer center; Epic migration ($30M); adolescent MH unit</w:t>
            </w:r>
          </w:p>
        </w:tc>
        <w:tc>
          <w:tcPr>
            <w:tcW w:w="2942" w:type="dxa"/>
          </w:tcPr>
          <w:p>
            <w:pPr>
              <w:pStyle w:val="Compact"/>
              <w:jc w:val="left"/>
            </w:pPr>
            <w:r>
              <w:rPr>
                <w:sz w:val="18"/>
              </w:rPr>
              <w:t xml:space="preserve">Locum costs; care-coordination gaps; transport barriers</w:t>
            </w:r>
          </w:p>
        </w:tc>
      </w:tr>
      <w:tr>
        <w:trPr/>
        <w:tc>
          <w:tcPr>
            <w:tcW w:w="1863" w:type="dxa"/>
          </w:tcPr>
          <w:p>
            <w:pPr>
              <w:pStyle w:val="Compact"/>
              <w:jc w:val="left"/>
            </w:pPr>
            <w:r>
              <w:rPr>
                <w:sz w:val="18"/>
              </w:rPr>
              <w:t xml:space="preserve">Brattleboro Memorial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Mobile Integrated Health; FQHC look-alike feasibility; birthing/oncology sustainability</w:t>
            </w:r>
          </w:p>
        </w:tc>
        <w:tc>
          <w:tcPr>
            <w:tcW w:w="2942" w:type="dxa"/>
          </w:tcPr>
          <w:p>
            <w:pPr>
              <w:pStyle w:val="Compact"/>
              <w:jc w:val="left"/>
            </w:pPr>
            <w:r>
              <w:rPr>
                <w:sz w:val="18"/>
              </w:rPr>
              <w:t xml:space="preserve">GMCB FY26 solvency concern; operating losses; bonus scrutiny</w:t>
            </w:r>
          </w:p>
        </w:tc>
      </w:tr>
      <w:tr>
        <w:trPr/>
        <w:tc>
          <w:tcPr>
            <w:tcW w:w="1863" w:type="dxa"/>
          </w:tcPr>
          <w:p>
            <w:pPr>
              <w:pStyle w:val="Compact"/>
              <w:jc w:val="left"/>
            </w:pPr>
            <w:r>
              <w:rPr>
                <w:sz w:val="18"/>
              </w:rPr>
              <w:t xml:space="preserve">Springfield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Needs follow-up</w:t>
            </w:r>
          </w:p>
        </w:tc>
        <w:tc>
          <w:tcPr>
            <w:tcW w:w="2942" w:type="dxa"/>
          </w:tcPr>
          <w:p>
            <w:pPr>
              <w:pStyle w:val="Compact"/>
              <w:jc w:val="left"/>
            </w:pPr>
            <w:r>
              <w:rPr>
                <w:sz w:val="18"/>
              </w:rPr>
              <w:t xml:space="preserve">Clinical-services redesign feasibility; Northstar Health relationship</w:t>
            </w:r>
          </w:p>
        </w:tc>
        <w:tc>
          <w:tcPr>
            <w:tcW w:w="2942" w:type="dxa"/>
          </w:tcPr>
          <w:p>
            <w:pPr>
              <w:pStyle w:val="Compact"/>
              <w:jc w:val="left"/>
            </w:pPr>
            <w:r>
              <w:rPr>
                <w:sz w:val="18"/>
              </w:rPr>
              <w:t xml:space="preserve">Oncology/cardiology sustainability; plan not approved as of Jan 2026</w:t>
            </w:r>
          </w:p>
        </w:tc>
      </w:tr>
      <w:tr>
        <w:trPr/>
        <w:tc>
          <w:tcPr>
            <w:tcW w:w="1863" w:type="dxa"/>
          </w:tcPr>
          <w:p>
            <w:pPr>
              <w:pStyle w:val="Compact"/>
              <w:jc w:val="left"/>
            </w:pPr>
            <w:r>
              <w:rPr>
                <w:sz w:val="18"/>
              </w:rPr>
              <w:t xml:space="preserve">Gifford Medical Center</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Hospital-to-hospital transfers with UVMMC/DHMC; NECHN GPO ($793K savings); shared radiology</w:t>
            </w:r>
          </w:p>
        </w:tc>
        <w:tc>
          <w:tcPr>
            <w:tcW w:w="2942" w:type="dxa"/>
          </w:tcPr>
          <w:p>
            <w:pPr>
              <w:pStyle w:val="Compact"/>
              <w:jc w:val="left"/>
            </w:pPr>
            <w:r>
              <w:rPr>
                <w:sz w:val="18"/>
              </w:rPr>
              <w:t xml:space="preserve">Targeting avg. daily census of 20; tele-radiology vendor constraints</w:t>
            </w:r>
          </w:p>
        </w:tc>
      </w:tr>
      <w:tr>
        <w:trPr/>
        <w:tc>
          <w:tcPr>
            <w:tcW w:w="1863" w:type="dxa"/>
          </w:tcPr>
          <w:p>
            <w:pPr>
              <w:pStyle w:val="Compact"/>
              <w:jc w:val="left"/>
            </w:pPr>
            <w:r>
              <w:rPr>
                <w:sz w:val="18"/>
              </w:rPr>
              <w:t xml:space="preserve">Copley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Consulting services; primary-care access expansion</w:t>
            </w:r>
          </w:p>
        </w:tc>
        <w:tc>
          <w:tcPr>
            <w:tcW w:w="2942" w:type="dxa"/>
          </w:tcPr>
          <w:p>
            <w:pPr>
              <w:pStyle w:val="Compact"/>
              <w:jc w:val="left"/>
            </w:pPr>
            <w:r>
              <w:rPr>
                <w:sz w:val="18"/>
              </w:rPr>
              <w:t xml:space="preserve">Plan-quality concerns; FY25 budget modifications</w:t>
            </w:r>
          </w:p>
        </w:tc>
      </w:tr>
      <w:tr>
        <w:trPr/>
        <w:tc>
          <w:tcPr>
            <w:tcW w:w="1863" w:type="dxa"/>
          </w:tcPr>
          <w:p>
            <w:pPr>
              <w:pStyle w:val="Compact"/>
              <w:jc w:val="left"/>
            </w:pPr>
            <w:r>
              <w:rPr>
                <w:sz w:val="18"/>
              </w:rPr>
              <w:t xml:space="preserve">North Country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NVRH (shared PM/legal); pulmonology; tele-neonatology</w:t>
            </w:r>
          </w:p>
        </w:tc>
        <w:tc>
          <w:tcPr>
            <w:tcW w:w="2942" w:type="dxa"/>
          </w:tcPr>
          <w:p>
            <w:pPr>
              <w:pStyle w:val="Compact"/>
              <w:jc w:val="left"/>
            </w:pPr>
            <w:r>
              <w:rPr>
                <w:sz w:val="18"/>
              </w:rPr>
              <w:t xml:space="preserve">Limited IT staff; depends on CIN shared services</w:t>
            </w:r>
          </w:p>
        </w:tc>
      </w:tr>
      <w:tr>
        <w:trPr/>
        <w:tc>
          <w:tcPr>
            <w:tcW w:w="1863" w:type="dxa"/>
          </w:tcPr>
          <w:p>
            <w:pPr>
              <w:pStyle w:val="Compact"/>
              <w:jc w:val="left"/>
            </w:pPr>
            <w:r>
              <w:rPr>
                <w:sz w:val="18"/>
              </w:rPr>
              <w:t xml:space="preserve">Northeastern Vermont Regional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NCH; cardiology; tele-ICU</w:t>
            </w:r>
          </w:p>
        </w:tc>
        <w:tc>
          <w:tcPr>
            <w:tcW w:w="2942" w:type="dxa"/>
          </w:tcPr>
          <w:p>
            <w:pPr>
              <w:pStyle w:val="Compact"/>
              <w:jc w:val="left"/>
            </w:pPr>
            <w:r>
              <w:rPr>
                <w:sz w:val="18"/>
              </w:rPr>
              <w:t xml:space="preserve">FY23 overage (not enforced); limited NEK workforce pipeline</w:t>
            </w:r>
          </w:p>
        </w:tc>
      </w:tr>
      <w:tr>
        <w:trPr/>
        <w:tc>
          <w:tcPr>
            <w:tcW w:w="1863" w:type="dxa"/>
          </w:tcPr>
          <w:p>
            <w:pPr>
              <w:pStyle w:val="Compact"/>
              <w:jc w:val="left"/>
            </w:pPr>
            <w:r>
              <w:rPr>
                <w:sz w:val="18"/>
              </w:rPr>
              <w:t xml:space="preserve">Mt. Ascutney Hospital</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Age-Friendly/geriatric COE; CoCM via DHMC; shared C-suite with Valley Regional ($600K savings)</w:t>
            </w:r>
          </w:p>
        </w:tc>
        <w:tc>
          <w:tcPr>
            <w:tcW w:w="2942" w:type="dxa"/>
          </w:tcPr>
          <w:p>
            <w:pPr>
              <w:pStyle w:val="Compact"/>
              <w:jc w:val="left"/>
            </w:pPr>
            <w:r>
              <w:rPr>
                <w:sz w:val="18"/>
              </w:rPr>
              <w:t xml:space="preserve">EMR transition disrupted data; pharmacy/residential-care subsidies</w:t>
            </w:r>
          </w:p>
        </w:tc>
      </w:tr>
      <w:tr>
        <w:trPr/>
        <w:tc>
          <w:tcPr>
            <w:tcW w:w="1863" w:type="dxa"/>
          </w:tcPr>
          <w:p>
            <w:pPr>
              <w:pStyle w:val="Compact"/>
              <w:jc w:val="left"/>
            </w:pPr>
            <w:r>
              <w:rPr>
                <w:sz w:val="18"/>
              </w:rPr>
              <w:t xml:space="preserve">Grace Cottage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$24M primary-care clinic campaign; same-day access; swing beds; ambient AI scribe (Coverys grant)</w:t>
            </w:r>
          </w:p>
        </w:tc>
        <w:tc>
          <w:tcPr>
            <w:tcW w:w="2942" w:type="dxa"/>
          </w:tcPr>
          <w:p>
            <w:pPr>
              <w:pStyle w:val="Compact"/>
              <w:jc w:val="left"/>
            </w:pPr>
            <w:r>
              <w:rPr>
                <w:sz w:val="18"/>
              </w:rPr>
              <w:t xml:space="preserve">Denials cut $76K→$1,274 (FY25); FY24 $4M loss reduced to ~$1M; no DSH</w:t>
            </w:r>
          </w:p>
        </w:tc>
      </w:tr>
      <w:tr>
        <w:trPr>
          <w:cantSplit/>
        </w:trPr>
        <w:tc>
          <w:tcPr>
            <w:tcW w:w="1863" w:type="dxa"/>
          </w:tcPr>
          <w:p>
            <w:pPr>
              <w:pStyle w:val="Compact"/>
              <w:jc w:val="left"/>
            </w:pPr>
            <w:r>
              <w:rPr>
                <w:sz w:val="18"/>
              </w:rPr>
              <w:t xml:space="preserve">Northwestern Medical Center</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Birthing-services retention; shared cardiologist with Copley; oncology</w:t>
            </w:r>
          </w:p>
        </w:tc>
        <w:tc>
          <w:tcPr>
            <w:tcW w:w="2942" w:type="dxa"/>
          </w:tcPr>
          <w:p>
            <w:pPr>
              <w:pStyle w:val="Compact"/>
              <w:jc w:val="left"/>
            </w:pPr>
            <w:r>
              <w:rPr>
                <w:sz w:val="18"/>
              </w:rPr>
              <w:t xml:space="preserve">Marketing-spend questions; schedule unconfirmed as of Jan 2026</w:t>
            </w:r>
          </w:p>
        </w:tc>
      </w:tr>
    </w:tbl>
    <w:p>
      <w:pPr>
        <w:pStyle w:val="Caption"/>
        <w:spacing w:before="280"/>
      </w:pPr>
      <w:r>
        <w:rPr>
          <w:i/>
          <w:iCs/>
        </w:rPr>
        <w:t xml:space="preserve">Figure A.3 — Vermont’s 14 hospitals: typology, grant status, focus, and challenges. Sources: AHS Hospital Tracking data (January 2026); individual transformation plans (January 15, 2026); GMCB FY26 Budget Orders.</w:t>
      </w:r>
    </w:p>
    <w:p>
      <w:pPr>
        <w:pStyle w:val="BodyText"/>
      </w:pPr>
      <w:r>
        <w:t xml:space="preserve">A proposed three-tier network organizes these hospitals as Tier 1 Regional Specialty Centers, Tier 2 Community Hospitals, and Tier 3 Transition-Assessment facilities (see Appendix C for the full Centers-of-Excellence framework).</w:t>
      </w:r>
    </w:p>
    <w:p>
      <w:pPr>
        <w:pStyle w:val="Heading3"/>
      </w:pPr>
      <w:r>
        <w:rPr>
          <w:color w:val="161B22"/>
        </w:rPr>
        <w:t xml:space="preserve">A.4.2  </w:t>
      </w:r>
      <w:bookmarkStart w:id="1458" w:name="_Toc1457"/>
      <w:r>
        <w:rPr>
          <w:b/>
          <w:bCs/>
          <w:color w:val="161B22"/>
        </w:rPr>
        <w:t xml:space="preserve">Patterns in the Data</w:t>
      </w:r>
      <w:bookmarkEnd w:id="1458"/>
    </w:p>
    <w:p>
      <w:pPr>
        <w:pStyle w:val="FirstParagraph"/>
      </w:pPr>
      <w: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pPr>
        <w:pStyle w:val="BodyText"/>
      </w:pPr>
      <w: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pPr>
        <w:pStyle w:val="BodyText"/>
      </w:pPr>
      <w:r>
        <w:t xml:space="preserve">The analytics gap is an operational reality. The AHS Hospital Transformation Analytical Support RFP (late 2025, awarded to McKinsey)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AHEAD’s January 2028 launch requires.</w:t>
      </w:r>
    </w:p>
    <w:p>
      <w:pPr>
        <w:pStyle w:val="Heading2"/>
        <w:pBdr>
          <w:top w:val="single" w:sz="6" w:space="10" w:color="C9D2DF"/>
        </w:pBdr>
        <w:keepNext w:val="false"/>
      </w:pPr>
      <w:r>
        <w:rPr>
          <w:color w:val="161B22"/>
        </w:rPr>
        <w:t xml:space="preserve">A.5  </w:t>
      </w:r>
      <w:bookmarkStart w:id="1459" w:name="_Toc1458"/>
      <w:r>
        <w:rPr>
          <w:b/>
          <w:bCs/>
          <w:color w:val="161B22"/>
        </w:rPr>
        <w:t xml:space="preserve">A.5 The Transformation Plans: A System in Motion</w:t>
      </w:r>
      <w:bookmarkEnd w:id="1459"/>
    </w:p>
    <w:p>
      <w:pPr>
        <w:pStyle w:val="FirstParagraph"/>
        <w:keepNext w:val="false"/>
      </w:pPr>
      <w: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HTRTable"/>
        <w:tblLook w:firstRow="1" w:lastRow="0" w:firstColumn="0" w:lastColumn="0" w:noHBand="0" w:noVBand="1" w:val="0020"/>
        <w:tblW w:w="9072" w:type="dxa"/>
        <w:tblLayout w:type="fixed"/>
      </w:tblPr>
      <w:tblGrid>
        <w:gridCol w:w="3233"/>
        <w:gridCol w:w="449"/>
        <w:gridCol w:w="5389"/>
      </w:tblGrid>
      <w:tr>
        <w:trPr>
          <w:tblHeader w:val="on"/>
          <w:cantSplit/>
        </w:trPr>
        <w:tc>
          <w:tcPr>
            <w:shd w:val="clear" w:color="auto" w:fill="1B3A6B"/>
            <w:tcW w:w="3233" w:type="dxa"/>
          </w:tcPr>
          <w:p>
            <w:pPr>
              <w:pStyle w:val="Compact"/>
              <w:jc w:val="left"/>
            </w:pPr>
            <w:r>
              <w:rPr>
                <w:b/>
                <w:color w:val="FFFFFF"/>
                <w:sz w:val="18"/>
              </w:rPr>
              <w:t xml:space="preserve">Initiative theme</w:t>
            </w:r>
          </w:p>
        </w:tc>
        <w:tc>
          <w:tcPr>
            <w:shd w:val="clear" w:color="auto" w:fill="1B3A6B"/>
            <w:tcW w:w="449" w:type="dxa"/>
          </w:tcPr>
          <w:p>
            <w:pPr>
              <w:pStyle w:val="Compact"/>
              <w:jc w:val="left"/>
            </w:pPr>
            <w:r>
              <w:rPr>
                <w:b/>
                <w:color w:val="FFFFFF"/>
                <w:sz w:val="18"/>
              </w:rPr>
              <w:t xml:space="preserve">Count</w:t>
            </w:r>
          </w:p>
        </w:tc>
        <w:tc>
          <w:tcPr>
            <w:shd w:val="clear" w:color="auto" w:fill="1B3A6B"/>
            <w:tcW w:w="5389" w:type="dxa"/>
          </w:tcPr>
          <w:p>
            <w:pPr>
              <w:pStyle w:val="Compact"/>
              <w:jc w:val="left"/>
            </w:pPr>
            <w:r>
              <w:rPr>
                <w:b/>
                <w:color w:val="FFFFFF"/>
                <w:sz w:val="18"/>
              </w:rPr>
              <w:t xml:space="preserve">Representative examples</w:t>
            </w:r>
          </w:p>
        </w:tc>
      </w:tr>
      <w:tr>
        <w:trPr>
          <w:cantSplit/>
        </w:trPr>
        <w:tc>
          <w:tcPr>
            <w:tcW w:w="3233" w:type="dxa"/>
          </w:tcPr>
          <w:p>
            <w:pPr>
              <w:pStyle w:val="Compact"/>
              <w:jc w:val="left"/>
            </w:pPr>
            <w:r>
              <w:rPr>
                <w:sz w:val="18"/>
              </w:rPr>
              <w:t xml:space="preserve">Clinical service redesign</w:t>
            </w:r>
          </w:p>
        </w:tc>
        <w:tc>
          <w:tcPr>
            <w:tcW w:w="449" w:type="dxa"/>
          </w:tcPr>
          <w:p>
            <w:pPr>
              <w:pStyle w:val="Compact"/>
              <w:jc w:val="left"/>
            </w:pPr>
            <w:r>
              <w:rPr>
                <w:sz w:val="18"/>
              </w:rPr>
              <w:t xml:space="preserve">~55</w:t>
            </w:r>
          </w:p>
        </w:tc>
        <w:tc>
          <w:tcPr>
            <w:tcW w:w="5389" w:type="dxa"/>
          </w:tcPr>
          <w:p>
            <w:pPr>
              <w:pStyle w:val="Compact"/>
              <w:jc w:val="left"/>
            </w:pPr>
            <w:r>
              <w:rPr>
                <w:sz w:val="18"/>
              </w:rPr>
              <w:t xml:space="preserve">SVMC RN Bridge to PCP; BMH MIH formalization; MAHHC Age-Friendly Program; Grace Cottage same-day access; RRMC hospice utilization</w:t>
            </w:r>
          </w:p>
        </w:tc>
      </w:tr>
      <w:tr>
        <w:trPr/>
        <w:tc>
          <w:tcPr>
            <w:tcW w:w="3233" w:type="dxa"/>
          </w:tcPr>
          <w:p>
            <w:pPr>
              <w:pStyle w:val="Compact"/>
              <w:jc w:val="left"/>
            </w:pPr>
            <w:r>
              <w:rPr>
                <w:sz w:val="18"/>
              </w:rPr>
              <w:t xml:space="preserve">Regionalization / transfers</w:t>
            </w:r>
          </w:p>
        </w:tc>
        <w:tc>
          <w:tcPr>
            <w:tcW w:w="449" w:type="dxa"/>
          </w:tcPr>
          <w:p>
            <w:pPr>
              <w:pStyle w:val="Compact"/>
              <w:jc w:val="left"/>
            </w:pPr>
            <w:r>
              <w:rPr>
                <w:sz w:val="18"/>
              </w:rPr>
              <w:t xml:space="preserve">~20</w:t>
            </w:r>
          </w:p>
        </w:tc>
        <w:tc>
          <w:tcPr>
            <w:tcW w:w="5389" w:type="dxa"/>
          </w:tcPr>
          <w:p>
            <w:pPr>
              <w:pStyle w:val="Compact"/>
              <w:jc w:val="left"/>
            </w:pPr>
            <w:r>
              <w:rPr>
                <w:sz w:val="18"/>
              </w:rPr>
              <w:t xml:space="preserve">NCH–NVRH shared planning; Gifford transfers with UVMMC/DHMC; MAHHC shared leadership with Valley Regional; SVMC–RRMC service lines</w:t>
            </w:r>
          </w:p>
        </w:tc>
      </w:tr>
      <w:tr>
        <w:trPr/>
        <w:tc>
          <w:tcPr>
            <w:tcW w:w="3233" w:type="dxa"/>
          </w:tcPr>
          <w:p>
            <w:pPr>
              <w:pStyle w:val="Compact"/>
              <w:jc w:val="left"/>
            </w:pPr>
            <w:r>
              <w:rPr>
                <w:sz w:val="18"/>
              </w:rPr>
              <w:t xml:space="preserve">Workforce development</w:t>
            </w:r>
          </w:p>
        </w:tc>
        <w:tc>
          <w:tcPr>
            <w:tcW w:w="449" w:type="dxa"/>
          </w:tcPr>
          <w:p>
            <w:pPr>
              <w:pStyle w:val="Compact"/>
              <w:jc w:val="left"/>
            </w:pPr>
            <w:r>
              <w:rPr>
                <w:sz w:val="18"/>
              </w:rPr>
              <w:t xml:space="preserve">~25</w:t>
            </w:r>
          </w:p>
        </w:tc>
        <w:tc>
          <w:tcPr>
            <w:tcW w:w="5389" w:type="dxa"/>
          </w:tcPr>
          <w:p>
            <w:pPr>
              <w:pStyle w:val="Compact"/>
              <w:jc w:val="left"/>
            </w:pPr>
            <w:r>
              <w:rPr>
                <w:sz w:val="18"/>
              </w:rPr>
              <w:t xml:space="preserve">MAHHC Nursing Pathways ($190K, two cohorts); SVMC</w:t>
            </w:r>
            <w:r>
              <w:rPr>
                <w:sz w:val="18"/>
              </w:rPr>
              <w:t xml:space="preserve"> </w:t>
            </w:r>
            <w:r>
              <w:rPr>
                <w:sz w:val="18"/>
              </w:rPr>
              <w:t xml:space="preserve">“grow our own”</w:t>
            </w:r>
            <w:r>
              <w:rPr>
                <w:sz w:val="18"/>
              </w:rPr>
              <w:t xml:space="preserve"> </w:t>
            </w:r>
            <w:r>
              <w:rPr>
                <w:sz w:val="18"/>
              </w:rPr>
              <w:t xml:space="preserve">RN pipeline; Grace Cottage travel-nurse near-elimination; MAHHC SANE capacity</w:t>
            </w:r>
          </w:p>
        </w:tc>
      </w:tr>
      <w:tr>
        <w:trPr/>
        <w:tc>
          <w:tcPr>
            <w:tcW w:w="3233" w:type="dxa"/>
          </w:tcPr>
          <w:p>
            <w:pPr>
              <w:pStyle w:val="Compact"/>
              <w:jc w:val="left"/>
            </w:pPr>
            <w:r>
              <w:rPr>
                <w:sz w:val="18"/>
              </w:rPr>
              <w:t xml:space="preserve">Technology and data</w:t>
            </w:r>
          </w:p>
        </w:tc>
        <w:tc>
          <w:tcPr>
            <w:tcW w:w="449" w:type="dxa"/>
          </w:tcPr>
          <w:p>
            <w:pPr>
              <w:pStyle w:val="Compact"/>
              <w:jc w:val="left"/>
            </w:pPr>
            <w:r>
              <w:rPr>
                <w:sz w:val="18"/>
              </w:rPr>
              <w:t xml:space="preserve">~20</w:t>
            </w:r>
          </w:p>
        </w:tc>
        <w:tc>
          <w:tcPr>
            <w:tcW w:w="5389" w:type="dxa"/>
          </w:tcPr>
          <w:p>
            <w:pPr>
              <w:pStyle w:val="Compact"/>
              <w:jc w:val="left"/>
            </w:pPr>
            <w:r>
              <w:rPr>
                <w:sz w:val="18"/>
              </w:rPr>
              <w:t xml:space="preserve">SVMC Epic migration ($30M); CVMC/Porter acuity tech; Grace Cottage EMR interfaces and ambient AI scribe</w:t>
            </w:r>
          </w:p>
        </w:tc>
      </w:tr>
      <w:tr>
        <w:trPr/>
        <w:tc>
          <w:tcPr>
            <w:tcW w:w="3233" w:type="dxa"/>
          </w:tcPr>
          <w:p>
            <w:pPr>
              <w:pStyle w:val="Compact"/>
              <w:jc w:val="left"/>
            </w:pPr>
            <w:r>
              <w:rPr>
                <w:sz w:val="18"/>
              </w:rPr>
              <w:t xml:space="preserve">Shared purchasing / efficiency</w:t>
            </w:r>
          </w:p>
        </w:tc>
        <w:tc>
          <w:tcPr>
            <w:tcW w:w="449" w:type="dxa"/>
          </w:tcPr>
          <w:p>
            <w:pPr>
              <w:pStyle w:val="Compact"/>
              <w:jc w:val="left"/>
            </w:pPr>
            <w:r>
              <w:rPr>
                <w:sz w:val="18"/>
              </w:rPr>
              <w:t xml:space="preserve">~15</w:t>
            </w:r>
          </w:p>
        </w:tc>
        <w:tc>
          <w:tcPr>
            <w:tcW w:w="5389" w:type="dxa"/>
          </w:tcPr>
          <w:p>
            <w:pPr>
              <w:pStyle w:val="Compact"/>
              <w:jc w:val="left"/>
            </w:pPr>
            <w:r>
              <w:rPr>
                <w:sz w:val="18"/>
              </w:rPr>
              <w:t xml:space="preserve">NECHN GPO (Gifford ~$793K savings); captive insurance pool; MAHHC–Valley Regional shared C-suite ($600K/yr)</w:t>
            </w:r>
          </w:p>
        </w:tc>
      </w:tr>
      <w:tr>
        <w:trPr>
          <w:cantSplit/>
        </w:trPr>
        <w:tc>
          <w:tcPr>
            <w:tcW w:w="3233" w:type="dxa"/>
          </w:tcPr>
          <w:p>
            <w:pPr>
              <w:pStyle w:val="Compact"/>
              <w:jc w:val="left"/>
            </w:pPr>
            <w:r>
              <w:rPr>
                <w:sz w:val="18"/>
              </w:rPr>
              <w:t xml:space="preserve">Value-based care / payment alignment</w:t>
            </w:r>
          </w:p>
        </w:tc>
        <w:tc>
          <w:tcPr>
            <w:tcW w:w="449" w:type="dxa"/>
          </w:tcPr>
          <w:p>
            <w:pPr>
              <w:pStyle w:val="Compact"/>
              <w:jc w:val="left"/>
            </w:pPr>
            <w:r>
              <w:rPr>
                <w:sz w:val="18"/>
              </w:rPr>
              <w:t xml:space="preserve">~13</w:t>
            </w:r>
          </w:p>
        </w:tc>
        <w:tc>
          <w:tcPr>
            <w:tcW w:w="5389" w:type="dxa"/>
          </w:tcPr>
          <w:p>
            <w:pPr>
              <w:pStyle w:val="Compact"/>
              <w:jc w:val="left"/>
            </w:pPr>
            <w:r>
              <w:rPr>
                <w:sz w:val="18"/>
              </w:rPr>
              <w:t xml:space="preserve">SVMC Belong Health MSSP ACO (2026); SVMC Medicaid global budget; Grace Cottage ACO + VATICA; Gifford FQHC expansion</w:t>
            </w:r>
          </w:p>
        </w:tc>
      </w:tr>
    </w:tbl>
    <w:p>
      <w:pPr>
        <w:pStyle w:val="Caption"/>
        <w:spacing w:before="280"/>
      </w:pPr>
      <w:r>
        <w:rPr>
          <w:i/>
          <w:iCs/>
        </w:rPr>
        <w:t xml:space="preserve">Figure A.4 — Vermont hospital transformation initiative themes, January 2026 (148 initiatives). Source: AHS Transformation Plans Analysis (January 2026).</w:t>
      </w:r>
    </w:p>
    <w:p>
      <w:pPr>
        <w:pStyle w:val="BodyText"/>
      </w:pPr>
      <w: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and a 5-star National Rural Health Star Rating,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pPr>
        <w:pStyle w:val="BodyText"/>
      </w:pPr>
      <w:r>
        <w:t xml:space="preserve">What the plans reveal about constraints. Interoperability remains solved only on paper — Grace Cottage’s plan describes a process</w:t>
      </w:r>
      <w:r>
        <w:t xml:space="preserve"> </w:t>
      </w:r>
      <w:r>
        <w:t xml:space="preserve">“from order to completion [that] is arduous and full of administrative waste,”</w:t>
      </w:r>
      <w:r>
        <w:t xml:space="preserve"> </w:t>
      </w:r>
      <w:r>
        <w:t xml:space="preserve">relying on</w:t>
      </w:r>
      <w:r>
        <w:t xml:space="preserve"> </w:t>
      </w:r>
      <w:r>
        <w:t xml:space="preserve">“antiquated and insecure technologies”</w:t>
      </w:r>
      <w:r>
        <w:t xml:space="preserve"> </w:t>
      </w:r>
      <w:r>
        <w:t xml:space="preserve">because secure interoperability does not yet connect Vermont’s system.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pPr>
        <w:pStyle w:val="Heading2"/>
        <w:pBdr>
          <w:top w:val="single" w:sz="6" w:space="10" w:color="C9D2DF"/>
        </w:pBdr>
      </w:pPr>
      <w:r>
        <w:rPr>
          <w:color w:val="161B22"/>
        </w:rPr>
        <w:t xml:space="preserve">A.6  </w:t>
      </w:r>
      <w:bookmarkStart w:id="1460" w:name="_Toc1459"/>
      <w:r>
        <w:rPr>
          <w:b/>
          <w:bCs/>
          <w:color w:val="161B22"/>
        </w:rPr>
        <w:t xml:space="preserve">A.6 The Insurance and Premium Crisis</w:t>
      </w:r>
      <w:bookmarkEnd w:id="1460"/>
    </w:p>
    <w:p>
      <w:pPr>
        <w:pStyle w:val="FirstParagraph"/>
      </w:pPr>
      <w: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and out-of-pocket maximums more than doubled.</w:t>
      </w:r>
    </w:p>
    <w:p>
      <w:pPr>
        <w:pStyle w:val="BodyText"/>
      </w:pPr>
      <w:r>
        <w:t xml:space="preserve">The mechanism is not complicated. Vermont hospitals charge commercial insurers 250–300% of Medicare on average; UVMMC charged roughly 417% of Medicare for outpatient services in 2022. These prices — which bear no relationship to quality — translate directly into premiums. This is what reference-based pricing is designed to address, and why Act 68’s RBP mandate is the most consequential health-policy legislation Vermont has passed since Act 48 created the GMCB in 2011.</w:t>
      </w:r>
    </w:p>
    <w:p>
      <w:pPr>
        <w:pStyle w:val="Heading2"/>
        <w:pBdr>
          <w:top w:val="single" w:sz="6" w:space="10" w:color="C9D2DF"/>
        </w:pBdr>
      </w:pPr>
      <w:r>
        <w:rPr>
          <w:color w:val="161B22"/>
        </w:rPr>
        <w:t xml:space="preserve">A.7  </w:t>
      </w:r>
      <w:bookmarkStart w:id="1461" w:name="_Toc1460"/>
      <w:r>
        <w:rPr>
          <w:b/>
          <w:bCs/>
          <w:color w:val="161B22"/>
        </w:rPr>
        <w:t xml:space="preserve">A.7 Healthcare Workforce</w:t>
      </w:r>
      <w:bookmarkEnd w:id="1461"/>
    </w:p>
    <w:p>
      <w:pPr>
        <w:pStyle w:val="FirstParagraph"/>
      </w:pPr>
      <w:r>
        <w:t xml:space="preserve">Vermont’s workforce faces a triple constraint no single intervention resolves. The primary-care shortage is the most immediately actionable: the RHT application projects a 370-FTE primary-care shortfall by 2030 (112 family medicine, 190 other). Oliver Wyman offered an important qualification — HRSA recognizes no Health Profession Shortage Areas in Vermont;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second-highest per-capita homelessness rate in the country mean recruited clinicians may be unable to find affordable housing near the hospital. Oliver Wyman’s first imperative — build housing and fix transportation — is a workforce policy as much as a social one.</w:t>
      </w:r>
    </w:p>
    <w:p>
      <w:pPr>
        <w:pStyle w:val="Heading2"/>
        <w:pBdr>
          <w:top w:val="single" w:sz="6" w:space="10" w:color="C9D2DF"/>
        </w:pBdr>
      </w:pPr>
      <w:r>
        <w:rPr>
          <w:color w:val="161B22"/>
        </w:rPr>
        <w:t xml:space="preserve">A.8  </w:t>
      </w:r>
      <w:bookmarkStart w:id="1462" w:name="_Toc1461"/>
      <w:r>
        <w:rPr>
          <w:b/>
          <w:bCs/>
          <w:color w:val="161B22"/>
        </w:rPr>
        <w:t xml:space="preserve">A.8 Clinical Quality Indicators</w:t>
      </w:r>
      <w:bookmarkEnd w:id="1462"/>
    </w:p>
    <w:p>
      <w:pPr>
        <w:pStyle w:val="FirstParagraph"/>
      </w:pPr>
      <w:r>
        <w:t xml:space="preserve">Vermont’s quality performance reflects both the strengths of a high-coverage, primary-care-oriented system and the gaps that demographic and geographic disadvantage produce. The Blueprint for Health generated a 5.8:1 return on its primary-care investment — among the most robust ROI findings in the VBC literature — and provides the clinical infrastructure on which AHEAD’s primary-care redesign builds. Vermont’s 11-point white/BIPOC primary-care access gap, the Northeast Kingdom’s elevated chronic-disease burden, and rural–urban behavioral-health disparities are the equity targets the transformation agenda must measure against (see Chapter 1 for the full equity-analytics framework).</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p>
    <w:p>
      <w:r>
        <w:br w:type="page"/>
      </w:r>
    </w:p>
    <w:p>
      <w:pPr>
        <w:pStyle w:val="Heading1"/>
        <w:keepNext w:val="false"/>
      </w:pPr>
      <w:bookmarkStart w:id="1463" w:name="_Toc1462"/>
      <w:r>
        <w:rPr>
          <w:b/>
          <w:bCs/>
          <w:color w:val="161B22"/>
        </w:rPr>
        <w:t xml:space="preserve">Appendix B — Act 68 Statutory Timeline and Milestones</w:t>
      </w:r>
      <w:bookmarkEnd w:id="1463"/>
    </w:p>
    <w:p>
      <w:pPr>
        <w:pStyle w:val="FirstParagraph"/>
        <w:keepNext w:val="false"/>
      </w:pPr>
      <w: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HTRTable"/>
        <w:tblLook w:firstRow="1" w:lastRow="0" w:firstColumn="0" w:lastColumn="0" w:noHBand="0" w:noVBand="1" w:val="0020"/>
        <w:tblW w:w="9072" w:type="dxa"/>
        <w:tblLayout w:type="fixed"/>
      </w:tblPr>
      <w:tblGrid>
        <w:gridCol w:w="1256"/>
        <w:gridCol w:w="3279"/>
        <w:gridCol w:w="1256"/>
        <w:gridCol w:w="3279"/>
      </w:tblGrid>
      <w:tr>
        <w:trPr>
          <w:tblHeader w:val="on"/>
          <w:cantSplit/>
        </w:trPr>
        <w:tc>
          <w:tcPr>
            <w:shd w:val="clear" w:color="auto" w:fill="1B3A6B"/>
            <w:tcW w:w="1256" w:type="dxa"/>
          </w:tcPr>
          <w:p>
            <w:pPr>
              <w:pStyle w:val="Compact"/>
              <w:jc w:val="left"/>
            </w:pPr>
            <w:r>
              <w:rPr>
                <w:b/>
                <w:color w:val="FFFFFF"/>
                <w:sz w:val="18"/>
              </w:rPr>
              <w:t xml:space="preserve">Date / deadline</w:t>
            </w:r>
          </w:p>
        </w:tc>
        <w:tc>
          <w:tcPr>
            <w:shd w:val="clear" w:color="auto" w:fill="1B3A6B"/>
            <w:tcW w:w="3279" w:type="dxa"/>
          </w:tcPr>
          <w:p>
            <w:pPr>
              <w:pStyle w:val="Compact"/>
              <w:jc w:val="left"/>
            </w:pPr>
            <w:r>
              <w:rPr>
                <w:b/>
                <w:color w:val="FFFFFF"/>
                <w:sz w:val="18"/>
              </w:rPr>
              <w:t xml:space="preserve">Statutory requirement</w:t>
            </w:r>
          </w:p>
        </w:tc>
        <w:tc>
          <w:tcPr>
            <w:shd w:val="clear" w:color="auto" w:fill="1B3A6B"/>
            <w:tcW w:w="1256" w:type="dxa"/>
          </w:tcPr>
          <w:p>
            <w:pPr>
              <w:pStyle w:val="Compact"/>
              <w:jc w:val="left"/>
            </w:pPr>
            <w:r>
              <w:rPr>
                <w:b/>
                <w:color w:val="FFFFFF"/>
                <w:sz w:val="18"/>
              </w:rPr>
              <w:t xml:space="preserve">Primary authority</w:t>
            </w:r>
          </w:p>
        </w:tc>
        <w:tc>
          <w:tcPr>
            <w:shd w:val="clear" w:color="auto" w:fill="1B3A6B"/>
            <w:tcW w:w="3279" w:type="dxa"/>
          </w:tcPr>
          <w:p>
            <w:pPr>
              <w:pStyle w:val="Compact"/>
              <w:jc w:val="left"/>
            </w:pPr>
            <w:r>
              <w:rPr>
                <w:b/>
                <w:color w:val="FFFFFF"/>
                <w:sz w:val="18"/>
              </w:rPr>
              <w:t xml:space="preserve">Status (April 2026)</w:t>
            </w:r>
          </w:p>
        </w:tc>
      </w:tr>
      <w:tr>
        <w:trPr>
          <w:cantSplit/>
        </w:trPr>
        <w:tc>
          <w:tcPr>
            <w:tcW w:w="1256" w:type="dxa"/>
          </w:tcPr>
          <w:p>
            <w:pPr>
              <w:pStyle w:val="Compact"/>
              <w:jc w:val="left"/>
            </w:pPr>
            <w:r>
              <w:rPr>
                <w:sz w:val="18"/>
              </w:rPr>
              <w:t xml:space="preserve">January 1, 2026</w:t>
            </w:r>
          </w:p>
        </w:tc>
        <w:tc>
          <w:tcPr>
            <w:tcW w:w="3279" w:type="dxa"/>
          </w:tcPr>
          <w:p>
            <w:pPr>
              <w:pStyle w:val="Compact"/>
              <w:jc w:val="left"/>
            </w:pPr>
            <w:r>
              <w:rPr>
                <w:sz w:val="18"/>
              </w:rPr>
              <w:t xml:space="preserve">AHEAD Medicaid global budgets begin (Cohort 2 preparation; Medicaid alignment)</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Operational — Medicaid HGB in effect</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Hospital budget orders implementing −1% commercial-rate benchmark</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In effect — $94.58M in FY2026 reductions ordered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$2M Act 68 transformation grants to hospitals (HIT fund)</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Launched September 2025 — all eligible hospitals applied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Act 55 drug-pricing cap ($135M savings target)</w:t>
            </w:r>
          </w:p>
        </w:tc>
        <w:tc>
          <w:tcPr>
            <w:tcW w:w="1256" w:type="dxa"/>
          </w:tcPr>
          <w:p>
            <w:pPr>
              <w:pStyle w:val="Compact"/>
              <w:jc w:val="left"/>
            </w:pPr>
            <w:r>
              <w:rPr>
                <w:sz w:val="18"/>
              </w:rPr>
              <w:t xml:space="preserve">GMCB / DFR</w:t>
            </w:r>
          </w:p>
        </w:tc>
        <w:tc>
          <w:tcPr>
            <w:tcW w:w="3279" w:type="dxa"/>
          </w:tcPr>
          <w:p>
            <w:pPr>
              <w:pStyle w:val="Compact"/>
              <w:jc w:val="left"/>
            </w:pPr>
            <w:r>
              <w:rPr>
                <w:sz w:val="18"/>
              </w:rPr>
              <w:t xml:space="preserve">In effect — $104.3M in FY2026 drug-cap savings</w:t>
            </w:r>
          </w:p>
        </w:tc>
      </w:tr>
      <w:tr>
        <w:trPr/>
        <w:tc>
          <w:tcPr>
            <w:tcW w:w="1256" w:type="dxa"/>
          </w:tcPr>
          <w:p>
            <w:pPr>
              <w:pStyle w:val="Compact"/>
              <w:jc w:val="left"/>
            </w:pPr>
            <w:r>
              <w:rPr>
                <w:sz w:val="18"/>
              </w:rPr>
              <w:t xml:space="preserve">Early 2026</w:t>
            </w:r>
          </w:p>
        </w:tc>
        <w:tc>
          <w:tcPr>
            <w:tcW w:w="3279" w:type="dxa"/>
          </w:tcPr>
          <w:p>
            <w:pPr>
              <w:pStyle w:val="Compact"/>
              <w:jc w:val="left"/>
            </w:pPr>
            <w:r>
              <w:rPr>
                <w:sz w:val="18"/>
              </w:rPr>
              <w:t xml:space="preserve">Final hospital Care Transformation Plans approved by AHS</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In progress — hospitals in draft-plan phase</w:t>
            </w:r>
          </w:p>
        </w:tc>
      </w:tr>
      <w:tr>
        <w:trPr/>
        <w:tc>
          <w:tcPr>
            <w:tcW w:w="1256" w:type="dxa"/>
          </w:tcPr>
          <w:p>
            <w:pPr>
              <w:pStyle w:val="Compact"/>
              <w:jc w:val="left"/>
            </w:pPr>
            <w:r>
              <w:rPr>
                <w:sz w:val="18"/>
              </w:rPr>
              <w:t xml:space="preserve">May 2026</w:t>
            </w:r>
          </w:p>
        </w:tc>
        <w:tc>
          <w:tcPr>
            <w:tcW w:w="3279" w:type="dxa"/>
          </w:tcPr>
          <w:p>
            <w:pPr>
              <w:pStyle w:val="Compact"/>
              <w:jc w:val="left"/>
            </w:pPr>
            <w:r>
              <w:rPr>
                <w:sz w:val="18"/>
              </w:rPr>
              <w:t xml:space="preserve">BALANCE Model GLP-1 Medicaid launch (voluntary state participation)</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DVHA participation decision pending</w:t>
            </w:r>
          </w:p>
        </w:tc>
      </w:tr>
      <w:tr>
        <w:trPr/>
        <w:tc>
          <w:tcPr>
            <w:tcW w:w="1256" w:type="dxa"/>
          </w:tcPr>
          <w:p>
            <w:pPr>
              <w:pStyle w:val="Compact"/>
              <w:jc w:val="left"/>
            </w:pPr>
            <w:r>
              <w:rPr>
                <w:sz w:val="18"/>
              </w:rPr>
              <w:t xml:space="preserve">July 1, 2026</w:t>
            </w:r>
          </w:p>
        </w:tc>
        <w:tc>
          <w:tcPr>
            <w:tcW w:w="3279" w:type="dxa"/>
          </w:tcPr>
          <w:p>
            <w:pPr>
              <w:pStyle w:val="Compact"/>
              <w:jc w:val="left"/>
            </w:pPr>
            <w:r>
              <w:rPr>
                <w:sz w:val="18"/>
              </w:rPr>
              <w:t xml:space="preserve">Five new CCBHC entities certified (RHT target)</w:t>
            </w:r>
          </w:p>
        </w:tc>
        <w:tc>
          <w:tcPr>
            <w:tcW w:w="1256" w:type="dxa"/>
          </w:tcPr>
          <w:p>
            <w:pPr>
              <w:pStyle w:val="Compact"/>
              <w:jc w:val="left"/>
            </w:pPr>
            <w:r>
              <w:rPr>
                <w:sz w:val="18"/>
              </w:rPr>
              <w:t xml:space="preserve">AHS / DMH</w:t>
            </w:r>
          </w:p>
        </w:tc>
        <w:tc>
          <w:tcPr>
            <w:tcW w:w="3279" w:type="dxa"/>
          </w:tcPr>
          <w:p>
            <w:pPr>
              <w:pStyle w:val="Compact"/>
              <w:jc w:val="left"/>
            </w:pPr>
            <w:r>
              <w:rPr>
                <w:sz w:val="18"/>
              </w:rPr>
              <w:t xml:space="preserve">On track per RHT schedule</w:t>
            </w:r>
          </w:p>
        </w:tc>
      </w:tr>
      <w:tr>
        <w:trPr/>
        <w:tc>
          <w:tcPr>
            <w:tcW w:w="1256" w:type="dxa"/>
          </w:tcPr>
          <w:p>
            <w:pPr>
              <w:pStyle w:val="Compact"/>
              <w:jc w:val="left"/>
            </w:pPr>
            <w:r>
              <w:rPr>
                <w:sz w:val="18"/>
              </w:rPr>
              <w:t xml:space="preserve">July 2026</w:t>
            </w:r>
          </w:p>
        </w:tc>
        <w:tc>
          <w:tcPr>
            <w:tcW w:w="3279" w:type="dxa"/>
          </w:tcPr>
          <w:p>
            <w:pPr>
              <w:pStyle w:val="Compact"/>
              <w:jc w:val="left"/>
            </w:pPr>
            <w:r>
              <w:rPr>
                <w:sz w:val="18"/>
              </w:rPr>
              <w:t xml:space="preserve">Medicare GLP-1 Bridge demonstration launches ($50/month co-pay)</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 — Vermont Medicare beneficiaries eligible</w:t>
            </w:r>
          </w:p>
        </w:tc>
      </w:tr>
      <w:tr>
        <w:trPr/>
        <w:tc>
          <w:tcPr>
            <w:tcW w:w="1256" w:type="dxa"/>
          </w:tcPr>
          <w:p>
            <w:pPr>
              <w:pStyle w:val="Compact"/>
              <w:jc w:val="left"/>
            </w:pPr>
            <w:r>
              <w:rPr>
                <w:sz w:val="18"/>
              </w:rPr>
              <w:t xml:space="preserve">FY2027 (Oct 1, 2026)</w:t>
            </w:r>
          </w:p>
        </w:tc>
        <w:tc>
          <w:tcPr>
            <w:tcW w:w="3279" w:type="dxa"/>
          </w:tcPr>
          <w:p>
            <w:pPr>
              <w:pStyle w:val="Compact"/>
              <w:jc w:val="left"/>
            </w:pPr>
            <w:r>
              <w:rPr>
                <w:sz w:val="18"/>
              </w:rPr>
              <w:t xml:space="preserve">Reference-based pricing mandatory for commercial payers — maximum rates set by GMCB</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and vendor procurement underway</w:t>
            </w:r>
          </w:p>
        </w:tc>
      </w:tr>
      <w:tr>
        <w:trPr/>
        <w:tc>
          <w:tcPr>
            <w:tcW w:w="1256" w:type="dxa"/>
          </w:tcPr>
          <w:p>
            <w:pPr>
              <w:pStyle w:val="Compact"/>
              <w:jc w:val="left"/>
            </w:pPr>
            <w:r>
              <w:rPr>
                <w:sz w:val="18"/>
              </w:rPr>
              <w:t xml:space="preserve">January 1, 2028</w:t>
            </w:r>
          </w:p>
        </w:tc>
        <w:tc>
          <w:tcPr>
            <w:tcW w:w="3279" w:type="dxa"/>
          </w:tcPr>
          <w:p>
            <w:pPr>
              <w:pStyle w:val="Compact"/>
              <w:jc w:val="left"/>
            </w:pPr>
            <w:r>
              <w:rPr>
                <w:sz w:val="18"/>
              </w:rPr>
              <w:t xml:space="preserve">AHEAD Cohort 2 begins — Medicare FFS global budgets</w:t>
            </w:r>
          </w:p>
        </w:tc>
        <w:tc>
          <w:tcPr>
            <w:tcW w:w="1256" w:type="dxa"/>
          </w:tcPr>
          <w:p>
            <w:pPr>
              <w:pStyle w:val="Compact"/>
              <w:jc w:val="left"/>
            </w:pPr>
            <w:r>
              <w:rPr>
                <w:sz w:val="18"/>
              </w:rPr>
              <w:t xml:space="preserve">AHS / DVHA / GMCB / CMS</w:t>
            </w:r>
          </w:p>
        </w:tc>
        <w:tc>
          <w:tcPr>
            <w:tcW w:w="3279" w:type="dxa"/>
          </w:tcPr>
          <w:p>
            <w:pPr>
              <w:pStyle w:val="Compact"/>
              <w:jc w:val="left"/>
            </w:pPr>
            <w:r>
              <w:rPr>
                <w:sz w:val="18"/>
              </w:rPr>
              <w:t xml:space="preserve">Nine-year model; Primary Care AHEAD and global budgets launch</w:t>
            </w:r>
          </w:p>
        </w:tc>
      </w:tr>
      <w:tr>
        <w:trPr/>
        <w:tc>
          <w:tcPr>
            <w:tcW w:w="1256" w:type="dxa"/>
          </w:tcPr>
          <w:p>
            <w:pPr>
              <w:pStyle w:val="Compact"/>
              <w:jc w:val="left"/>
            </w:pPr>
            <w:r>
              <w:rPr>
                <w:sz w:val="18"/>
              </w:rPr>
              <w:t xml:space="preserve">January 2028</w:t>
            </w:r>
          </w:p>
        </w:tc>
        <w:tc>
          <w:tcPr>
            <w:tcW w:w="3279" w:type="dxa"/>
          </w:tcPr>
          <w:p>
            <w:pPr>
              <w:pStyle w:val="Compact"/>
              <w:jc w:val="left"/>
            </w:pPr>
            <w:r>
              <w:rPr>
                <w:sz w:val="18"/>
              </w:rPr>
              <w:t xml:space="preserve">BALANCE Model Medicare Part D coverage launches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FY2028 (Oct 1, 2027)</w:t>
            </w:r>
          </w:p>
        </w:tc>
        <w:tc>
          <w:tcPr>
            <w:tcW w:w="3279" w:type="dxa"/>
          </w:tcPr>
          <w:p>
            <w:pPr>
              <w:pStyle w:val="Compact"/>
              <w:jc w:val="left"/>
            </w:pPr>
            <w:r>
              <w:rPr>
                <w:sz w:val="18"/>
              </w:rPr>
              <w:t xml:space="preserve">Global budgets for non-CAH (PPS) hospitals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under development; AHEAD alignment required</w:t>
            </w:r>
          </w:p>
        </w:tc>
      </w:tr>
      <w:tr>
        <w:trPr/>
        <w:tc>
          <w:tcPr>
            <w:tcW w:w="1256" w:type="dxa"/>
          </w:tcPr>
          <w:p>
            <w:pPr>
              <w:pStyle w:val="Compact"/>
              <w:jc w:val="left"/>
            </w:pPr>
            <w:r>
              <w:rPr>
                <w:sz w:val="18"/>
              </w:rPr>
              <w:t xml:space="preserve">December 1, 2028</w:t>
            </w:r>
          </w:p>
        </w:tc>
        <w:tc>
          <w:tcPr>
            <w:tcW w:w="3279" w:type="dxa"/>
          </w:tcPr>
          <w:p>
            <w:pPr>
              <w:pStyle w:val="Compact"/>
              <w:jc w:val="left"/>
            </w:pPr>
            <w:r>
              <w:rPr>
                <w:sz w:val="18"/>
              </w:rPr>
              <w:t xml:space="preserve">Statewide Strategic Plan delivered to legislature</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In planning — development begins 2026</w:t>
            </w:r>
          </w:p>
        </w:tc>
      </w:tr>
      <w:tr>
        <w:trPr/>
        <w:tc>
          <w:tcPr>
            <w:tcW w:w="1256" w:type="dxa"/>
          </w:tcPr>
          <w:p>
            <w:pPr>
              <w:pStyle w:val="Compact"/>
              <w:jc w:val="left"/>
            </w:pPr>
            <w:r>
              <w:rPr>
                <w:sz w:val="18"/>
              </w:rPr>
              <w:t xml:space="preserve">FY2030 (Oct 1, 2029)</w:t>
            </w:r>
          </w:p>
        </w:tc>
        <w:tc>
          <w:tcPr>
            <w:tcW w:w="3279" w:type="dxa"/>
          </w:tcPr>
          <w:p>
            <w:pPr>
              <w:pStyle w:val="Compact"/>
              <w:jc w:val="left"/>
            </w:pPr>
            <w:r>
              <w:rPr>
                <w:sz w:val="18"/>
              </w:rPr>
              <w:t xml:space="preserve">Global budgets for ALL hospitals including CAHs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Final phase of global-budget implementation</w:t>
            </w:r>
          </w:p>
        </w:tc>
      </w:tr>
      <w:tr>
        <w:trPr/>
        <w:tc>
          <w:tcPr>
            <w:tcW w:w="1256" w:type="dxa"/>
          </w:tcPr>
          <w:p>
            <w:pPr>
              <w:pStyle w:val="Compact"/>
              <w:jc w:val="left"/>
            </w:pPr>
            <w:r>
              <w:rPr>
                <w:sz w:val="18"/>
              </w:rPr>
              <w:t xml:space="preserve">December 2031</w:t>
            </w:r>
          </w:p>
        </w:tc>
        <w:tc>
          <w:tcPr>
            <w:tcW w:w="3279" w:type="dxa"/>
          </w:tcPr>
          <w:p>
            <w:pPr>
              <w:pStyle w:val="Compact"/>
              <w:jc w:val="left"/>
            </w:pPr>
            <w:r>
              <w:rPr>
                <w:sz w:val="18"/>
              </w:rPr>
              <w:t xml:space="preserve">BALANCE Model testing concludes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October 1, 2032</w:t>
            </w:r>
          </w:p>
        </w:tc>
        <w:tc>
          <w:tcPr>
            <w:tcW w:w="3279" w:type="dxa"/>
          </w:tcPr>
          <w:p>
            <w:pPr>
              <w:pStyle w:val="Compact"/>
              <w:jc w:val="left"/>
            </w:pPr>
            <w:r>
              <w:rPr>
                <w:sz w:val="18"/>
              </w:rPr>
              <w:t xml:space="preserve">All RHT Program funds must be spent</w:t>
            </w:r>
          </w:p>
        </w:tc>
        <w:tc>
          <w:tcPr>
            <w:tcW w:w="1256" w:type="dxa"/>
          </w:tcPr>
          <w:p>
            <w:pPr>
              <w:pStyle w:val="Compact"/>
              <w:jc w:val="left"/>
            </w:pPr>
            <w:r>
              <w:rPr>
                <w:sz w:val="18"/>
              </w:rPr>
              <w:t xml:space="preserve">AHS / CMS</w:t>
            </w:r>
          </w:p>
        </w:tc>
        <w:tc>
          <w:tcPr>
            <w:tcW w:w="3279" w:type="dxa"/>
          </w:tcPr>
          <w:p>
            <w:pPr>
              <w:pStyle w:val="Compact"/>
              <w:jc w:val="left"/>
            </w:pPr>
            <w:r>
              <w:rPr>
                <w:sz w:val="18"/>
              </w:rPr>
              <w:t xml:space="preserve">$195M award; spending window 2026–2032</w:t>
            </w:r>
          </w:p>
        </w:tc>
      </w:tr>
      <w:tr>
        <w:trPr>
          <w:cantSplit/>
        </w:trPr>
        <w:tc>
          <w:tcPr>
            <w:tcW w:w="1256" w:type="dxa"/>
          </w:tcPr>
          <w:p>
            <w:pPr>
              <w:pStyle w:val="Compact"/>
              <w:jc w:val="left"/>
            </w:pPr>
            <w:r>
              <w:rPr>
                <w:sz w:val="18"/>
              </w:rPr>
              <w:t xml:space="preserve">Every 3 years from 2028</w:t>
            </w:r>
          </w:p>
        </w:tc>
        <w:tc>
          <w:tcPr>
            <w:tcW w:w="3279" w:type="dxa"/>
          </w:tcPr>
          <w:p>
            <w:pPr>
              <w:pStyle w:val="Compact"/>
              <w:jc w:val="left"/>
            </w:pPr>
            <w:r>
              <w:rPr>
                <w:sz w:val="18"/>
              </w:rPr>
              <w:t xml:space="preserve">Statewide Strategic Plan updated</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Ongoing statutory obligation</w:t>
            </w:r>
          </w:p>
        </w:tc>
      </w:tr>
    </w:tbl>
    <w:p>
      <w:pPr>
        <w:pStyle w:val="Caption"/>
        <w:spacing w:before="280"/>
      </w:pPr>
      <w:r>
        <w:rPr>
          <w:i/>
          <w:iCs/>
        </w:rPr>
        <w:t xml:space="preserve">Figure B.1 — Act 68 statutory timeline and milestones. Source: Act 68 of 2025.</w:t>
      </w:r>
    </w:p>
    <w:p>
      <w:pPr>
        <w:pStyle w:val="BodyText"/>
      </w:pPr>
      <w:r>
        <w:t xml:space="preserve">Source: Act 68 of 2025; AHEAD State Agreement (January 2025); Vermont RHT Program Application (November 2025); CMS BALANCE Model (December 2025).</w:t>
      </w:r>
    </w:p>
    <w:p>
      <w:pPr>
        <w:pStyle w:val="Heading3"/>
        <w:keepNext w:val="false"/>
      </w:pPr>
      <w:r>
        <w:rPr>
          <w:color w:val="161B22"/>
        </w:rPr>
        <w:t xml:space="preserve">B.0.1  </w:t>
      </w:r>
      <w:bookmarkStart w:id="1464" w:name="_Toc1463"/>
      <w:r>
        <w:rPr>
          <w:b/>
          <w:bCs/>
          <w:color w:val="161B22"/>
        </w:rPr>
        <w:t xml:space="preserve">Policy-Pillar Implementation Matrix</w:t>
      </w:r>
      <w:bookmarkEnd w:id="1464"/>
    </w:p>
    <w:p>
      <w:pPr>
        <w:pStyle w:val="FirstParagraph"/>
        <w:keepNext w:val="false"/>
      </w:pPr>
      <w:r>
        <w:t xml:space="preserve">Estimated cost, timeline to value, ROI crossover, and Vermont benchmark for the key Policy-pillar investments.</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CMMI model participation and APM-readiness assessment</w:t>
            </w:r>
          </w:p>
        </w:tc>
        <w:tc>
          <w:tcPr>
            <w:tcW w:w="1222" w:type="dxa"/>
          </w:tcPr>
          <w:p>
            <w:pPr>
              <w:pStyle w:val="Compact"/>
              <w:jc w:val="left"/>
            </w:pPr>
            <w:r>
              <w:rPr>
                <w:sz w:val="18"/>
              </w:rPr>
              <w:t xml:space="preserve">$50K–$150K per org</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AHEAD preparation; HTR APM Readiness Assessment tool</w:t>
            </w:r>
          </w:p>
        </w:tc>
      </w:tr>
      <w:tr>
        <w:trPr/>
        <w:tc>
          <w:tcPr>
            <w:tcW w:w="2726" w:type="dxa"/>
          </w:tcPr>
          <w:p>
            <w:pPr>
              <w:pStyle w:val="Compact"/>
              <w:jc w:val="left"/>
            </w:pPr>
            <w:r>
              <w:rPr>
                <w:sz w:val="18"/>
              </w:rPr>
              <w:t xml:space="preserve">1115 waiver application development</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Multi-year waiver term</w:t>
            </w:r>
          </w:p>
        </w:tc>
        <w:tc>
          <w:tcPr>
            <w:tcW w:w="2820" w:type="dxa"/>
          </w:tcPr>
          <w:p>
            <w:pPr>
              <w:pStyle w:val="Compact"/>
              <w:jc w:val="left"/>
            </w:pPr>
            <w:r>
              <w:rPr>
                <w:sz w:val="18"/>
              </w:rPr>
              <w:t xml:space="preserve">Vermont Global Commitment waiver; annual CMS negotiation</w:t>
            </w:r>
          </w:p>
        </w:tc>
      </w:tr>
      <w:tr>
        <w:trPr/>
        <w:tc>
          <w:tcPr>
            <w:tcW w:w="2726" w:type="dxa"/>
          </w:tcPr>
          <w:p>
            <w:pPr>
              <w:pStyle w:val="Compact"/>
              <w:jc w:val="left"/>
            </w:pPr>
            <w:r>
              <w:rPr>
                <w:sz w:val="18"/>
              </w:rPr>
              <w:t xml:space="preserve">State-employee-plan direct contracting (reference pricing)</w:t>
            </w:r>
          </w:p>
        </w:tc>
        <w:tc>
          <w:tcPr>
            <w:tcW w:w="1222" w:type="dxa"/>
          </w:tcPr>
          <w:p>
            <w:pPr>
              <w:pStyle w:val="Compact"/>
              <w:jc w:val="left"/>
            </w:pPr>
            <w:r>
              <w:rPr>
                <w:sz w:val="18"/>
              </w:rPr>
              <w:t xml:space="preserve">$100K–$300K design + admin</w:t>
            </w:r>
          </w:p>
        </w:tc>
        <w:tc>
          <w:tcPr>
            <w:tcW w:w="987" w:type="dxa"/>
          </w:tcPr>
          <w:p>
            <w:pPr>
              <w:pStyle w:val="Compact"/>
              <w:jc w:val="left"/>
            </w:pPr>
            <w:r>
              <w:rPr>
                <w:sz w:val="18"/>
              </w:rPr>
              <w:t xml:space="preserve">6–12 months design</w:t>
            </w:r>
          </w:p>
        </w:tc>
        <w:tc>
          <w:tcPr>
            <w:tcW w:w="1316" w:type="dxa"/>
          </w:tcPr>
          <w:p>
            <w:pPr>
              <w:pStyle w:val="Compact"/>
              <w:jc w:val="left"/>
            </w:pPr>
            <w:r>
              <w:rPr>
                <w:sz w:val="18"/>
              </w:rPr>
              <w:t xml:space="preserve">Year 1: $48M Vermont savings</w:t>
            </w:r>
          </w:p>
        </w:tc>
        <w:tc>
          <w:tcPr>
            <w:tcW w:w="2820" w:type="dxa"/>
          </w:tcPr>
          <w:p>
            <w:pPr>
              <w:pStyle w:val="Compact"/>
              <w:jc w:val="left"/>
            </w:pPr>
            <w:r>
              <w:rPr>
                <w:sz w:val="18"/>
              </w:rPr>
              <w:t xml:space="preserve">Direct contracting at 110% Medicare; $48M initial savings</w:t>
            </w:r>
          </w:p>
        </w:tc>
      </w:tr>
      <w:tr>
        <w:trPr/>
        <w:tc>
          <w:tcPr>
            <w:tcW w:w="2726" w:type="dxa"/>
          </w:tcPr>
          <w:p>
            <w:pPr>
              <w:pStyle w:val="Compact"/>
              <w:jc w:val="left"/>
            </w:pPr>
            <w:r>
              <w:rPr>
                <w:sz w:val="18"/>
              </w:rPr>
              <w:t xml:space="preserve">Federal grant application (RHT Program model)</w:t>
            </w:r>
          </w:p>
        </w:tc>
        <w:tc>
          <w:tcPr>
            <w:tcW w:w="1222" w:type="dxa"/>
          </w:tcPr>
          <w:p>
            <w:pPr>
              <w:pStyle w:val="Compact"/>
              <w:jc w:val="left"/>
            </w:pPr>
            <w:r>
              <w:rPr>
                <w:sz w:val="18"/>
              </w:rPr>
              <w:t xml:space="preserve">$50K–$100K application</w:t>
            </w:r>
          </w:p>
        </w:tc>
        <w:tc>
          <w:tcPr>
            <w:tcW w:w="987" w:type="dxa"/>
          </w:tcPr>
          <w:p>
            <w:pPr>
              <w:pStyle w:val="Compact"/>
              <w:jc w:val="left"/>
            </w:pPr>
            <w:r>
              <w:rPr>
                <w:sz w:val="18"/>
              </w:rPr>
              <w:t xml:space="preserve">12–18 months to award</w:t>
            </w:r>
          </w:p>
        </w:tc>
        <w:tc>
          <w:tcPr>
            <w:tcW w:w="1316" w:type="dxa"/>
          </w:tcPr>
          <w:p>
            <w:pPr>
              <w:pStyle w:val="Compact"/>
              <w:jc w:val="left"/>
            </w:pPr>
            <w:r>
              <w:rPr>
                <w:sz w:val="18"/>
              </w:rPr>
              <w:t xml:space="preserve">Capital deployment 3–5 yrs</w:t>
            </w:r>
          </w:p>
        </w:tc>
        <w:tc>
          <w:tcPr>
            <w:tcW w:w="2820" w:type="dxa"/>
          </w:tcPr>
          <w:p>
            <w:pPr>
              <w:pStyle w:val="Compact"/>
              <w:jc w:val="left"/>
            </w:pPr>
            <w:r>
              <w:rPr>
                <w:sz w:val="18"/>
              </w:rPr>
              <w:t xml:space="preserve">Vermont RHT: $195M over 5 years for CIN and IT infrastructure</w:t>
            </w:r>
          </w:p>
        </w:tc>
      </w:tr>
      <w:tr>
        <w:trPr>
          <w:cantSplit/>
        </w:trPr>
        <w:tc>
          <w:tcPr>
            <w:tcW w:w="2726" w:type="dxa"/>
          </w:tcPr>
          <w:p>
            <w:pPr>
              <w:pStyle w:val="Compact"/>
              <w:jc w:val="left"/>
            </w:pPr>
            <w:r>
              <w:rPr>
                <w:sz w:val="18"/>
              </w:rPr>
              <w:t xml:space="preserve">Regulatory engagement and public-comment infrastructure</w:t>
            </w:r>
          </w:p>
        </w:tc>
        <w:tc>
          <w:tcPr>
            <w:tcW w:w="1222" w:type="dxa"/>
          </w:tcPr>
          <w:p>
            <w:pPr>
              <w:pStyle w:val="Compact"/>
              <w:jc w:val="left"/>
            </w:pPr>
            <w:r>
              <w:rPr>
                <w:sz w:val="18"/>
              </w:rPr>
              <w:t xml:space="preserve">$25K–$75K annually</w:t>
            </w:r>
          </w:p>
        </w:tc>
        <w:tc>
          <w:tcPr>
            <w:tcW w:w="987" w:type="dxa"/>
          </w:tcPr>
          <w:p>
            <w:pPr>
              <w:pStyle w:val="Compact"/>
              <w:jc w:val="left"/>
            </w:pPr>
            <w:r>
              <w:rPr>
                <w:sz w:val="18"/>
              </w:rPr>
              <w:t xml:space="preserve">Ongoing</w:t>
            </w:r>
          </w:p>
        </w:tc>
        <w:tc>
          <w:tcPr>
            <w:tcW w:w="1316" w:type="dxa"/>
          </w:tcPr>
          <w:p>
            <w:pPr>
              <w:pStyle w:val="Compact"/>
              <w:jc w:val="left"/>
            </w:pPr>
            <w:r>
              <w:rPr>
                <w:sz w:val="18"/>
              </w:rPr>
              <w:t xml:space="preserve">Risk-avoidance ROI</w:t>
            </w:r>
          </w:p>
        </w:tc>
        <w:tc>
          <w:tcPr>
            <w:tcW w:w="2820" w:type="dxa"/>
          </w:tcPr>
          <w:p>
            <w:pPr>
              <w:pStyle w:val="Compact"/>
              <w:jc w:val="left"/>
            </w:pPr>
            <w:r>
              <w:rPr>
                <w:sz w:val="18"/>
              </w:rPr>
              <w:t xml:space="preserve">GMCB rate-setting participation; RBP methodology comment process</w:t>
            </w:r>
          </w:p>
        </w:tc>
      </w:tr>
    </w:tbl>
    <w:p>
      <w:pPr>
        <w:pStyle w:val="Caption"/>
        <w:spacing w:before="280"/>
      </w:pPr>
      <w:r>
        <w:rPr>
          <w:i/>
          <w:iCs/>
        </w:rPr>
        <w:t xml:space="preserve">Figure B.2 — Policy-pillar implementation matrix. Sources: HTR Advisory methodology; Vermont RHT Program Application (2025); GMCB rate-setting documentation.</w:t>
      </w:r>
    </w:p>
    <w:p>
      <w:r>
        <w:br w:type="page"/>
      </w:r>
    </w:p>
    <w:p>
      <w:pPr>
        <w:pStyle w:val="Heading1"/>
        <w:keepNext w:val="false"/>
      </w:pPr>
      <w:bookmarkStart w:id="1465" w:name="_Toc1464"/>
      <w:r>
        <w:rPr>
          <w:b/>
          <w:bCs/>
          <w:color w:val="161B22"/>
        </w:rPr>
        <w:t xml:space="preserve">Appendix C — The 14-Hospital Centers of Excellence Assignment Framework</w:t>
      </w:r>
      <w:bookmarkEnd w:id="1465"/>
    </w:p>
    <w:p>
      <w:pPr>
        <w:pStyle w:val="FirstParagraph"/>
        <w:keepNext w:val="false"/>
      </w:pPr>
      <w: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tbl>
      <w:tblPr>
        <w:tblStyle w:val="HTRTable"/>
        <w:tblLook w:firstRow="1" w:lastRow="0" w:firstColumn="0" w:lastColumn="0" w:noHBand="0" w:noVBand="1" w:val="0020"/>
        <w:tblW w:w="9072" w:type="dxa"/>
        <w:tblLayout w:type="fixed"/>
      </w:tblPr>
      <w:tblGrid>
        <w:gridCol w:w="2799"/>
        <w:gridCol w:w="466"/>
        <w:gridCol w:w="3110"/>
        <w:gridCol w:w="1555"/>
        <w:gridCol w:w="1140"/>
      </w:tblGrid>
      <w:tr>
        <w:trPr>
          <w:tblHeader w:val="on"/>
          <w:cantSplit/>
        </w:trPr>
        <w:tc>
          <w:tcPr>
            <w:shd w:val="clear" w:color="auto" w:fill="1B3A6B"/>
            <w:tcW w:w="2799" w:type="dxa"/>
          </w:tcPr>
          <w:p>
            <w:pPr>
              <w:pStyle w:val="Compact"/>
              <w:jc w:val="left"/>
            </w:pPr>
            <w:r>
              <w:rPr>
                <w:b/>
                <w:color w:val="FFFFFF"/>
                <w:sz w:val="18"/>
              </w:rPr>
              <w:t xml:space="preserve">Hospital (HSA)</w:t>
            </w:r>
          </w:p>
        </w:tc>
        <w:tc>
          <w:tcPr>
            <w:shd w:val="clear" w:color="auto" w:fill="1B3A6B"/>
            <w:tcW w:w="466" w:type="dxa"/>
          </w:tcPr>
          <w:p>
            <w:pPr>
              <w:pStyle w:val="Compact"/>
              <w:jc w:val="left"/>
            </w:pPr>
            <w:r>
              <w:rPr>
                <w:b/>
                <w:color w:val="FFFFFF"/>
                <w:sz w:val="18"/>
              </w:rPr>
              <w:t xml:space="preserve">COE count</w:t>
            </w:r>
          </w:p>
        </w:tc>
        <w:tc>
          <w:tcPr>
            <w:shd w:val="clear" w:color="auto" w:fill="1B3A6B"/>
            <w:tcW w:w="3110" w:type="dxa"/>
          </w:tcPr>
          <w:p>
            <w:pPr>
              <w:pStyle w:val="Compact"/>
              <w:jc w:val="left"/>
            </w:pPr>
            <w:r>
              <w:rPr>
                <w:b/>
                <w:color w:val="FFFFFF"/>
                <w:sz w:val="18"/>
              </w:rPr>
              <w:t xml:space="preserve">Key COE specialties</w:t>
            </w:r>
          </w:p>
        </w:tc>
        <w:tc>
          <w:tcPr>
            <w:shd w:val="clear" w:color="auto" w:fill="1B3A6B"/>
            <w:tcW w:w="1555" w:type="dxa"/>
          </w:tcPr>
          <w:p>
            <w:pPr>
              <w:pStyle w:val="Compact"/>
              <w:jc w:val="left"/>
            </w:pPr>
            <w:r>
              <w:rPr>
                <w:b/>
                <w:color w:val="FFFFFF"/>
                <w:sz w:val="18"/>
              </w:rPr>
              <w:t xml:space="preserve">Tier</w:t>
            </w:r>
          </w:p>
        </w:tc>
        <w:tc>
          <w:tcPr>
            <w:shd w:val="clear" w:color="auto" w:fill="1B3A6B"/>
            <w:tcW w:w="1140" w:type="dxa"/>
          </w:tcPr>
          <w:p>
            <w:pPr>
              <w:pStyle w:val="Compact"/>
              <w:jc w:val="left"/>
            </w:pPr>
            <w:r>
              <w:rPr>
                <w:b/>
                <w:color w:val="FFFFFF"/>
                <w:sz w:val="18"/>
              </w:rPr>
              <w:t xml:space="preserve">RHT rural status</w:t>
            </w:r>
          </w:p>
        </w:tc>
      </w:tr>
      <w:tr>
        <w:trPr>
          <w:cantSplit/>
        </w:trPr>
        <w:tc>
          <w:tcPr>
            <w:tcW w:w="2799" w:type="dxa"/>
          </w:tcPr>
          <w:p>
            <w:pPr>
              <w:pStyle w:val="Compact"/>
              <w:jc w:val="left"/>
            </w:pPr>
            <w:r>
              <w:rPr>
                <w:sz w:val="18"/>
              </w:rPr>
              <w:t xml:space="preserve">University of Vermont Medical Center (Burlington)</w:t>
            </w:r>
          </w:p>
        </w:tc>
        <w:tc>
          <w:tcPr>
            <w:tcW w:w="466" w:type="dxa"/>
          </w:tcPr>
          <w:p>
            <w:pPr>
              <w:pStyle w:val="Compact"/>
              <w:jc w:val="left"/>
            </w:pPr>
            <w:r>
              <w:rPr>
                <w:sz w:val="18"/>
              </w:rPr>
              <w:t xml:space="preserve">16</w:t>
            </w:r>
          </w:p>
        </w:tc>
        <w:tc>
          <w:tcPr>
            <w:tcW w:w="3110" w:type="dxa"/>
          </w:tcPr>
          <w:p>
            <w:pPr>
              <w:pStyle w:val="Compact"/>
              <w:jc w:val="left"/>
            </w:pPr>
            <w:r>
              <w:rPr>
                <w:sz w:val="18"/>
              </w:rPr>
              <w:t xml:space="preserve">All major specialties incl. cardiac surgery, neurosurgery, complex oncology, NICU, transplant, trauma</w:t>
            </w:r>
          </w:p>
        </w:tc>
        <w:tc>
          <w:tcPr>
            <w:tcW w:w="1555" w:type="dxa"/>
          </w:tcPr>
          <w:p>
            <w:pPr>
              <w:pStyle w:val="Compact"/>
              <w:jc w:val="left"/>
            </w:pPr>
            <w:r>
              <w:rPr>
                <w:sz w:val="18"/>
              </w:rPr>
              <w:t xml:space="preserve">Tier 1 — Primary RSC</w:t>
            </w:r>
          </w:p>
        </w:tc>
        <w:tc>
          <w:tcPr>
            <w:tcW w:w="1140" w:type="dxa"/>
          </w:tcPr>
          <w:p>
            <w:pPr>
              <w:pStyle w:val="Compact"/>
              <w:jc w:val="left"/>
            </w:pPr>
            <w:r>
              <w:rPr>
                <w:sz w:val="18"/>
              </w:rPr>
              <w:t xml:space="preserve">Non-rural (Chittenden)</w:t>
            </w:r>
          </w:p>
        </w:tc>
      </w:tr>
      <w:tr>
        <w:trPr/>
        <w:tc>
          <w:tcPr>
            <w:tcW w:w="2799" w:type="dxa"/>
          </w:tcPr>
          <w:p>
            <w:pPr>
              <w:pStyle w:val="Compact"/>
              <w:jc w:val="left"/>
            </w:pPr>
            <w:r>
              <w:rPr>
                <w:sz w:val="18"/>
              </w:rPr>
              <w:t xml:space="preserve">Southwestern Vermont Medical Center (Bennington)</w:t>
            </w:r>
          </w:p>
        </w:tc>
        <w:tc>
          <w:tcPr>
            <w:tcW w:w="466" w:type="dxa"/>
          </w:tcPr>
          <w:p>
            <w:pPr>
              <w:pStyle w:val="Compact"/>
              <w:jc w:val="left"/>
            </w:pPr>
            <w:r>
              <w:rPr>
                <w:sz w:val="18"/>
              </w:rPr>
              <w:t xml:space="preserve">9</w:t>
            </w:r>
          </w:p>
        </w:tc>
        <w:tc>
          <w:tcPr>
            <w:tcW w:w="3110" w:type="dxa"/>
          </w:tcPr>
          <w:p>
            <w:pPr>
              <w:pStyle w:val="Compact"/>
              <w:jc w:val="left"/>
            </w:pPr>
            <w:r>
              <w:rPr>
                <w:sz w:val="18"/>
              </w:rPr>
              <w:t xml:space="preserve">Acute general surgery, cardiology, orthopedics, psychiatry (adult &amp; adolescent), rehab, dermatology, endocrinology, GI, pain</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Brattleboro Memorial Hospital (Brattleboro)</w:t>
            </w:r>
          </w:p>
        </w:tc>
        <w:tc>
          <w:tcPr>
            <w:tcW w:w="466" w:type="dxa"/>
          </w:tcPr>
          <w:p>
            <w:pPr>
              <w:pStyle w:val="Compact"/>
              <w:jc w:val="left"/>
            </w:pPr>
            <w:r>
              <w:rPr>
                <w:sz w:val="18"/>
              </w:rPr>
              <w:t xml:space="preserve">6</w:t>
            </w:r>
          </w:p>
        </w:tc>
        <w:tc>
          <w:tcPr>
            <w:tcW w:w="3110" w:type="dxa"/>
          </w:tcPr>
          <w:p>
            <w:pPr>
              <w:pStyle w:val="Compact"/>
              <w:jc w:val="left"/>
            </w:pPr>
            <w:r>
              <w:rPr>
                <w:sz w:val="18"/>
              </w:rPr>
              <w:t xml:space="preserve">Acute general surgery, cardiology, OB/high-risk OB, adult psychiatry, outpatient oncology, GI</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Rutland Regional Medical Center (Rutland)</w:t>
            </w:r>
          </w:p>
        </w:tc>
        <w:tc>
          <w:tcPr>
            <w:tcW w:w="466" w:type="dxa"/>
          </w:tcPr>
          <w:p>
            <w:pPr>
              <w:pStyle w:val="Compact"/>
              <w:jc w:val="left"/>
            </w:pPr>
            <w:r>
              <w:rPr>
                <w:sz w:val="18"/>
              </w:rPr>
              <w:t xml:space="preserve">5</w:t>
            </w:r>
          </w:p>
        </w:tc>
        <w:tc>
          <w:tcPr>
            <w:tcW w:w="3110" w:type="dxa"/>
          </w:tcPr>
          <w:p>
            <w:pPr>
              <w:pStyle w:val="Compact"/>
              <w:jc w:val="left"/>
            </w:pPr>
            <w:r>
              <w:rPr>
                <w:sz w:val="18"/>
              </w:rPr>
              <w:t xml:space="preserve">Neurology, adult psychiatry, cancer surgery, radiation therapy, orthopedics</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Central Vermont Medical Center (Barre)</w:t>
            </w:r>
          </w:p>
        </w:tc>
        <w:tc>
          <w:tcPr>
            <w:tcW w:w="466" w:type="dxa"/>
          </w:tcPr>
          <w:p>
            <w:pPr>
              <w:pStyle w:val="Compact"/>
              <w:jc w:val="left"/>
            </w:pPr>
            <w:r>
              <w:rPr>
                <w:sz w:val="18"/>
              </w:rPr>
              <w:t xml:space="preserve">5</w:t>
            </w:r>
          </w:p>
        </w:tc>
        <w:tc>
          <w:tcPr>
            <w:tcW w:w="3110" w:type="dxa"/>
          </w:tcPr>
          <w:p>
            <w:pPr>
              <w:pStyle w:val="Compact"/>
              <w:jc w:val="left"/>
            </w:pPr>
            <w:r>
              <w:rPr>
                <w:sz w:val="18"/>
              </w:rPr>
              <w:t xml:space="preserve">Radiation therapy, neurology, cardiac, general surgery, obstetrics</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Northwestern Medical Center (St. Albans)</w:t>
            </w:r>
          </w:p>
        </w:tc>
        <w:tc>
          <w:tcPr>
            <w:tcW w:w="466" w:type="dxa"/>
          </w:tcPr>
          <w:p>
            <w:pPr>
              <w:pStyle w:val="Compact"/>
              <w:jc w:val="left"/>
            </w:pPr>
            <w:r>
              <w:rPr>
                <w:sz w:val="18"/>
              </w:rPr>
              <w:t xml:space="preserve">4</w:t>
            </w:r>
          </w:p>
        </w:tc>
        <w:tc>
          <w:tcPr>
            <w:tcW w:w="3110" w:type="dxa"/>
          </w:tcPr>
          <w:p>
            <w:pPr>
              <w:pStyle w:val="Compact"/>
              <w:jc w:val="left"/>
            </w:pPr>
            <w:r>
              <w:rPr>
                <w:sz w:val="18"/>
              </w:rPr>
              <w:t xml:space="preserve">Cancer surgery, radiation oncology, orthopedics, cardiology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Northeastern Vermont Regional Hospital (St. Johnsbury)</w:t>
            </w:r>
          </w:p>
        </w:tc>
        <w:tc>
          <w:tcPr>
            <w:tcW w:w="466" w:type="dxa"/>
          </w:tcPr>
          <w:p>
            <w:pPr>
              <w:pStyle w:val="Compact"/>
              <w:jc w:val="left"/>
            </w:pPr>
            <w:r>
              <w:rPr>
                <w:sz w:val="18"/>
              </w:rPr>
              <w:t xml:space="preserve">4</w:t>
            </w:r>
          </w:p>
        </w:tc>
        <w:tc>
          <w:tcPr>
            <w:tcW w:w="3110" w:type="dxa"/>
          </w:tcPr>
          <w:p>
            <w:pPr>
              <w:pStyle w:val="Compact"/>
              <w:jc w:val="left"/>
            </w:pPr>
            <w:r>
              <w:rPr>
                <w:sz w:val="18"/>
              </w:rPr>
              <w:t xml:space="preserve">Cancer surgery, infusion/chemotherapy, orthopedics, general surgery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Springfield Hospital (Springfield)</w:t>
            </w:r>
          </w:p>
        </w:tc>
        <w:tc>
          <w:tcPr>
            <w:tcW w:w="466" w:type="dxa"/>
          </w:tcPr>
          <w:p>
            <w:pPr>
              <w:pStyle w:val="Compact"/>
              <w:jc w:val="left"/>
            </w:pPr>
            <w:r>
              <w:rPr>
                <w:sz w:val="18"/>
              </w:rPr>
              <w:t xml:space="preserve">2</w:t>
            </w:r>
          </w:p>
        </w:tc>
        <w:tc>
          <w:tcPr>
            <w:tcW w:w="3110" w:type="dxa"/>
          </w:tcPr>
          <w:p>
            <w:pPr>
              <w:pStyle w:val="Compact"/>
              <w:jc w:val="left"/>
            </w:pPr>
            <w:r>
              <w:rPr>
                <w:sz w:val="18"/>
              </w:rPr>
              <w:t xml:space="preserve">Memory care/dementia, adult psychiatry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Copley Hospital (Morrisville)</w:t>
            </w:r>
          </w:p>
        </w:tc>
        <w:tc>
          <w:tcPr>
            <w:tcW w:w="466" w:type="dxa"/>
          </w:tcPr>
          <w:p>
            <w:pPr>
              <w:pStyle w:val="Compact"/>
              <w:jc w:val="left"/>
            </w:pPr>
            <w:r>
              <w:rPr>
                <w:sz w:val="18"/>
              </w:rPr>
              <w:t xml:space="preserve">2</w:t>
            </w:r>
          </w:p>
        </w:tc>
        <w:tc>
          <w:tcPr>
            <w:tcW w:w="3110" w:type="dxa"/>
          </w:tcPr>
          <w:p>
            <w:pPr>
              <w:pStyle w:val="Compact"/>
              <w:jc w:val="left"/>
            </w:pPr>
            <w:r>
              <w:rPr>
                <w:sz w:val="18"/>
              </w:rPr>
              <w:t xml:space="preserve">Orthopedics, rheumatology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Mount Ascutney Hospital (White River Junction)</w:t>
            </w:r>
          </w:p>
        </w:tc>
        <w:tc>
          <w:tcPr>
            <w:tcW w:w="466" w:type="dxa"/>
          </w:tcPr>
          <w:p>
            <w:pPr>
              <w:pStyle w:val="Compact"/>
              <w:jc w:val="left"/>
            </w:pPr>
            <w:r>
              <w:rPr>
                <w:sz w:val="18"/>
              </w:rPr>
              <w:t xml:space="preserve">1</w:t>
            </w:r>
          </w:p>
        </w:tc>
        <w:tc>
          <w:tcPr>
            <w:tcW w:w="3110" w:type="dxa"/>
          </w:tcPr>
          <w:p>
            <w:pPr>
              <w:pStyle w:val="Compact"/>
              <w:jc w:val="left"/>
            </w:pPr>
            <w:r>
              <w:rPr>
                <w:sz w:val="18"/>
              </w:rPr>
              <w:t xml:space="preserve">Rehabilitation</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Porter Medical Center (Middlebury)</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Assessment ongoing — UVM-network affiliation</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Grace Cottage Hospital (Townshend)</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Palliative-care specialty worth preserving; 19-bed, Vermont’s smallest</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Gifford Medical Center (Randolph)</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Among most financially vulnerable — comprehensive assessment needed</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r>
        <w:trPr>
          <w:cantSplit/>
        </w:trPr>
        <w:tc>
          <w:tcPr>
            <w:tcW w:w="2799" w:type="dxa"/>
          </w:tcPr>
          <w:p>
            <w:pPr>
              <w:pStyle w:val="Compact"/>
              <w:jc w:val="left"/>
            </w:pPr>
            <w:r>
              <w:rPr>
                <w:sz w:val="18"/>
              </w:rPr>
              <w:t xml:space="preserve">North Country Hospital (Newport)</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Northeast Kingdom anchor; REH candidacy under assessment</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bl>
    <w:p>
      <w:pPr>
        <w:pStyle w:val="BodyText"/>
        <w:spacing w:before="280"/>
      </w:pPr>
      <w:r>
        <w:t xml:space="preserve">Source: Oliver Wyman, Act 167 Community Engagement: Recommendations (August 2024, revised October 2024 and January 2025). COE designations are proposed; final designations subject to the AHS and hospital transformation planning process.</w:t>
      </w:r>
    </w:p>
    <w:p>
      <w:r>
        <w:br w:type="page"/>
      </w:r>
    </w:p>
    <w:p>
      <w:pPr>
        <w:pStyle w:val="Heading1"/>
        <w:keepNext w:val="false"/>
      </w:pPr>
      <w:bookmarkStart w:id="1466" w:name="_Toc1465"/>
      <w:r>
        <w:rPr>
          <w:b/>
          <w:bCs/>
          <w:color w:val="161B22"/>
        </w:rPr>
        <w:t xml:space="preserve">Appendix D — AHEAD State Agreement: Key Terms and Provisions</w:t>
      </w:r>
      <w:bookmarkEnd w:id="1466"/>
    </w:p>
    <w:p>
      <w:pPr>
        <w:pStyle w:val="FirstParagraph"/>
        <w:keepNext w:val="false"/>
      </w:pPr>
      <w:r>
        <w:t xml:space="preserve">Vermont’s AHEAD Model State Agreement was signed January 17, 2025; Vermont participates as a Cohort 2 state.</w:t>
      </w:r>
    </w:p>
    <w:tbl>
      <w:tblPr>
        <w:tblStyle w:val="HTRTable"/>
        <w:tblLook w:firstRow="1" w:lastRow="0" w:firstColumn="0" w:lastColumn="0" w:noHBand="0" w:noVBand="1" w:val="0020"/>
        <w:tblW w:w="9072" w:type="dxa"/>
        <w:tblLayout w:type="fixed"/>
      </w:tblPr>
      <w:tblGrid>
        <w:gridCol w:w="3628"/>
        <w:gridCol w:w="5443"/>
      </w:tblGrid>
      <w:tr>
        <w:trPr>
          <w:tblHeader w:val="on"/>
          <w:cantSplit/>
        </w:trPr>
        <w:tc>
          <w:tcPr>
            <w:shd w:val="clear" w:color="auto" w:fill="1B3A6B"/>
            <w:tcW w:w="3628" w:type="dxa"/>
          </w:tcPr>
          <w:p>
            <w:pPr>
              <w:pStyle w:val="Compact"/>
              <w:jc w:val="left"/>
            </w:pPr>
            <w:r>
              <w:rPr>
                <w:b/>
                <w:color w:val="FFFFFF"/>
                <w:sz w:val="18"/>
              </w:rPr>
              <w:t xml:space="preserve">AHEAD provision</w:t>
            </w:r>
          </w:p>
        </w:tc>
        <w:tc>
          <w:tcPr>
            <w:shd w:val="clear" w:color="auto" w:fill="1B3A6B"/>
            <w:tcW w:w="5443" w:type="dxa"/>
          </w:tcPr>
          <w:p>
            <w:pPr>
              <w:pStyle w:val="Compact"/>
              <w:jc w:val="left"/>
            </w:pPr>
            <w:r>
              <w:rPr>
                <w:b/>
                <w:color w:val="FFFFFF"/>
                <w:sz w:val="18"/>
              </w:rPr>
              <w:t xml:space="preserve">Vermont-specific terms</w:t>
            </w:r>
          </w:p>
        </w:tc>
      </w:tr>
      <w:tr>
        <w:trPr>
          <w:cantSplit/>
        </w:trPr>
        <w:tc>
          <w:tcPr>
            <w:tcW w:w="3628" w:type="dxa"/>
          </w:tcPr>
          <w:p>
            <w:pPr>
              <w:pStyle w:val="Compact"/>
              <w:jc w:val="left"/>
            </w:pPr>
            <w:r>
              <w:rPr>
                <w:sz w:val="18"/>
              </w:rPr>
              <w:t xml:space="preserve">Cohort and start date</w:t>
            </w:r>
          </w:p>
        </w:tc>
        <w:tc>
          <w:tcPr>
            <w:tcW w:w="5443" w:type="dxa"/>
          </w:tcPr>
          <w:p>
            <w:pPr>
              <w:pStyle w:val="Compact"/>
              <w:jc w:val="left"/>
            </w:pPr>
            <w:r>
              <w:rPr>
                <w:sz w:val="18"/>
              </w:rPr>
              <w:t xml:space="preserve">Cohort 2; model begins January 1, 2028; nine-year model through December 31, 2035</w:t>
            </w:r>
          </w:p>
        </w:tc>
      </w:tr>
      <w:tr>
        <w:trPr/>
        <w:tc>
          <w:tcPr>
            <w:tcW w:w="3628" w:type="dxa"/>
          </w:tcPr>
          <w:p>
            <w:pPr>
              <w:pStyle w:val="Compact"/>
              <w:jc w:val="left"/>
            </w:pPr>
            <w:r>
              <w:rPr>
                <w:sz w:val="18"/>
              </w:rPr>
              <w:t xml:space="preserve">Total-cost-of-care accountability</w:t>
            </w:r>
          </w:p>
        </w:tc>
        <w:tc>
          <w:tcPr>
            <w:tcW w:w="5443" w:type="dxa"/>
          </w:tcPr>
          <w:p>
            <w:pPr>
              <w:pStyle w:val="Compact"/>
              <w:jc w:val="left"/>
            </w:pPr>
            <w:r>
              <w:rPr>
                <w:sz w:val="18"/>
              </w:rPr>
              <w:t xml:space="preserve">Vermont responsible for all-payer TCOC targets; Medicare FFS TCOC tracked annually; consequences for missing targets after year 3</w:t>
            </w:r>
          </w:p>
        </w:tc>
      </w:tr>
      <w:tr>
        <w:trPr/>
        <w:tc>
          <w:tcPr>
            <w:tcW w:w="3628" w:type="dxa"/>
          </w:tcPr>
          <w:p>
            <w:pPr>
              <w:pStyle w:val="Compact"/>
              <w:jc w:val="left"/>
            </w:pPr>
            <w:r>
              <w:rPr>
                <w:sz w:val="18"/>
              </w:rPr>
              <w:t xml:space="preserve">Hospital global budgets (Medicare FFS)</w:t>
            </w:r>
          </w:p>
        </w:tc>
        <w:tc>
          <w:tcPr>
            <w:tcW w:w="5443" w:type="dxa"/>
          </w:tcPr>
          <w:p>
            <w:pPr>
              <w:pStyle w:val="Compact"/>
              <w:jc w:val="left"/>
            </w:pPr>
            <w:r>
              <w:rPr>
                <w:sz w:val="18"/>
              </w:rPr>
              <w:t xml:space="preserve">All Vermont hospitals receive prospective Medicare FFS global budgets beginning January 2028; methodology developed jointly with GMCB</w:t>
            </w:r>
          </w:p>
        </w:tc>
      </w:tr>
      <w:tr>
        <w:trPr/>
        <w:tc>
          <w:tcPr>
            <w:tcW w:w="3628" w:type="dxa"/>
          </w:tcPr>
          <w:p>
            <w:pPr>
              <w:pStyle w:val="Compact"/>
              <w:jc w:val="left"/>
            </w:pPr>
            <w:r>
              <w:rPr>
                <w:sz w:val="18"/>
              </w:rPr>
              <w:t xml:space="preserve">Primary Care AHEAD</w:t>
            </w:r>
          </w:p>
        </w:tc>
        <w:tc>
          <w:tcPr>
            <w:tcW w:w="5443" w:type="dxa"/>
          </w:tcPr>
          <w:p>
            <w:pPr>
              <w:pStyle w:val="Compact"/>
              <w:jc w:val="left"/>
            </w:pPr>
            <w:r>
              <w:rPr>
                <w:sz w:val="18"/>
              </w:rPr>
              <w:t xml:space="preserve">Voluntary for primary-care practices; four payment-pathway options including fully prospective; replaces Blueprint Medicare PMPM payments</w:t>
            </w:r>
          </w:p>
        </w:tc>
      </w:tr>
      <w:tr>
        <w:trPr/>
        <w:tc>
          <w:tcPr>
            <w:tcW w:w="3628" w:type="dxa"/>
          </w:tcPr>
          <w:p>
            <w:pPr>
              <w:pStyle w:val="Compact"/>
              <w:jc w:val="left"/>
            </w:pPr>
            <w:r>
              <w:rPr>
                <w:sz w:val="18"/>
              </w:rPr>
              <w:t xml:space="preserve">EAST Fund</w:t>
            </w:r>
          </w:p>
        </w:tc>
        <w:tc>
          <w:tcPr>
            <w:tcW w:w="5443" w:type="dxa"/>
          </w:tcPr>
          <w:p>
            <w:pPr>
              <w:pStyle w:val="Compact"/>
              <w:jc w:val="left"/>
            </w:pPr>
            <w:r>
              <w:rPr>
                <w:sz w:val="18"/>
              </w:rPr>
              <w:t xml:space="preserve">Up to $150M/year in additional Medicare funds for primary care, behavioral health, home health, long-term care, and SDOH — the transformation capital fund</w:t>
            </w:r>
          </w:p>
        </w:tc>
      </w:tr>
      <w:tr>
        <w:trPr/>
        <w:tc>
          <w:tcPr>
            <w:tcW w:w="3628" w:type="dxa"/>
          </w:tcPr>
          <w:p>
            <w:pPr>
              <w:pStyle w:val="Compact"/>
              <w:jc w:val="left"/>
            </w:pPr>
            <w:r>
              <w:rPr>
                <w:sz w:val="18"/>
              </w:rPr>
              <w:t xml:space="preserve">Behavioral health and substance use</w:t>
            </w:r>
          </w:p>
        </w:tc>
        <w:tc>
          <w:tcPr>
            <w:tcW w:w="5443" w:type="dxa"/>
          </w:tcPr>
          <w:p>
            <w:pPr>
              <w:pStyle w:val="Compact"/>
              <w:jc w:val="left"/>
            </w:pPr>
            <w:r>
              <w:rPr>
                <w:sz w:val="18"/>
              </w:rPr>
              <w:t xml:space="preserve">EAST Fund explicitly directed toward MH/SUD; $1.2M in transformation grants approved from Cooperative Agreement Year 3 (2027)</w:t>
            </w:r>
          </w:p>
        </w:tc>
      </w:tr>
      <w:tr>
        <w:trPr/>
        <w:tc>
          <w:tcPr>
            <w:tcW w:w="3628" w:type="dxa"/>
          </w:tcPr>
          <w:p>
            <w:pPr>
              <w:pStyle w:val="Compact"/>
              <w:jc w:val="left"/>
            </w:pPr>
            <w:r>
              <w:rPr>
                <w:sz w:val="18"/>
              </w:rPr>
              <w:t xml:space="preserve">GMCB regulatory independence</w:t>
            </w:r>
          </w:p>
        </w:tc>
        <w:tc>
          <w:tcPr>
            <w:tcW w:w="5443" w:type="dxa"/>
          </w:tcPr>
          <w:p>
            <w:pPr>
              <w:pStyle w:val="Compact"/>
              <w:jc w:val="left"/>
            </w:pPr>
            <w:r>
              <w:rPr>
                <w:sz w:val="18"/>
              </w:rPr>
              <w:t xml:space="preserve">Agreement explicitly preserves GMCB’s authority to set hospital rates; AHEAD does not supersede state regulatory authority</w:t>
            </w:r>
          </w:p>
        </w:tc>
      </w:tr>
      <w:tr>
        <w:trPr/>
        <w:tc>
          <w:tcPr>
            <w:tcW w:w="3628" w:type="dxa"/>
          </w:tcPr>
          <w:p>
            <w:pPr>
              <w:pStyle w:val="Compact"/>
              <w:jc w:val="left"/>
            </w:pPr>
            <w:r>
              <w:rPr>
                <w:sz w:val="18"/>
              </w:rPr>
              <w:t xml:space="preserve">Withdrawal rights</w:t>
            </w:r>
          </w:p>
        </w:tc>
        <w:tc>
          <w:tcPr>
            <w:tcW w:w="5443" w:type="dxa"/>
          </w:tcPr>
          <w:p>
            <w:pPr>
              <w:pStyle w:val="Compact"/>
              <w:jc w:val="left"/>
            </w:pPr>
            <w:r>
              <w:rPr>
                <w:sz w:val="18"/>
              </w:rPr>
              <w:t xml:space="preserve">Vermont may withdraw before launch with 30-day notice; after launch with 6-month notice; unspent cooperative-agreement funds returned to CMMI within 90 days</w:t>
            </w:r>
          </w:p>
        </w:tc>
      </w:tr>
      <w:tr>
        <w:trPr/>
        <w:tc>
          <w:tcPr>
            <w:tcW w:w="3628" w:type="dxa"/>
          </w:tcPr>
          <w:p>
            <w:pPr>
              <w:pStyle w:val="Compact"/>
              <w:jc w:val="left"/>
            </w:pPr>
            <w:r>
              <w:rPr>
                <w:sz w:val="18"/>
              </w:rPr>
              <w:t xml:space="preserve">Cooperative-agreement funds (pre-launch)</w:t>
            </w:r>
          </w:p>
        </w:tc>
        <w:tc>
          <w:tcPr>
            <w:tcW w:w="5443" w:type="dxa"/>
          </w:tcPr>
          <w:p>
            <w:pPr>
              <w:pStyle w:val="Compact"/>
              <w:jc w:val="left"/>
            </w:pPr>
            <w:r>
              <w:rPr>
                <w:sz w:val="18"/>
              </w:rPr>
              <w:t xml:space="preserve">CMS provides funds for pre-launch implementation; $1.2M approved for Cooperative Agreement Year 3 (2027)</w:t>
            </w:r>
          </w:p>
        </w:tc>
      </w:tr>
      <w:tr>
        <w:trPr/>
        <w:tc>
          <w:tcPr>
            <w:tcW w:w="3628" w:type="dxa"/>
          </w:tcPr>
          <w:p>
            <w:pPr>
              <w:pStyle w:val="Compact"/>
              <w:jc w:val="left"/>
            </w:pPr>
            <w:r>
              <w:rPr>
                <w:sz w:val="18"/>
              </w:rPr>
              <w:t xml:space="preserve">Quality performance</w:t>
            </w:r>
          </w:p>
        </w:tc>
        <w:tc>
          <w:tcPr>
            <w:tcW w:w="5443" w:type="dxa"/>
          </w:tcPr>
          <w:p>
            <w:pPr>
              <w:pStyle w:val="Compact"/>
              <w:jc w:val="left"/>
            </w:pPr>
            <w:r>
              <w:rPr>
                <w:sz w:val="18"/>
              </w:rPr>
              <w:t xml:space="preserve">Vermont must meet quality standards; measures aligned with Blueprint, HEDIS, and Act 167/68 reporting</w:t>
            </w:r>
          </w:p>
        </w:tc>
      </w:tr>
      <w:tr>
        <w:trPr/>
        <w:tc>
          <w:tcPr>
            <w:tcW w:w="3628" w:type="dxa"/>
          </w:tcPr>
          <w:p>
            <w:pPr>
              <w:pStyle w:val="Compact"/>
              <w:jc w:val="left"/>
            </w:pPr>
            <w:r>
              <w:rPr>
                <w:sz w:val="18"/>
              </w:rPr>
              <w:t xml:space="preserve">CMMI evaluation</w:t>
            </w:r>
          </w:p>
        </w:tc>
        <w:tc>
          <w:tcPr>
            <w:tcW w:w="5443" w:type="dxa"/>
          </w:tcPr>
          <w:p>
            <w:pPr>
              <w:pStyle w:val="Compact"/>
              <w:jc w:val="left"/>
            </w:pPr>
            <w:r>
              <w:rPr>
                <w:sz w:val="18"/>
              </w:rPr>
              <w:t xml:space="preserve">CMS conducts an independent evaluation; results inform national AHEAD expansion decisions</w:t>
            </w:r>
          </w:p>
        </w:tc>
      </w:tr>
      <w:tr>
        <w:trPr>
          <w:cantSplit/>
        </w:trPr>
        <w:tc>
          <w:tcPr>
            <w:tcW w:w="3628" w:type="dxa"/>
          </w:tcPr>
          <w:p>
            <w:pPr>
              <w:pStyle w:val="Compact"/>
              <w:jc w:val="left"/>
            </w:pPr>
            <w:r>
              <w:rPr>
                <w:sz w:val="18"/>
              </w:rPr>
              <w:t xml:space="preserve">Relationship to Act 68</w:t>
            </w:r>
          </w:p>
        </w:tc>
        <w:tc>
          <w:tcPr>
            <w:tcW w:w="5443" w:type="dxa"/>
          </w:tcPr>
          <w:p>
            <w:pPr>
              <w:pStyle w:val="Compact"/>
              <w:jc w:val="left"/>
            </w:pPr>
            <w:r>
              <w:rPr>
                <w:sz w:val="18"/>
              </w:rPr>
              <w:t xml:space="preserve">AHEAD is the federal vehicle for Vermont’s statutory global-budget mandate; Act 68 provides independent state authority that does not depend on AHEAD continuation</w:t>
            </w:r>
          </w:p>
        </w:tc>
      </w:tr>
    </w:tbl>
    <w:p>
      <w:pPr>
        <w:pStyle w:val="Caption"/>
        <w:spacing w:before="280"/>
      </w:pPr>
      <w:r>
        <w:rPr>
          <w:i/>
          <w:iCs/>
        </w:rPr>
        <w:t xml:space="preserve">Figure D.1 — AHEAD State Agreement key terms and Vermont-specific provisions. Source: Vermont AHEAD State Agreement (January 2025).</w:t>
      </w:r>
    </w:p>
    <w:p>
      <w:pPr>
        <w:pStyle w:val="BodyText"/>
      </w:pPr>
      <w:r>
        <w:t xml:space="preserve">Source: Vermont AHEAD State Agreement (January 17, 2025); CMMI AHEAD Model documentation; AHS January 2025 Legislative Presentation.</w:t>
      </w:r>
    </w:p>
    <w:p>
      <w:r>
        <w:br w:type="page"/>
      </w:r>
    </w:p>
    <w:p>
      <w:pPr>
        <w:pStyle w:val="Heading1"/>
      </w:pPr>
      <w:bookmarkStart w:id="1467" w:name="_Toc1466"/>
      <w:r>
        <w:rPr>
          <w:b/>
          <w:bCs/>
          <w:color w:val="161B22"/>
        </w:rPr>
        <w:t xml:space="preserve">Appendix E — HTR Platform Tools and Methodology Overview</w:t>
      </w:r>
      <w:bookmarkEnd w:id="1467"/>
    </w:p>
    <w:p>
      <w:pPr>
        <w:pStyle w:val="FirstParagraph"/>
      </w:pPr>
      <w:r>
        <w:t xml:space="preserve">This appendix describes the 19 HTR Research Lab tools referenced throughout the book. All are available to Strategist and Enterprise subscribers at healthtransformationreview.org.</w:t>
      </w:r>
    </w:p>
    <w:p>
      <w:pPr>
        <w:pStyle w:val="BodyText"/>
      </w:pPr>
      <w:r>
        <w:t xml:space="preserve">Category 1 — Interoperability &amp; Risk</w:t>
      </w:r>
    </w:p>
    <w:p>
      <w:pPr>
        <w:pStyle w:val="BodyText"/>
      </w:pPr>
      <w:r>
        <w:t xml:space="preserve">E.1 FHIR Interoperability Lab — five-tab environment: FHIR R4 Resource Builder (10 resource types); Terminology Mapper (ICD-10-CM, SNOMED CT, LOINC, RxNorm, CPT, NDC, HCPCS); CDS Hooks Simulator (5 scenarios); Prior Authorization Workflow Simulator; ONC Compliance Checker.</w:t>
      </w:r>
    </w:p>
    <w:p>
      <w:pPr>
        <w:pStyle w:val="BodyText"/>
      </w:pPr>
      <w:r>
        <w:t xml:space="preserve">E.2 Risk Stratification Engine — CMS HCC v28 risk adjustment across 20 hierarchical condition categories. Sub-tools: HCC v28 RAF Calculator; Population Risk Segmentation; Custom Risk Model Builder (3 templates); Comorbidity Matrix (Elixhauser 30-condition + Charlson CCI). Vermont AHEAD Medicare attribution data pre-loaded.</w:t>
      </w:r>
    </w:p>
    <w:p>
      <w:pPr>
        <w:pStyle w:val="BodyText"/>
      </w:pPr>
      <w:r>
        <w:t xml:space="preserve">Category 2 — Payment Models &amp; VBC</w:t>
      </w:r>
    </w:p>
    <w:p>
      <w:pPr>
        <w:pStyle w:val="BodyText"/>
      </w:pPr>
      <w:r>
        <w:t xml:space="preserve">E.3 APM Design Lab — APM Architecture Designer (8 model types); Episode-Based Payment Designer (8 episode types); Global Budget Simulator (5-year Vermont All-Payer TCOC projection); Benchmark Methodology Comparison (4 approaches).</w:t>
      </w:r>
    </w:p>
    <w:p>
      <w:pPr>
        <w:pStyle w:val="BodyText"/>
      </w:pPr>
      <w:r>
        <w:t xml:space="preserve">E.4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pPr>
        <w:pStyle w:val="BodyText"/>
      </w:pPr>
      <w:r>
        <w:t xml:space="preserve">E.5 Population Health Modeler — Markov disease progression (5 models, 10-year cohorts); AHRQ Prevention Quality Indicators (13 PQI conditions); Intervention Impact Library (8 interventions, 5-year ROI); SIR epidemic model with vaccination scenarios.</w:t>
      </w:r>
    </w:p>
    <w:p>
      <w:pPr>
        <w:pStyle w:val="BodyText"/>
      </w:pPr>
      <w:r>
        <w:t xml:space="preserve">E.6 Health Equity Studio (HEROI) — HEROI composite across five dimensions: Access Equity (25%), Quality Equity (25%), Outcome Equity (25%), SDOH Burden (15%), Trust &amp; Engagement (10%). Sub-tools: Racial/Ethnic Disparity Calculator; Geographic Access Gap Analyzer; SDOH Composite Scoring; Equity-Weighted ICER. Integrates with VHCURES and Blueprint data.</w:t>
      </w:r>
    </w:p>
    <w:p>
      <w:pPr>
        <w:pStyle w:val="BodyText"/>
      </w:pPr>
      <w:r>
        <w:t xml:space="preserve">Category 3 — Policy &amp; Quality Sciences</w:t>
      </w:r>
    </w:p>
    <w:p>
      <w:pPr>
        <w:pStyle w:val="BodyText"/>
      </w:pPr>
      <w:r>
        <w:t xml:space="preserve">E.7 Policy Simulator — seven 1115 waiver types with six pre-loaded state scenarios; All-Payer Global Budget Designer; Medicaid Expansion Impact Calculator (KFF/CBO methodology); Price Transparency and Site-Neutral Analyzer (20 services).</w:t>
      </w:r>
    </w:p>
    <w:p>
      <w:pPr>
        <w:pStyle w:val="BodyText"/>
      </w:pPr>
      <w:r>
        <w:t xml:space="preserve">E.8 Clinical Quality Optimizer — 15 HEDIS measures with NCQA 2024 benchmarks; CMS Star Ratings Predictor (5 domains, 32 sub-measures); QPP/MIPS Optimizer (2024 weighted scoring) with payment-adjustment estimate.</w:t>
      </w:r>
    </w:p>
    <w:p>
      <w:pPr>
        <w:pStyle w:val="BodyText"/>
      </w:pPr>
      <w:r>
        <w:t xml:space="preserve">E.9 Hospital Financial Scorecard — models hospital position under RBP, global-budget, and Medicaid-cut scenarios; 10-year projections under three scenarios with sensitivity analysis. Vermont: GMCB FY2026 data and Oliver Wyman scenarios pre-loaded.</w:t>
      </w:r>
    </w:p>
    <w:p>
      <w:pPr>
        <w:pStyle w:val="BodyText"/>
      </w:pPr>
      <w:r>
        <w:t xml:space="preserve">E.10 Actuarial Lab — Actuarial Value Calculator (ACA metallic tiers); Premium Rating Workbench; Adverse Selection Death Spiral Model (5-year dynamic simulation); Medicare Drug Pricing IRA Calculator.</w:t>
      </w:r>
    </w:p>
    <w:p>
      <w:pPr>
        <w:pStyle w:val="BodyText"/>
      </w:pPr>
      <w:r>
        <w:t xml:space="preserve">Category 4 — Technology &amp; AI in Health</w:t>
      </w:r>
    </w:p>
    <w:p>
      <w:pPr>
        <w:pStyle w:val="BodyText"/>
      </w:pPr>
      <w:r>
        <w:t xml:space="preserve">E.11 HTA Studio — Budget Impact Model Builder (5-year, 3 uptake scenarios); Multi-Criteria Decision Analysis (8 criteria, up to 3 alternatives); Monte Carlo PSA (1,000 iterations with CE plane and CEAC); Threshold and Surrogate Analysis.</w:t>
      </w:r>
    </w:p>
    <w:p>
      <w:pPr>
        <w:pStyle w:val="BodyText"/>
      </w:pPr>
      <w:r>
        <w:t xml:space="preserve">E.12 AI Analytics Lab — Predictive Model Performance Comparator (AUC-ROC, sensitivity, specificity, PPV, NPV, F1, Brier for up to 3 models); Algorithmic Bias Detector (demographic parity, equal opportunity, predictive parity, calibration; flags outside 0.80–1.25); AI Clinical Governance Framework Builder (65-item checklist, 6 lifecycle stages); AI ROI Calculator.</w:t>
      </w:r>
    </w:p>
    <w:p>
      <w:pPr>
        <w:pStyle w:val="BodyText"/>
      </w:pPr>
      <w:r>
        <w:t xml:space="preserve">E.13 Digital Health Lab — Remote Patient Monitoring ROI Calculator (CPT 99453/99454/99457/99458, 6 condition modules); Telehealth Utilization Modeler; Patient Engagement Platform Comparison (PAM model, 5 types); EHR Optimization and Interoperability ROI.</w:t>
      </w:r>
    </w:p>
    <w:p>
      <w:pPr>
        <w:pStyle w:val="BodyText"/>
      </w:pPr>
      <w:r>
        <w:t xml:space="preserve">Category 5 — Knowledge &amp; Workspace</w:t>
      </w:r>
    </w:p>
    <w:p>
      <w:pPr>
        <w:pStyle w:val="BodyText"/>
      </w:pPr>
      <w:r>
        <w:t xml:space="preserve">E.14 Evidence Library — CEA/CUA Study Database (25 landmark studies); CMMI Innovation Center Model Tracker (20 models incl. Vermont All-Payer, Maryland TCOC, Making Care Primary, ACO REACH, AHEAD); Policy Brief Library (15 briefs).</w:t>
      </w:r>
    </w:p>
    <w:p>
      <w:pPr>
        <w:pStyle w:val="BodyText"/>
      </w:pPr>
      <w:r>
        <w:t xml:space="preserve">E.15 Workforce Modeler — Physician Supply/Demand Projector (12 specialties, 10-year, AAMC methodology); Nurse Staffing Ratio Simulator (7 unit types); Total Cost of Turnover Calculator (5 roles, 7 retention ROI models); Rural Workforce Distribution and Incentive Modeler (7 programs).</w:t>
      </w:r>
    </w:p>
    <w:p>
      <w:pPr>
        <w:pStyle w:val="BodyText"/>
      </w:pPr>
      <w:r>
        <w:t xml:space="preserve">E.16 Research Workspace — Analysis Scenario Manager (50 scenarios, JSON import/export); Report Builder (Policy Brief, Financial Analysis, QI, Technology Assessment); Scenario Comparison Dashboard (up to 4); Research Notes and Citation Manager (AMA/APA).</w:t>
      </w:r>
    </w:p>
    <w:p>
      <w:pPr>
        <w:pStyle w:val="BodyText"/>
      </w:pPr>
      <w:r>
        <w:t xml:space="preserve">E.17 Innovation Leaderboard — State Health Transformation Rankings (50 states + DC); Hospital System VBC Maturity Index (30 systems); Payer Innovation Index (20 payers, 3-year trajectory).</w:t>
      </w:r>
    </w:p>
    <w:p>
      <w:pPr>
        <w:pStyle w:val="BodyText"/>
      </w:pPr>
      <w:r>
        <w:t xml:space="preserve">E.18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pPr>
        <w:pStyle w:val="BodyText"/>
      </w:pPr>
      <w:r>
        <w:t xml:space="preserve">E.19 The Wire — HTR Intelligence Feed — real-time intelligence across all six pillars. Convergence Newsletter (free weekly) for Observer-tier; full analysis with Vermont commentary for Strategist and Enterprise.</w:t>
      </w:r>
    </w:p>
    <w:p>
      <w:r>
        <w:br w:type="page"/>
      </w:r>
    </w:p>
    <w:p>
      <w:pPr>
        <w:pStyle w:val="Heading1"/>
      </w:pPr>
      <w:bookmarkStart w:id="1468" w:name="_Toc1467"/>
      <w:r>
        <w:rPr>
          <w:b/>
          <w:bCs/>
          <w:color w:val="161B22"/>
        </w:rPr>
        <w:t xml:space="preserve">Appendix F — Vermont Transformation Scorecard: 2022 Baseline, 2026 Status, 2028 Target</w:t>
      </w:r>
      <w:bookmarkEnd w:id="1468"/>
    </w:p>
    <w:p>
      <w:pPr>
        <w:pStyle w:val="FirstParagraph"/>
        <w:keepNext w:val="false"/>
      </w:pPr>
      <w:r>
        <w:t xml:space="preserve">This scorecard consolidates the Vermont evidence from across the book into a single reference. For each pillar it answers three questions: Vermont’s starting point in 2022 (before Act 167), the current state in early 2026, and what success looks like by the December 2028 Strategic Plan deadline. Where 2028 targets are set in statute or GMCB guidance they are noted as statutory; where they represent HTR’s assessment of what success requires, they are noted as HTR benchmark.</w:t>
      </w:r>
    </w:p>
    <w:p>
      <w:pPr>
        <w:pStyle w:val="Heading3"/>
        <w:keepNext w:val="false"/>
      </w:pPr>
      <w:r>
        <w:rPr>
          <w:color w:val="161B22"/>
        </w:rPr>
        <w:t xml:space="preserve">F.0.1  </w:t>
      </w:r>
      <w:bookmarkStart w:id="1469" w:name="_Toc1468"/>
      <w:r>
        <w:rPr>
          <w:b/>
          <w:bCs/>
          <w:color w:val="161B22"/>
        </w:rPr>
        <w:t xml:space="preserve">Policy Pillar</w:t>
      </w:r>
      <w:bookmarkEnd w:id="1469"/>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Payment-reform mandate</w:t>
            </w:r>
          </w:p>
        </w:tc>
        <w:tc>
          <w:tcPr>
            <w:tcW w:w="1899" w:type="dxa"/>
          </w:tcPr>
          <w:p>
            <w:pPr>
              <w:pStyle w:val="Compact"/>
              <w:jc w:val="left"/>
            </w:pPr>
            <w:r>
              <w:rPr>
                <w:sz w:val="18"/>
              </w:rPr>
              <w:t xml:space="preserve">Voluntary only (OneCare ACO)</w:t>
            </w:r>
          </w:p>
        </w:tc>
        <w:tc>
          <w:tcPr>
            <w:tcW w:w="2287" w:type="dxa"/>
          </w:tcPr>
          <w:p>
            <w:pPr>
              <w:pStyle w:val="Compact"/>
              <w:jc w:val="left"/>
            </w:pPr>
            <w:r>
              <w:rPr>
                <w:sz w:val="18"/>
              </w:rPr>
              <w:t xml:space="preserve">Mandatory RBP (FY2027) and global budgets (FY2028) enacted</w:t>
            </w:r>
          </w:p>
        </w:tc>
        <w:tc>
          <w:tcPr>
            <w:tcW w:w="2326" w:type="dxa"/>
          </w:tcPr>
          <w:p>
            <w:pPr>
              <w:pStyle w:val="Compact"/>
              <w:jc w:val="left"/>
            </w:pPr>
            <w:r>
              <w:rPr>
                <w:sz w:val="18"/>
              </w:rPr>
              <w:t xml:space="preserve">All hospitals under mandatory global budgets</w:t>
            </w:r>
          </w:p>
        </w:tc>
        <w:tc>
          <w:tcPr>
            <w:tcW w:w="1318" w:type="dxa"/>
          </w:tcPr>
          <w:p>
            <w:pPr>
              <w:pStyle w:val="Compact"/>
              <w:jc w:val="left"/>
            </w:pPr>
            <w:r>
              <w:rPr>
                <w:sz w:val="18"/>
              </w:rPr>
              <w:t xml:space="preserve">Act 68; statutory</w:t>
            </w:r>
          </w:p>
        </w:tc>
      </w:tr>
      <w:tr>
        <w:trPr/>
        <w:tc>
          <w:tcPr>
            <w:tcW w:w="1240" w:type="dxa"/>
          </w:tcPr>
          <w:p>
            <w:pPr>
              <w:pStyle w:val="Compact"/>
              <w:jc w:val="left"/>
            </w:pPr>
            <w:r>
              <w:rPr>
                <w:sz w:val="18"/>
              </w:rPr>
              <w:t xml:space="preserve">Hospital-system diagnostic</w:t>
            </w:r>
          </w:p>
        </w:tc>
        <w:tc>
          <w:tcPr>
            <w:tcW w:w="1899" w:type="dxa"/>
          </w:tcPr>
          <w:p>
            <w:pPr>
              <w:pStyle w:val="Compact"/>
              <w:jc w:val="left"/>
            </w:pPr>
            <w:r>
              <w:rPr>
                <w:sz w:val="18"/>
              </w:rPr>
              <w:t xml:space="preserve">No comprehensive analysis</w:t>
            </w:r>
          </w:p>
        </w:tc>
        <w:tc>
          <w:tcPr>
            <w:tcW w:w="2287" w:type="dxa"/>
          </w:tcPr>
          <w:p>
            <w:pPr>
              <w:pStyle w:val="Compact"/>
              <w:jc w:val="left"/>
            </w:pPr>
            <w:r>
              <w:rPr>
                <w:sz w:val="18"/>
              </w:rPr>
              <w:t xml:space="preserve">Oliver Wyman Act 167 analysis complete; 230+ meetings, 3,100+ participants</w:t>
            </w:r>
          </w:p>
        </w:tc>
        <w:tc>
          <w:tcPr>
            <w:tcW w:w="2326" w:type="dxa"/>
          </w:tcPr>
          <w:p>
            <w:pPr>
              <w:pStyle w:val="Compact"/>
              <w:jc w:val="left"/>
            </w:pPr>
            <w:r>
              <w:rPr>
                <w:sz w:val="18"/>
              </w:rPr>
              <w:t xml:space="preserve">Annual updates to diagnostic methodology</w:t>
            </w:r>
          </w:p>
        </w:tc>
        <w:tc>
          <w:tcPr>
            <w:tcW w:w="1318" w:type="dxa"/>
          </w:tcPr>
          <w:p>
            <w:pPr>
              <w:pStyle w:val="Compact"/>
              <w:jc w:val="left"/>
            </w:pPr>
            <w:r>
              <w:rPr>
                <w:sz w:val="18"/>
              </w:rPr>
              <w:t xml:space="preserve">Oliver Wyman Act 167 Report (Aug 2024)</w:t>
            </w:r>
          </w:p>
        </w:tc>
      </w:tr>
      <w:tr>
        <w:trPr/>
        <w:tc>
          <w:tcPr>
            <w:tcW w:w="1240" w:type="dxa"/>
          </w:tcPr>
          <w:p>
            <w:pPr>
              <w:pStyle w:val="Compact"/>
              <w:jc w:val="left"/>
            </w:pPr>
            <w:r>
              <w:rPr>
                <w:sz w:val="18"/>
              </w:rPr>
              <w:t xml:space="preserve">Statewide Strategic Plan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Framework under development; HCAC convened</w:t>
            </w:r>
          </w:p>
        </w:tc>
        <w:tc>
          <w:tcPr>
            <w:tcW w:w="2326" w:type="dxa"/>
          </w:tcPr>
          <w:p>
            <w:pPr>
              <w:pStyle w:val="Compact"/>
              <w:jc w:val="left"/>
            </w:pPr>
            <w:r>
              <w:rPr>
                <w:sz w:val="18"/>
              </w:rPr>
              <w:t xml:space="preserve">Plan delivered to legislature December 2028</w:t>
            </w:r>
          </w:p>
        </w:tc>
        <w:tc>
          <w:tcPr>
            <w:tcW w:w="1318" w:type="dxa"/>
          </w:tcPr>
          <w:p>
            <w:pPr>
              <w:pStyle w:val="Compact"/>
              <w:jc w:val="left"/>
            </w:pPr>
            <w:r>
              <w:rPr>
                <w:sz w:val="18"/>
              </w:rPr>
              <w:t xml:space="preserve">Act 68; statutory deadline</w:t>
            </w:r>
          </w:p>
        </w:tc>
      </w:tr>
      <w:tr>
        <w:trPr/>
        <w:tc>
          <w:tcPr>
            <w:tcW w:w="1240" w:type="dxa"/>
          </w:tcPr>
          <w:p>
            <w:pPr>
              <w:pStyle w:val="Compact"/>
              <w:jc w:val="left"/>
            </w:pPr>
            <w:r>
              <w:rPr>
                <w:sz w:val="18"/>
              </w:rPr>
              <w:t xml:space="preserve">Federal-state alignment</w:t>
            </w:r>
          </w:p>
        </w:tc>
        <w:tc>
          <w:tcPr>
            <w:tcW w:w="1899" w:type="dxa"/>
          </w:tcPr>
          <w:p>
            <w:pPr>
              <w:pStyle w:val="Compact"/>
              <w:jc w:val="left"/>
            </w:pPr>
            <w:r>
              <w:rPr>
                <w:sz w:val="18"/>
              </w:rPr>
              <w:t xml:space="preserve">No all-payer agreement</w:t>
            </w:r>
          </w:p>
        </w:tc>
        <w:tc>
          <w:tcPr>
            <w:tcW w:w="2287" w:type="dxa"/>
          </w:tcPr>
          <w:p>
            <w:pPr>
              <w:pStyle w:val="Compact"/>
              <w:jc w:val="left"/>
            </w:pPr>
            <w:r>
              <w:rPr>
                <w:sz w:val="18"/>
              </w:rPr>
              <w:t xml:space="preserve">AHEAD State Agreement signed Jan 2025; nine-year term</w:t>
            </w:r>
          </w:p>
        </w:tc>
        <w:tc>
          <w:tcPr>
            <w:tcW w:w="2326" w:type="dxa"/>
          </w:tcPr>
          <w:p>
            <w:pPr>
              <w:pStyle w:val="Compact"/>
              <w:jc w:val="left"/>
            </w:pPr>
            <w:r>
              <w:rPr>
                <w:sz w:val="18"/>
              </w:rPr>
              <w:t xml:space="preserve">Full AHEAD compliance; second agreement negotiated</w:t>
            </w:r>
          </w:p>
        </w:tc>
        <w:tc>
          <w:tcPr>
            <w:tcW w:w="1318" w:type="dxa"/>
          </w:tcPr>
          <w:p>
            <w:pPr>
              <w:pStyle w:val="Compact"/>
              <w:jc w:val="left"/>
            </w:pPr>
            <w:r>
              <w:rPr>
                <w:sz w:val="18"/>
              </w:rPr>
              <w:t xml:space="preserve">CMS AHEAD State Agreement</w:t>
            </w:r>
          </w:p>
        </w:tc>
      </w:tr>
      <w:tr>
        <w:trPr>
          <w:cantSplit/>
        </w:trPr>
        <w:tc>
          <w:tcPr>
            <w:tcW w:w="1240" w:type="dxa"/>
          </w:tcPr>
          <w:p>
            <w:pPr>
              <w:pStyle w:val="Compact"/>
              <w:jc w:val="left"/>
            </w:pPr>
            <w:r>
              <w:rPr>
                <w:sz w:val="18"/>
              </w:rPr>
              <w:t xml:space="preserve">Capital investment</w:t>
            </w:r>
          </w:p>
        </w:tc>
        <w:tc>
          <w:tcPr>
            <w:tcW w:w="1899" w:type="dxa"/>
          </w:tcPr>
          <w:p>
            <w:pPr>
              <w:pStyle w:val="Compact"/>
              <w:jc w:val="left"/>
            </w:pPr>
            <w:r>
              <w:rPr>
                <w:sz w:val="18"/>
              </w:rPr>
              <w:t xml:space="preserve">No dedicated transformation capital</w:t>
            </w:r>
          </w:p>
        </w:tc>
        <w:tc>
          <w:tcPr>
            <w:tcW w:w="2287" w:type="dxa"/>
          </w:tcPr>
          <w:p>
            <w:pPr>
              <w:pStyle w:val="Compact"/>
              <w:jc w:val="left"/>
            </w:pPr>
            <w:r>
              <w:rPr>
                <w:sz w:val="18"/>
              </w:rPr>
              <w:t xml:space="preserve">RHT Program: $195M over 5 years awarded</w:t>
            </w:r>
          </w:p>
        </w:tc>
        <w:tc>
          <w:tcPr>
            <w:tcW w:w="2326" w:type="dxa"/>
          </w:tcPr>
          <w:p>
            <w:pPr>
              <w:pStyle w:val="Compact"/>
              <w:jc w:val="left"/>
            </w:pPr>
            <w:r>
              <w:rPr>
                <w:sz w:val="18"/>
              </w:rPr>
              <w:t xml:space="preserve">$195M deployed; CIN operational; IT infrastructure complete</w:t>
            </w:r>
          </w:p>
        </w:tc>
        <w:tc>
          <w:tcPr>
            <w:tcW w:w="1318" w:type="dxa"/>
          </w:tcPr>
          <w:p>
            <w:pPr>
              <w:pStyle w:val="Compact"/>
              <w:jc w:val="left"/>
            </w:pPr>
            <w:r>
              <w:rPr>
                <w:sz w:val="18"/>
              </w:rPr>
              <w:t xml:space="preserve">Vermont RHT Application (Nov 2025)</w:t>
            </w:r>
          </w:p>
        </w:tc>
      </w:tr>
    </w:tbl>
    <w:p>
      <w:pPr>
        <w:pStyle w:val="Caption"/>
        <w:keepNext w:val="false"/>
        <w:spacing w:before="280"/>
      </w:pPr>
      <w:r>
        <w:rPr>
          <w:i/>
          <w:iCs/>
        </w:rPr>
        <w:t xml:space="preserve">Figure F.1 — Policy-pillar scorecard. Sources: Act 68 of 2025; Oliver Wyman Act 167 Report; CMS AHEAD documentation; Vermont RHT Program Application.</w:t>
      </w:r>
    </w:p>
    <w:p>
      <w:pPr>
        <w:pStyle w:val="Heading3"/>
        <w:keepNext w:val="false"/>
      </w:pPr>
      <w:r>
        <w:rPr>
          <w:color w:val="161B22"/>
        </w:rPr>
        <w:t xml:space="preserve">F.0.2  </w:t>
      </w:r>
      <w:bookmarkStart w:id="1470" w:name="_Toc1469"/>
      <w:r>
        <w:rPr>
          <w:b/>
          <w:bCs/>
          <w:color w:val="161B22"/>
        </w:rPr>
        <w:t xml:space="preserve">Technology Pillar</w:t>
      </w:r>
      <w:bookmarkEnd w:id="1470"/>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All-payer claims database</w:t>
            </w:r>
          </w:p>
        </w:tc>
        <w:tc>
          <w:tcPr>
            <w:tcW w:w="1899" w:type="dxa"/>
          </w:tcPr>
          <w:p>
            <w:pPr>
              <w:pStyle w:val="Compact"/>
              <w:jc w:val="left"/>
            </w:pPr>
            <w:r>
              <w:rPr>
                <w:sz w:val="18"/>
              </w:rPr>
              <w:t xml:space="preserve">VHCURES operational; 2-year data lag</w:t>
            </w:r>
          </w:p>
        </w:tc>
        <w:tc>
          <w:tcPr>
            <w:tcW w:w="2287" w:type="dxa"/>
          </w:tcPr>
          <w:p>
            <w:pPr>
              <w:pStyle w:val="Compact"/>
              <w:jc w:val="left"/>
            </w:pPr>
            <w:r>
              <w:rPr>
                <w:sz w:val="18"/>
              </w:rPr>
              <w:t xml:space="preserve">VHCURES solid; attribution modeling in progress; analytics-vendor procurement underway</w:t>
            </w:r>
          </w:p>
        </w:tc>
        <w:tc>
          <w:tcPr>
            <w:tcW w:w="2326" w:type="dxa"/>
          </w:tcPr>
          <w:p>
            <w:pPr>
              <w:pStyle w:val="Compact"/>
              <w:jc w:val="left"/>
            </w:pPr>
            <w:r>
              <w:rPr>
                <w:sz w:val="18"/>
              </w:rPr>
              <w:t xml:space="preserve">VHCURES real-time/near-real-time; vendor fully deployed</w:t>
            </w:r>
          </w:p>
        </w:tc>
        <w:tc>
          <w:tcPr>
            <w:tcW w:w="1318" w:type="dxa"/>
          </w:tcPr>
          <w:p>
            <w:pPr>
              <w:pStyle w:val="Compact"/>
              <w:jc w:val="left"/>
            </w:pPr>
            <w:r>
              <w:rPr>
                <w:sz w:val="18"/>
              </w:rPr>
              <w:t xml:space="preserve">GMCB VHCURES documentation</w:t>
            </w:r>
          </w:p>
        </w:tc>
      </w:tr>
      <w:tr>
        <w:trPr/>
        <w:tc>
          <w:tcPr>
            <w:tcW w:w="1240" w:type="dxa"/>
          </w:tcPr>
          <w:p>
            <w:pPr>
              <w:pStyle w:val="Compact"/>
              <w:jc w:val="left"/>
            </w:pPr>
            <w:r>
              <w:rPr>
                <w:sz w:val="18"/>
              </w:rPr>
              <w:t xml:space="preserve">Health information exchange</w:t>
            </w:r>
          </w:p>
        </w:tc>
        <w:tc>
          <w:tcPr>
            <w:tcW w:w="1899" w:type="dxa"/>
          </w:tcPr>
          <w:p>
            <w:pPr>
              <w:pStyle w:val="Compact"/>
              <w:jc w:val="left"/>
            </w:pPr>
            <w:r>
              <w:rPr>
                <w:sz w:val="18"/>
              </w:rPr>
              <w:t xml:space="preserve">VITL operational but voluntary; incomplete adoption</w:t>
            </w:r>
          </w:p>
        </w:tc>
        <w:tc>
          <w:tcPr>
            <w:tcW w:w="2287" w:type="dxa"/>
          </w:tcPr>
          <w:p>
            <w:pPr>
              <w:pStyle w:val="Compact"/>
              <w:jc w:val="left"/>
            </w:pPr>
            <w:r>
              <w:rPr>
                <w:sz w:val="18"/>
              </w:rPr>
              <w:t xml:space="preserve">VITL voluntary; CIN under development; small providers disconnected</w:t>
            </w:r>
          </w:p>
        </w:tc>
        <w:tc>
          <w:tcPr>
            <w:tcW w:w="2326" w:type="dxa"/>
          </w:tcPr>
          <w:p>
            <w:pPr>
              <w:pStyle w:val="Compact"/>
              <w:jc w:val="left"/>
            </w:pPr>
            <w:r>
              <w:rPr>
                <w:sz w:val="18"/>
              </w:rPr>
              <w:t xml:space="preserve">VITL connectivity required for all Blueprint practices; CIN operational</w:t>
            </w:r>
          </w:p>
        </w:tc>
        <w:tc>
          <w:tcPr>
            <w:tcW w:w="1318" w:type="dxa"/>
          </w:tcPr>
          <w:p>
            <w:pPr>
              <w:pStyle w:val="Compact"/>
              <w:jc w:val="left"/>
            </w:pPr>
            <w:r>
              <w:rPr>
                <w:sz w:val="18"/>
              </w:rPr>
              <w:t xml:space="preserve">VITL annual report; Act 62 of 2025</w:t>
            </w:r>
          </w:p>
        </w:tc>
      </w:tr>
      <w:tr>
        <w:trPr/>
        <w:tc>
          <w:tcPr>
            <w:tcW w:w="1240" w:type="dxa"/>
          </w:tcPr>
          <w:p>
            <w:pPr>
              <w:pStyle w:val="Compact"/>
              <w:jc w:val="left"/>
            </w:pPr>
            <w:r>
              <w:rPr>
                <w:sz w:val="18"/>
              </w:rPr>
              <w:t xml:space="preserve">FHIR compliance</w:t>
            </w:r>
          </w:p>
        </w:tc>
        <w:tc>
          <w:tcPr>
            <w:tcW w:w="1899" w:type="dxa"/>
          </w:tcPr>
          <w:p>
            <w:pPr>
              <w:pStyle w:val="Compact"/>
              <w:jc w:val="left"/>
            </w:pPr>
            <w:r>
              <w:rPr>
                <w:sz w:val="18"/>
              </w:rPr>
              <w:t xml:space="preserve">Minimal across the system</w:t>
            </w:r>
          </w:p>
        </w:tc>
        <w:tc>
          <w:tcPr>
            <w:tcW w:w="2287" w:type="dxa"/>
          </w:tcPr>
          <w:p>
            <w:pPr>
              <w:pStyle w:val="Compact"/>
              <w:jc w:val="left"/>
            </w:pPr>
            <w:r>
              <w:rPr>
                <w:sz w:val="18"/>
              </w:rPr>
              <w:t xml:space="preserve">CMS interoperability rule driving compliance; RHT grants funding upgrades</w:t>
            </w:r>
          </w:p>
        </w:tc>
        <w:tc>
          <w:tcPr>
            <w:tcW w:w="2326" w:type="dxa"/>
          </w:tcPr>
          <w:p>
            <w:pPr>
              <w:pStyle w:val="Compact"/>
              <w:jc w:val="left"/>
            </w:pPr>
            <w:r>
              <w:rPr>
                <w:sz w:val="18"/>
              </w:rPr>
              <w:t xml:space="preserve">Full FHIR R4 compliance at all AHEAD-participating hospitals</w:t>
            </w:r>
          </w:p>
        </w:tc>
        <w:tc>
          <w:tcPr>
            <w:tcW w:w="1318" w:type="dxa"/>
          </w:tcPr>
          <w:p>
            <w:pPr>
              <w:pStyle w:val="Compact"/>
              <w:jc w:val="left"/>
            </w:pPr>
            <w:r>
              <w:rPr>
                <w:sz w:val="18"/>
              </w:rPr>
              <w:t xml:space="preserve">CMS interoperability rule; RHT IT grants</w:t>
            </w:r>
          </w:p>
        </w:tc>
      </w:tr>
      <w:tr>
        <w:trPr/>
        <w:tc>
          <w:tcPr>
            <w:tcW w:w="1240" w:type="dxa"/>
          </w:tcPr>
          <w:p>
            <w:pPr>
              <w:pStyle w:val="Compact"/>
              <w:jc w:val="left"/>
            </w:pPr>
            <w:r>
              <w:rPr>
                <w:sz w:val="18"/>
              </w:rPr>
              <w:t xml:space="preserve">AI-governance framework</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AI-scribe grants deployed; governance absent in most institutions</w:t>
            </w:r>
          </w:p>
        </w:tc>
        <w:tc>
          <w:tcPr>
            <w:tcW w:w="2326" w:type="dxa"/>
          </w:tcPr>
          <w:p>
            <w:pPr>
              <w:pStyle w:val="Compact"/>
              <w:jc w:val="left"/>
            </w:pPr>
            <w:r>
              <w:rPr>
                <w:sz w:val="18"/>
              </w:rPr>
              <w:t xml:space="preserve">Statewide AI-governance framework; bias testing required</w:t>
            </w:r>
          </w:p>
        </w:tc>
        <w:tc>
          <w:tcPr>
            <w:tcW w:w="1318" w:type="dxa"/>
          </w:tcPr>
          <w:p>
            <w:pPr>
              <w:pStyle w:val="Compact"/>
              <w:jc w:val="left"/>
            </w:pPr>
            <w:r>
              <w:rPr>
                <w:sz w:val="18"/>
              </w:rPr>
              <w:t xml:space="preserve">Vermont RHT Program; HTR AI Governance Checklist</w:t>
            </w:r>
          </w:p>
        </w:tc>
      </w:tr>
      <w:tr>
        <w:trPr>
          <w:cantSplit/>
        </w:trPr>
        <w:tc>
          <w:tcPr>
            <w:tcW w:w="1240" w:type="dxa"/>
          </w:tcPr>
          <w:p>
            <w:pPr>
              <w:pStyle w:val="Compact"/>
              <w:jc w:val="left"/>
            </w:pPr>
            <w:r>
              <w:rPr>
                <w:sz w:val="18"/>
              </w:rPr>
              <w:t xml:space="preserve">Race/ethnicity data quality</w:t>
            </w:r>
          </w:p>
        </w:tc>
        <w:tc>
          <w:tcPr>
            <w:tcW w:w="1899" w:type="dxa"/>
          </w:tcPr>
          <w:p>
            <w:pPr>
              <w:pStyle w:val="Compact"/>
              <w:jc w:val="left"/>
            </w:pPr>
            <w:r>
              <w:rPr>
                <w:sz w:val="18"/>
              </w:rPr>
              <w:t xml:space="preserve">Incomplete VHCURES demographic fields</w:t>
            </w:r>
          </w:p>
        </w:tc>
        <w:tc>
          <w:tcPr>
            <w:tcW w:w="2287" w:type="dxa"/>
          </w:tcPr>
          <w:p>
            <w:pPr>
              <w:pStyle w:val="Compact"/>
              <w:jc w:val="left"/>
            </w:pPr>
            <w:r>
              <w:rPr>
                <w:sz w:val="18"/>
              </w:rPr>
              <w:t xml:space="preserve">Acknowledged gap; improvement underway</w:t>
            </w:r>
          </w:p>
        </w:tc>
        <w:tc>
          <w:tcPr>
            <w:tcW w:w="2326" w:type="dxa"/>
          </w:tcPr>
          <w:p>
            <w:pPr>
              <w:pStyle w:val="Compact"/>
              <w:jc w:val="left"/>
            </w:pPr>
            <w:r>
              <w:rPr>
                <w:sz w:val="18"/>
              </w:rPr>
              <w:t xml:space="preserve">Complete stratification for 90%+ of encounters</w:t>
            </w:r>
          </w:p>
        </w:tc>
        <w:tc>
          <w:tcPr>
            <w:tcW w:w="1318" w:type="dxa"/>
          </w:tcPr>
          <w:p>
            <w:pPr>
              <w:pStyle w:val="Compact"/>
              <w:jc w:val="left"/>
            </w:pPr>
            <w:r>
              <w:rPr>
                <w:sz w:val="18"/>
              </w:rPr>
              <w:t xml:space="preserve">Vermont DOH Health Equity Data Report (Jan 2025)</w:t>
            </w:r>
          </w:p>
        </w:tc>
      </w:tr>
    </w:tbl>
    <w:p>
      <w:pPr>
        <w:pStyle w:val="Caption"/>
        <w:keepNext w:val="false"/>
        <w:spacing w:before="280"/>
      </w:pPr>
      <w:r>
        <w:rPr>
          <w:i/>
          <w:iCs/>
        </w:rPr>
        <w:t xml:space="preserve">Figure F.2 — Technology-pillar scorecard. Sources: GMCB VHCURES; VITL; Vermont DOH Health Equity Data Report (January 2025); Vermont RHT Application.</w:t>
      </w:r>
    </w:p>
    <w:p>
      <w:pPr>
        <w:pStyle w:val="Heading3"/>
        <w:keepNext w:val="false"/>
      </w:pPr>
      <w:r>
        <w:rPr>
          <w:color w:val="161B22"/>
        </w:rPr>
        <w:t xml:space="preserve">F.0.3  </w:t>
      </w:r>
      <w:bookmarkStart w:id="1471" w:name="_Toc1470"/>
      <w:r>
        <w:rPr>
          <w:b/>
          <w:bCs/>
          <w:color w:val="161B22"/>
        </w:rPr>
        <w:t xml:space="preserve">Economics Pillar</w:t>
      </w:r>
      <w:bookmarkEnd w:id="1471"/>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Hospital operating margins</w:t>
            </w:r>
          </w:p>
        </w:tc>
        <w:tc>
          <w:tcPr>
            <w:tcW w:w="1899" w:type="dxa"/>
          </w:tcPr>
          <w:p>
            <w:pPr>
              <w:pStyle w:val="Compact"/>
              <w:jc w:val="left"/>
            </w:pPr>
            <w:r>
              <w:rPr>
                <w:sz w:val="18"/>
              </w:rPr>
              <w:t xml:space="preserve">9 of 14 reporting losses (FY2023); worst −8.9%</w:t>
            </w:r>
          </w:p>
        </w:tc>
        <w:tc>
          <w:tcPr>
            <w:tcW w:w="2287" w:type="dxa"/>
          </w:tcPr>
          <w:p>
            <w:pPr>
              <w:pStyle w:val="Compact"/>
              <w:jc w:val="left"/>
            </w:pPr>
            <w:r>
              <w:rPr>
                <w:sz w:val="18"/>
              </w:rPr>
              <w:t xml:space="preserve">9 of 14 in losses; CAH operating profit $938/discharge vs. $2,784 benchmark</w:t>
            </w:r>
          </w:p>
        </w:tc>
        <w:tc>
          <w:tcPr>
            <w:tcW w:w="2326" w:type="dxa"/>
          </w:tcPr>
          <w:p>
            <w:pPr>
              <w:pStyle w:val="Compact"/>
              <w:jc w:val="left"/>
            </w:pPr>
            <w:r>
              <w:rPr>
                <w:sz w:val="18"/>
              </w:rPr>
              <w:t xml:space="preserve">13 of 14 within sustainable margin range</w:t>
            </w:r>
          </w:p>
        </w:tc>
        <w:tc>
          <w:tcPr>
            <w:tcW w:w="1318" w:type="dxa"/>
          </w:tcPr>
          <w:p>
            <w:pPr>
              <w:pStyle w:val="Compact"/>
              <w:jc w:val="left"/>
            </w:pPr>
            <w:r>
              <w:rPr>
                <w:sz w:val="18"/>
              </w:rPr>
              <w:t xml:space="preserve">Oliver Wyman; AHS Nov 2025 Report</w:t>
            </w:r>
          </w:p>
        </w:tc>
      </w:tr>
      <w:tr>
        <w:trPr/>
        <w:tc>
          <w:tcPr>
            <w:tcW w:w="1240" w:type="dxa"/>
          </w:tcPr>
          <w:p>
            <w:pPr>
              <w:pStyle w:val="Compact"/>
              <w:jc w:val="left"/>
            </w:pPr>
            <w:r>
              <w:rPr>
                <w:sz w:val="18"/>
              </w:rPr>
              <w:t xml:space="preserve">Commercial-to-Medicare price ratio</w:t>
            </w:r>
          </w:p>
        </w:tc>
        <w:tc>
          <w:tcPr>
            <w:tcW w:w="1899" w:type="dxa"/>
          </w:tcPr>
          <w:p>
            <w:pPr>
              <w:pStyle w:val="Compact"/>
              <w:jc w:val="left"/>
            </w:pPr>
            <w:r>
              <w:rPr>
                <w:sz w:val="18"/>
              </w:rPr>
              <w:t xml:space="preserve">UVMMC 300%+; system average 250–300%</w:t>
            </w:r>
          </w:p>
        </w:tc>
        <w:tc>
          <w:tcPr>
            <w:tcW w:w="2287" w:type="dxa"/>
          </w:tcPr>
          <w:p>
            <w:pPr>
              <w:pStyle w:val="Compact"/>
              <w:jc w:val="left"/>
            </w:pPr>
            <w:r>
              <w:rPr>
                <w:sz w:val="18"/>
              </w:rPr>
              <w:t xml:space="preserve">Mandatory RBP (FY2027) enacted; methodology under design</w:t>
            </w:r>
          </w:p>
        </w:tc>
        <w:tc>
          <w:tcPr>
            <w:tcW w:w="2326" w:type="dxa"/>
          </w:tcPr>
          <w:p>
            <w:pPr>
              <w:pStyle w:val="Compact"/>
              <w:jc w:val="left"/>
            </w:pPr>
            <w:r>
              <w:rPr>
                <w:sz w:val="18"/>
              </w:rPr>
              <w:t xml:space="preserve">All hospitals at or below statutory RBP ceiling; cross-subsidy reduced 40%+</w:t>
            </w:r>
          </w:p>
        </w:tc>
        <w:tc>
          <w:tcPr>
            <w:tcW w:w="1318" w:type="dxa"/>
          </w:tcPr>
          <w:p>
            <w:pPr>
              <w:pStyle w:val="Compact"/>
              <w:jc w:val="left"/>
            </w:pPr>
            <w:r>
              <w:rPr>
                <w:sz w:val="18"/>
              </w:rPr>
              <w:t xml:space="preserve">GMCB price-transparency data; Act 68</w:t>
            </w:r>
          </w:p>
        </w:tc>
      </w:tr>
      <w:tr>
        <w:trPr/>
        <w:tc>
          <w:tcPr>
            <w:tcW w:w="1240" w:type="dxa"/>
          </w:tcPr>
          <w:p>
            <w:pPr>
              <w:pStyle w:val="Compact"/>
              <w:jc w:val="left"/>
            </w:pPr>
            <w:r>
              <w:rPr>
                <w:sz w:val="18"/>
              </w:rPr>
              <w:t xml:space="preserve">Administrative cost per adjusted discharge</w:t>
            </w:r>
          </w:p>
        </w:tc>
        <w:tc>
          <w:tcPr>
            <w:tcW w:w="1899" w:type="dxa"/>
          </w:tcPr>
          <w:p>
            <w:pPr>
              <w:pStyle w:val="Compact"/>
              <w:jc w:val="left"/>
            </w:pPr>
            <w:r>
              <w:rPr>
                <w:sz w:val="18"/>
              </w:rPr>
              <w:t xml:space="preserve">UVMMC $3,826 (267% of $1,427 benchmark)</w:t>
            </w:r>
          </w:p>
        </w:tc>
        <w:tc>
          <w:tcPr>
            <w:tcW w:w="2287" w:type="dxa"/>
          </w:tcPr>
          <w:p>
            <w:pPr>
              <w:pStyle w:val="Compact"/>
              <w:jc w:val="left"/>
            </w:pPr>
            <w:r>
              <w:rPr>
                <w:sz w:val="18"/>
              </w:rPr>
              <w:t xml:space="preserve">$3,826 (unchanged); RHRC engagement underway</w:t>
            </w:r>
          </w:p>
        </w:tc>
        <w:tc>
          <w:tcPr>
            <w:tcW w:w="2326" w:type="dxa"/>
          </w:tcPr>
          <w:p>
            <w:pPr>
              <w:pStyle w:val="Compact"/>
              <w:jc w:val="left"/>
            </w:pPr>
            <w:r>
              <w:rPr>
                <w:sz w:val="18"/>
              </w:rPr>
              <w:t xml:space="preserve">System average below 150% of benchmark</w:t>
            </w:r>
          </w:p>
        </w:tc>
        <w:tc>
          <w:tcPr>
            <w:tcW w:w="1318" w:type="dxa"/>
          </w:tcPr>
          <w:p>
            <w:pPr>
              <w:pStyle w:val="Compact"/>
              <w:jc w:val="left"/>
            </w:pPr>
            <w:r>
              <w:rPr>
                <w:sz w:val="18"/>
              </w:rPr>
              <w:t xml:space="preserve">AHS Nov 2025 Report; NASHP</w:t>
            </w:r>
          </w:p>
        </w:tc>
      </w:tr>
      <w:tr>
        <w:trPr/>
        <w:tc>
          <w:tcPr>
            <w:tcW w:w="1240" w:type="dxa"/>
          </w:tcPr>
          <w:p>
            <w:pPr>
              <w:pStyle w:val="Compact"/>
              <w:jc w:val="left"/>
            </w:pPr>
            <w:r>
              <w:rPr>
                <w:sz w:val="18"/>
              </w:rPr>
              <w:t xml:space="preserve">VBC contract penetration</w:t>
            </w:r>
          </w:p>
        </w:tc>
        <w:tc>
          <w:tcPr>
            <w:tcW w:w="1899" w:type="dxa"/>
          </w:tcPr>
          <w:p>
            <w:pPr>
              <w:pStyle w:val="Compact"/>
              <w:jc w:val="left"/>
            </w:pPr>
            <w:r>
              <w:rPr>
                <w:sz w:val="18"/>
              </w:rPr>
              <w:t xml:space="preserve">AHEAD not launched; commercial VBC minimal</w:t>
            </w:r>
          </w:p>
        </w:tc>
        <w:tc>
          <w:tcPr>
            <w:tcW w:w="2287" w:type="dxa"/>
          </w:tcPr>
          <w:p>
            <w:pPr>
              <w:pStyle w:val="Compact"/>
              <w:jc w:val="left"/>
            </w:pPr>
            <w:r>
              <w:rPr>
                <w:sz w:val="18"/>
              </w:rPr>
              <w:t xml:space="preserve">AHEAD launches January 2028 (Medicare); commercial VBC growing</w:t>
            </w:r>
          </w:p>
        </w:tc>
        <w:tc>
          <w:tcPr>
            <w:tcW w:w="2326" w:type="dxa"/>
          </w:tcPr>
          <w:p>
            <w:pPr>
              <w:pStyle w:val="Compact"/>
              <w:jc w:val="left"/>
            </w:pPr>
            <w:r>
              <w:rPr>
                <w:sz w:val="18"/>
              </w:rPr>
              <w:t xml:space="preserve">Medicare: 100% under AHEAD; commercial: 40%+ VBC</w:t>
            </w:r>
          </w:p>
        </w:tc>
        <w:tc>
          <w:tcPr>
            <w:tcW w:w="1318" w:type="dxa"/>
          </w:tcPr>
          <w:p>
            <w:pPr>
              <w:pStyle w:val="Compact"/>
              <w:jc w:val="left"/>
            </w:pPr>
            <w:r>
              <w:rPr>
                <w:sz w:val="18"/>
              </w:rPr>
              <w:t xml:space="preserve">CMS AHEAD; GMCB commercial reports</w:t>
            </w:r>
          </w:p>
        </w:tc>
      </w:tr>
      <w:tr>
        <w:trPr>
          <w:cantSplit/>
        </w:trPr>
        <w:tc>
          <w:tcPr>
            <w:tcW w:w="1240" w:type="dxa"/>
          </w:tcPr>
          <w:p>
            <w:pPr>
              <w:pStyle w:val="Compact"/>
              <w:jc w:val="left"/>
            </w:pPr>
            <w:r>
              <w:rPr>
                <w:sz w:val="18"/>
              </w:rPr>
              <w:t xml:space="preserve">5-year cumulative deficit projection</w:t>
            </w:r>
          </w:p>
        </w:tc>
        <w:tc>
          <w:tcPr>
            <w:tcW w:w="1899" w:type="dxa"/>
          </w:tcPr>
          <w:p>
            <w:pPr>
              <w:pStyle w:val="Compact"/>
              <w:jc w:val="left"/>
            </w:pPr>
            <w:r>
              <w:rPr>
                <w:sz w:val="18"/>
              </w:rPr>
              <w:t xml:space="preserve">$700M–$2.4B (Oliver Wyman 2024)</w:t>
            </w:r>
          </w:p>
        </w:tc>
        <w:tc>
          <w:tcPr>
            <w:tcW w:w="2287" w:type="dxa"/>
          </w:tcPr>
          <w:p>
            <w:pPr>
              <w:pStyle w:val="Compact"/>
              <w:jc w:val="left"/>
            </w:pPr>
            <w:r>
              <w:rPr>
                <w:sz w:val="18"/>
              </w:rPr>
              <w:t xml:space="preserve">Trajectory unchanged without RBP/global-budget implementation</w:t>
            </w:r>
          </w:p>
        </w:tc>
        <w:tc>
          <w:tcPr>
            <w:tcW w:w="2326" w:type="dxa"/>
          </w:tcPr>
          <w:p>
            <w:pPr>
              <w:pStyle w:val="Compact"/>
              <w:jc w:val="left"/>
            </w:pPr>
            <w:r>
              <w:rPr>
                <w:sz w:val="18"/>
              </w:rPr>
              <w:t xml:space="preserve">Deficit trajectory reversed; system break-even by FY2030</w:t>
            </w:r>
          </w:p>
        </w:tc>
        <w:tc>
          <w:tcPr>
            <w:tcW w:w="1318" w:type="dxa"/>
          </w:tcPr>
          <w:p>
            <w:pPr>
              <w:pStyle w:val="Compact"/>
              <w:jc w:val="left"/>
            </w:pPr>
            <w:r>
              <w:rPr>
                <w:sz w:val="18"/>
              </w:rPr>
              <w:t xml:space="preserve">Oliver Wyman; Act 68 financial targets</w:t>
            </w:r>
          </w:p>
        </w:tc>
      </w:tr>
    </w:tbl>
    <w:p>
      <w:pPr>
        <w:pStyle w:val="Caption"/>
        <w:keepNext w:val="false"/>
        <w:spacing w:before="280"/>
      </w:pPr>
      <w:r>
        <w:rPr>
          <w:i/>
          <w:iCs/>
        </w:rPr>
        <w:t xml:space="preserve">Figure F.3 — Economics-pillar scorecard. Sources: Oliver Wyman Act 167 Report; AHS November 2025 Report; GMCB price-transparency data; CMS AHEAD.</w:t>
      </w:r>
    </w:p>
    <w:p>
      <w:pPr>
        <w:pStyle w:val="Heading3"/>
        <w:keepNext w:val="false"/>
      </w:pPr>
      <w:r>
        <w:rPr>
          <w:color w:val="161B22"/>
        </w:rPr>
        <w:t xml:space="preserve">F.0.4  </w:t>
      </w:r>
      <w:bookmarkStart w:id="1472" w:name="_Toc1471"/>
      <w:r>
        <w:rPr>
          <w:b/>
          <w:bCs/>
          <w:color w:val="161B22"/>
        </w:rPr>
        <w:t xml:space="preserve">Clinical Pillar</w:t>
      </w:r>
      <w:bookmarkEnd w:id="1472"/>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Primary-care PCMH coverage</w:t>
            </w:r>
          </w:p>
        </w:tc>
        <w:tc>
          <w:tcPr>
            <w:tcW w:w="1899" w:type="dxa"/>
          </w:tcPr>
          <w:p>
            <w:pPr>
              <w:pStyle w:val="Compact"/>
              <w:jc w:val="left"/>
            </w:pPr>
            <w:r>
              <w:rPr>
                <w:sz w:val="18"/>
              </w:rPr>
              <w:t xml:space="preserve">Blueprint: 90% of PCPs participating</w:t>
            </w:r>
          </w:p>
        </w:tc>
        <w:tc>
          <w:tcPr>
            <w:tcW w:w="2287" w:type="dxa"/>
          </w:tcPr>
          <w:p>
            <w:pPr>
              <w:pStyle w:val="Compact"/>
              <w:jc w:val="left"/>
            </w:pPr>
            <w:r>
              <w:rPr>
                <w:sz w:val="18"/>
              </w:rPr>
              <w:t xml:space="preserve">Blueprint 90%+; AHEAD transition beginning</w:t>
            </w:r>
          </w:p>
        </w:tc>
        <w:tc>
          <w:tcPr>
            <w:tcW w:w="2326" w:type="dxa"/>
          </w:tcPr>
          <w:p>
            <w:pPr>
              <w:pStyle w:val="Compact"/>
              <w:jc w:val="left"/>
            </w:pPr>
            <w:r>
              <w:rPr>
                <w:sz w:val="18"/>
              </w:rPr>
              <w:t xml:space="preserve">100% PCMH; Primary Care AHEAD fully deployed</w:t>
            </w:r>
          </w:p>
        </w:tc>
        <w:tc>
          <w:tcPr>
            <w:tcW w:w="1318" w:type="dxa"/>
          </w:tcPr>
          <w:p>
            <w:pPr>
              <w:pStyle w:val="Compact"/>
              <w:jc w:val="left"/>
            </w:pPr>
            <w:r>
              <w:rPr>
                <w:sz w:val="18"/>
              </w:rPr>
              <w:t xml:space="preserve">Vermont Blueprint Annual Report 2024</w:t>
            </w:r>
          </w:p>
        </w:tc>
      </w:tr>
      <w:tr>
        <w:trPr/>
        <w:tc>
          <w:tcPr>
            <w:tcW w:w="1240" w:type="dxa"/>
          </w:tcPr>
          <w:p>
            <w:pPr>
              <w:pStyle w:val="Compact"/>
              <w:jc w:val="left"/>
            </w:pPr>
            <w:r>
              <w:rPr>
                <w:sz w:val="18"/>
              </w:rPr>
              <w:t xml:space="preserve">BH ED follow-up (mental health, 30-day)</w:t>
            </w:r>
          </w:p>
        </w:tc>
        <w:tc>
          <w:tcPr>
            <w:tcW w:w="1899" w:type="dxa"/>
          </w:tcPr>
          <w:p>
            <w:pPr>
              <w:pStyle w:val="Compact"/>
              <w:jc w:val="left"/>
            </w:pPr>
            <w:r>
              <w:rPr>
                <w:sz w:val="18"/>
              </w:rPr>
              <w:t xml:space="preserve">76%</w:t>
            </w:r>
          </w:p>
        </w:tc>
        <w:tc>
          <w:tcPr>
            <w:tcW w:w="2287" w:type="dxa"/>
          </w:tcPr>
          <w:p>
            <w:pPr>
              <w:pStyle w:val="Compact"/>
              <w:jc w:val="left"/>
            </w:pPr>
            <w:r>
              <w:rPr>
                <w:sz w:val="18"/>
              </w:rPr>
              <w:t xml:space="preserve">76% (unchanged); MHI pilot in progress</w:t>
            </w:r>
          </w:p>
        </w:tc>
        <w:tc>
          <w:tcPr>
            <w:tcW w:w="2326" w:type="dxa"/>
          </w:tcPr>
          <w:p>
            <w:pPr>
              <w:pStyle w:val="Compact"/>
              <w:jc w:val="left"/>
            </w:pPr>
            <w:r>
              <w:rPr>
                <w:sz w:val="18"/>
              </w:rPr>
              <w:t xml:space="preserve">90%+; CoCM deployed at all PCMH practices</w:t>
            </w:r>
          </w:p>
        </w:tc>
        <w:tc>
          <w:tcPr>
            <w:tcW w:w="1318" w:type="dxa"/>
          </w:tcPr>
          <w:p>
            <w:pPr>
              <w:pStyle w:val="Compact"/>
              <w:jc w:val="left"/>
            </w:pPr>
            <w:r>
              <w:rPr>
                <w:sz w:val="18"/>
              </w:rPr>
              <w:t xml:space="preserve">Blueprint data; HEDIS FUM</w:t>
            </w:r>
          </w:p>
        </w:tc>
      </w:tr>
      <w:tr>
        <w:trPr/>
        <w:tc>
          <w:tcPr>
            <w:tcW w:w="1240" w:type="dxa"/>
          </w:tcPr>
          <w:p>
            <w:pPr>
              <w:pStyle w:val="Compact"/>
              <w:jc w:val="left"/>
            </w:pPr>
            <w:r>
              <w:rPr>
                <w:sz w:val="18"/>
              </w:rPr>
              <w:t xml:space="preserve">BH ED follow-up (SUD, 30-day)</w:t>
            </w:r>
          </w:p>
        </w:tc>
        <w:tc>
          <w:tcPr>
            <w:tcW w:w="1899" w:type="dxa"/>
          </w:tcPr>
          <w:p>
            <w:pPr>
              <w:pStyle w:val="Compact"/>
              <w:jc w:val="left"/>
            </w:pPr>
            <w:r>
              <w:rPr>
                <w:sz w:val="18"/>
              </w:rPr>
              <w:t xml:space="preserve">68%</w:t>
            </w:r>
          </w:p>
        </w:tc>
        <w:tc>
          <w:tcPr>
            <w:tcW w:w="2287" w:type="dxa"/>
          </w:tcPr>
          <w:p>
            <w:pPr>
              <w:pStyle w:val="Compact"/>
              <w:jc w:val="left"/>
            </w:pPr>
            <w:r>
              <w:rPr>
                <w:sz w:val="18"/>
              </w:rPr>
              <w:t xml:space="preserve">68% (improving slowly); Hub-and-Spoke operational</w:t>
            </w:r>
          </w:p>
        </w:tc>
        <w:tc>
          <w:tcPr>
            <w:tcW w:w="2326" w:type="dxa"/>
          </w:tcPr>
          <w:p>
            <w:pPr>
              <w:pStyle w:val="Compact"/>
              <w:jc w:val="left"/>
            </w:pPr>
            <w:r>
              <w:rPr>
                <w:sz w:val="18"/>
              </w:rPr>
              <w:t xml:space="preserve">85%+; CCBHC network operational</w:t>
            </w:r>
          </w:p>
        </w:tc>
        <w:tc>
          <w:tcPr>
            <w:tcW w:w="1318" w:type="dxa"/>
          </w:tcPr>
          <w:p>
            <w:pPr>
              <w:pStyle w:val="Compact"/>
              <w:jc w:val="left"/>
            </w:pPr>
            <w:r>
              <w:rPr>
                <w:sz w:val="18"/>
              </w:rPr>
              <w:t xml:space="preserve">Blueprint data; HEDIS FUA</w:t>
            </w:r>
          </w:p>
        </w:tc>
      </w:tr>
      <w:tr>
        <w:trPr/>
        <w:tc>
          <w:tcPr>
            <w:tcW w:w="1240" w:type="dxa"/>
          </w:tcPr>
          <w:p>
            <w:pPr>
              <w:pStyle w:val="Compact"/>
              <w:jc w:val="left"/>
            </w:pPr>
            <w:r>
              <w:rPr>
                <w:sz w:val="18"/>
              </w:rPr>
              <w:t xml:space="preserve">CCBHC network</w:t>
            </w:r>
          </w:p>
        </w:tc>
        <w:tc>
          <w:tcPr>
            <w:tcW w:w="1899" w:type="dxa"/>
          </w:tcPr>
          <w:p>
            <w:pPr>
              <w:pStyle w:val="Compact"/>
              <w:jc w:val="left"/>
            </w:pPr>
            <w:r>
              <w:rPr>
                <w:sz w:val="18"/>
              </w:rPr>
              <w:t xml:space="preserve">0 certified</w:t>
            </w:r>
          </w:p>
        </w:tc>
        <w:tc>
          <w:tcPr>
            <w:tcW w:w="2287" w:type="dxa"/>
          </w:tcPr>
          <w:p>
            <w:pPr>
              <w:pStyle w:val="Compact"/>
              <w:jc w:val="left"/>
            </w:pPr>
            <w:r>
              <w:rPr>
                <w:sz w:val="18"/>
              </w:rPr>
              <w:t xml:space="preserve">5 planned by 2026; certification in progress</w:t>
            </w:r>
          </w:p>
        </w:tc>
        <w:tc>
          <w:tcPr>
            <w:tcW w:w="2326" w:type="dxa"/>
          </w:tcPr>
          <w:p>
            <w:pPr>
              <w:pStyle w:val="Compact"/>
              <w:jc w:val="left"/>
            </w:pPr>
            <w:r>
              <w:rPr>
                <w:sz w:val="18"/>
              </w:rPr>
              <w:t xml:space="preserve">7 certified; statewide BH coverage</w:t>
            </w:r>
          </w:p>
        </w:tc>
        <w:tc>
          <w:tcPr>
            <w:tcW w:w="1318" w:type="dxa"/>
          </w:tcPr>
          <w:p>
            <w:pPr>
              <w:pStyle w:val="Compact"/>
              <w:jc w:val="left"/>
            </w:pPr>
            <w:r>
              <w:rPr>
                <w:sz w:val="18"/>
              </w:rPr>
              <w:t xml:space="preserve">Vermont AHS; SAMHSA</w:t>
            </w:r>
          </w:p>
        </w:tc>
      </w:tr>
      <w:tr>
        <w:trPr/>
        <w:tc>
          <w:tcPr>
            <w:tcW w:w="1240" w:type="dxa"/>
          </w:tcPr>
          <w:p>
            <w:pPr>
              <w:pStyle w:val="Compact"/>
              <w:jc w:val="left"/>
            </w:pPr>
            <w:r>
              <w:rPr>
                <w:sz w:val="18"/>
              </w:rPr>
              <w:t xml:space="preserve">Primary-care workforce</w:t>
            </w:r>
          </w:p>
        </w:tc>
        <w:tc>
          <w:tcPr>
            <w:tcW w:w="1899" w:type="dxa"/>
          </w:tcPr>
          <w:p>
            <w:pPr>
              <w:pStyle w:val="Compact"/>
              <w:jc w:val="left"/>
            </w:pPr>
            <w:r>
              <w:rPr>
                <w:sz w:val="18"/>
              </w:rPr>
              <w:t xml:space="preserve">370-FTE gap projected by 2030</w:t>
            </w:r>
          </w:p>
        </w:tc>
        <w:tc>
          <w:tcPr>
            <w:tcW w:w="2287" w:type="dxa"/>
          </w:tcPr>
          <w:p>
            <w:pPr>
              <w:pStyle w:val="Compact"/>
              <w:jc w:val="left"/>
            </w:pPr>
            <w:r>
              <w:rPr>
                <w:sz w:val="18"/>
              </w:rPr>
              <w:t xml:space="preserve">Shortage intensifying; team-based care deployment underway</w:t>
            </w:r>
          </w:p>
        </w:tc>
        <w:tc>
          <w:tcPr>
            <w:tcW w:w="2326" w:type="dxa"/>
          </w:tcPr>
          <w:p>
            <w:pPr>
              <w:pStyle w:val="Compact"/>
              <w:jc w:val="left"/>
            </w:pPr>
            <w:r>
              <w:rPr>
                <w:sz w:val="18"/>
              </w:rPr>
              <w:t xml:space="preserve">FTE gap &lt;200 via team-based care and telehealth</w:t>
            </w:r>
          </w:p>
        </w:tc>
        <w:tc>
          <w:tcPr>
            <w:tcW w:w="1318" w:type="dxa"/>
          </w:tcPr>
          <w:p>
            <w:pPr>
              <w:pStyle w:val="Compact"/>
              <w:jc w:val="left"/>
            </w:pPr>
            <w:r>
              <w:rPr>
                <w:sz w:val="18"/>
              </w:rPr>
              <w:t xml:space="preserve">Blueprint; Oliver Wyman workforce analysis</w:t>
            </w:r>
          </w:p>
        </w:tc>
      </w:tr>
      <w:tr>
        <w:trPr>
          <w:cantSplit/>
        </w:trPr>
        <w:tc>
          <w:tcPr>
            <w:tcW w:w="1240" w:type="dxa"/>
          </w:tcPr>
          <w:p>
            <w:pPr>
              <w:pStyle w:val="Compact"/>
              <w:jc w:val="left"/>
            </w:pPr>
            <w:r>
              <w:rPr>
                <w:sz w:val="18"/>
              </w:rPr>
              <w:t xml:space="preserve">30-day readmission rate</w:t>
            </w:r>
          </w:p>
        </w:tc>
        <w:tc>
          <w:tcPr>
            <w:tcW w:w="1899" w:type="dxa"/>
          </w:tcPr>
          <w:p>
            <w:pPr>
              <w:pStyle w:val="Compact"/>
              <w:jc w:val="left"/>
            </w:pPr>
            <w:r>
              <w:rPr>
                <w:sz w:val="18"/>
              </w:rPr>
              <w:t xml:space="preserve">14.8% statewide</w:t>
            </w:r>
          </w:p>
        </w:tc>
        <w:tc>
          <w:tcPr>
            <w:tcW w:w="2287" w:type="dxa"/>
          </w:tcPr>
          <w:p>
            <w:pPr>
              <w:pStyle w:val="Compact"/>
              <w:jc w:val="left"/>
            </w:pPr>
            <w:r>
              <w:rPr>
                <w:sz w:val="18"/>
              </w:rPr>
              <w:t xml:space="preserve">14.8% (minimal change)</w:t>
            </w:r>
          </w:p>
        </w:tc>
        <w:tc>
          <w:tcPr>
            <w:tcW w:w="2326" w:type="dxa"/>
          </w:tcPr>
          <w:p>
            <w:pPr>
              <w:pStyle w:val="Compact"/>
              <w:jc w:val="left"/>
            </w:pPr>
            <w:r>
              <w:rPr>
                <w:sz w:val="18"/>
              </w:rPr>
              <w:t xml:space="preserve">Below 12%; CHT care-transition protocol statewide</w:t>
            </w:r>
          </w:p>
        </w:tc>
        <w:tc>
          <w:tcPr>
            <w:tcW w:w="1318" w:type="dxa"/>
          </w:tcPr>
          <w:p>
            <w:pPr>
              <w:pStyle w:val="Compact"/>
              <w:jc w:val="left"/>
            </w:pPr>
            <w:r>
              <w:rPr>
                <w:sz w:val="18"/>
              </w:rPr>
              <w:t xml:space="preserve">GMCB quality data; Blueprint</w:t>
            </w:r>
          </w:p>
        </w:tc>
      </w:tr>
    </w:tbl>
    <w:p>
      <w:pPr>
        <w:pStyle w:val="Caption"/>
        <w:keepNext w:val="false"/>
        <w:spacing w:before="280"/>
      </w:pPr>
      <w:r>
        <w:rPr>
          <w:i/>
          <w:iCs/>
        </w:rPr>
        <w:t xml:space="preserve">Figure F.4 — Clinical-pillar scorecard. Sources: Vermont Blueprint Annual Report 2024; Vermont AHS; GMCB quality reporting; Oliver Wyman workforce analysis.</w:t>
      </w:r>
    </w:p>
    <w:p>
      <w:pPr>
        <w:pStyle w:val="Heading3"/>
        <w:keepNext w:val="false"/>
      </w:pPr>
      <w:r>
        <w:rPr>
          <w:color w:val="161B22"/>
        </w:rPr>
        <w:t xml:space="preserve">F.0.5  </w:t>
      </w:r>
      <w:bookmarkStart w:id="1473" w:name="_Toc1472"/>
      <w:r>
        <w:rPr>
          <w:b/>
          <w:bCs/>
          <w:color w:val="161B22"/>
        </w:rPr>
        <w:t xml:space="preserve">Equity Pillar</w:t>
      </w:r>
      <w:bookmarkEnd w:id="1473"/>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Primary-care access — statewide</w:t>
            </w:r>
          </w:p>
        </w:tc>
        <w:tc>
          <w:tcPr>
            <w:tcW w:w="1899" w:type="dxa"/>
          </w:tcPr>
          <w:p>
            <w:pPr>
              <w:pStyle w:val="Compact"/>
              <w:jc w:val="left"/>
            </w:pPr>
            <w:r>
              <w:rPr>
                <w:sz w:val="18"/>
              </w:rPr>
              <w:t xml:space="preserve">91% (4 pts above benchmark)</w:t>
            </w:r>
          </w:p>
        </w:tc>
        <w:tc>
          <w:tcPr>
            <w:tcW w:w="2287" w:type="dxa"/>
          </w:tcPr>
          <w:p>
            <w:pPr>
              <w:pStyle w:val="Compact"/>
              <w:jc w:val="left"/>
            </w:pPr>
            <w:r>
              <w:rPr>
                <w:sz w:val="18"/>
              </w:rPr>
              <w:t xml:space="preserve">91% (stable)</w:t>
            </w:r>
          </w:p>
        </w:tc>
        <w:tc>
          <w:tcPr>
            <w:tcW w:w="2326" w:type="dxa"/>
          </w:tcPr>
          <w:p>
            <w:pPr>
              <w:pStyle w:val="Compact"/>
              <w:jc w:val="left"/>
            </w:pPr>
            <w:r>
              <w:rPr>
                <w:sz w:val="18"/>
              </w:rPr>
              <w:t xml:space="preserve">93%+; gap to benchmark maintained</w:t>
            </w:r>
          </w:p>
        </w:tc>
        <w:tc>
          <w:tcPr>
            <w:tcW w:w="1318" w:type="dxa"/>
          </w:tcPr>
          <w:p>
            <w:pPr>
              <w:pStyle w:val="Compact"/>
              <w:jc w:val="left"/>
            </w:pPr>
            <w:r>
              <w:rPr>
                <w:sz w:val="18"/>
              </w:rPr>
              <w:t xml:space="preserve">Vermont DOH Health Equity Data Report 2025</w:t>
            </w:r>
          </w:p>
        </w:tc>
      </w:tr>
      <w:tr>
        <w:trPr/>
        <w:tc>
          <w:tcPr>
            <w:tcW w:w="1240" w:type="dxa"/>
          </w:tcPr>
          <w:p>
            <w:pPr>
              <w:pStyle w:val="Compact"/>
              <w:jc w:val="left"/>
            </w:pPr>
            <w:r>
              <w:rPr>
                <w:sz w:val="18"/>
              </w:rPr>
              <w:t xml:space="preserve">Primary-care access — BIPOC adults</w:t>
            </w:r>
          </w:p>
        </w:tc>
        <w:tc>
          <w:tcPr>
            <w:tcW w:w="1899" w:type="dxa"/>
          </w:tcPr>
          <w:p>
            <w:pPr>
              <w:pStyle w:val="Compact"/>
              <w:jc w:val="left"/>
            </w:pPr>
            <w:r>
              <w:rPr>
                <w:sz w:val="18"/>
              </w:rPr>
              <w:t xml:space="preserve">79–81% (11–12 pt gap vs. white adults)</w:t>
            </w:r>
          </w:p>
        </w:tc>
        <w:tc>
          <w:tcPr>
            <w:tcW w:w="2287" w:type="dxa"/>
          </w:tcPr>
          <w:p>
            <w:pPr>
              <w:pStyle w:val="Compact"/>
              <w:jc w:val="left"/>
            </w:pPr>
            <w:r>
              <w:rPr>
                <w:sz w:val="18"/>
              </w:rPr>
              <w:t xml:space="preserve">79–81% (gap unchanged)</w:t>
            </w:r>
          </w:p>
        </w:tc>
        <w:tc>
          <w:tcPr>
            <w:tcW w:w="2326" w:type="dxa"/>
          </w:tcPr>
          <w:p>
            <w:pPr>
              <w:pStyle w:val="Compact"/>
              <w:jc w:val="left"/>
            </w:pPr>
            <w:r>
              <w:rPr>
                <w:sz w:val="18"/>
              </w:rPr>
              <w:t xml:space="preserve">Gap &lt;6 pts; 87%+ BIPOC access</w:t>
            </w:r>
          </w:p>
        </w:tc>
        <w:tc>
          <w:tcPr>
            <w:tcW w:w="1318" w:type="dxa"/>
          </w:tcPr>
          <w:p>
            <w:pPr>
              <w:pStyle w:val="Compact"/>
              <w:jc w:val="left"/>
            </w:pPr>
            <w:r>
              <w:rPr>
                <w:sz w:val="18"/>
              </w:rPr>
              <w:t xml:space="preserve">Vermont DOH Health Equity Data Report 2025</w:t>
            </w:r>
          </w:p>
        </w:tc>
      </w:tr>
      <w:tr>
        <w:trPr/>
        <w:tc>
          <w:tcPr>
            <w:tcW w:w="1240" w:type="dxa"/>
          </w:tcPr>
          <w:p>
            <w:pPr>
              <w:pStyle w:val="Compact"/>
              <w:jc w:val="left"/>
            </w:pPr>
            <w:r>
              <w:rPr>
                <w:sz w:val="18"/>
              </w:rPr>
              <w:t xml:space="preserve">Essex County uninsurance</w:t>
            </w:r>
          </w:p>
        </w:tc>
        <w:tc>
          <w:tcPr>
            <w:tcW w:w="1899" w:type="dxa"/>
          </w:tcPr>
          <w:p>
            <w:pPr>
              <w:pStyle w:val="Compact"/>
              <w:jc w:val="left"/>
            </w:pPr>
            <w:r>
              <w:rPr>
                <w:sz w:val="18"/>
              </w:rPr>
              <w:t xml:space="preserve">8% (highest in Vermont)</w:t>
            </w:r>
          </w:p>
        </w:tc>
        <w:tc>
          <w:tcPr>
            <w:tcW w:w="2287" w:type="dxa"/>
          </w:tcPr>
          <w:p>
            <w:pPr>
              <w:pStyle w:val="Compact"/>
              <w:jc w:val="left"/>
            </w:pPr>
            <w:r>
              <w:rPr>
                <w:sz w:val="18"/>
              </w:rPr>
              <w:t xml:space="preserve">8% (unchanged)</w:t>
            </w:r>
          </w:p>
        </w:tc>
        <w:tc>
          <w:tcPr>
            <w:tcW w:w="2326" w:type="dxa"/>
          </w:tcPr>
          <w:p>
            <w:pPr>
              <w:pStyle w:val="Compact"/>
              <w:jc w:val="left"/>
            </w:pPr>
            <w:r>
              <w:rPr>
                <w:sz w:val="18"/>
              </w:rPr>
              <w:t xml:space="preserve">Below 5%; CCBHC/FQHC expansion in NEK</w:t>
            </w:r>
          </w:p>
        </w:tc>
        <w:tc>
          <w:tcPr>
            <w:tcW w:w="1318" w:type="dxa"/>
          </w:tcPr>
          <w:p>
            <w:pPr>
              <w:pStyle w:val="Compact"/>
              <w:jc w:val="left"/>
            </w:pPr>
            <w:r>
              <w:rPr>
                <w:sz w:val="18"/>
              </w:rPr>
              <w:t xml:space="preserve">Vermont DOH county data</w:t>
            </w:r>
          </w:p>
        </w:tc>
      </w:tr>
      <w:tr>
        <w:trPr/>
        <w:tc>
          <w:tcPr>
            <w:tcW w:w="1240" w:type="dxa"/>
          </w:tcPr>
          <w:p>
            <w:pPr>
              <w:pStyle w:val="Compact"/>
              <w:jc w:val="left"/>
            </w:pPr>
            <w:r>
              <w:rPr>
                <w:sz w:val="18"/>
              </w:rPr>
              <w:t xml:space="preserve">HEROI equity scoring</w:t>
            </w:r>
          </w:p>
        </w:tc>
        <w:tc>
          <w:tcPr>
            <w:tcW w:w="1899" w:type="dxa"/>
          </w:tcPr>
          <w:p>
            <w:pPr>
              <w:pStyle w:val="Compact"/>
              <w:jc w:val="left"/>
            </w:pPr>
            <w:r>
              <w:rPr>
                <w:sz w:val="18"/>
              </w:rPr>
              <w:t xml:space="preserve">No systematic HSA-level measurement</w:t>
            </w:r>
          </w:p>
        </w:tc>
        <w:tc>
          <w:tcPr>
            <w:tcW w:w="2287" w:type="dxa"/>
          </w:tcPr>
          <w:p>
            <w:pPr>
              <w:pStyle w:val="Compact"/>
              <w:jc w:val="left"/>
            </w:pPr>
            <w:r>
              <w:rPr>
                <w:sz w:val="18"/>
              </w:rPr>
              <w:t xml:space="preserve">HEROI framework developed; scoring underway</w:t>
            </w:r>
          </w:p>
        </w:tc>
        <w:tc>
          <w:tcPr>
            <w:tcW w:w="2326" w:type="dxa"/>
          </w:tcPr>
          <w:p>
            <w:pPr>
              <w:pStyle w:val="Compact"/>
              <w:jc w:val="left"/>
            </w:pPr>
            <w:r>
              <w:rPr>
                <w:sz w:val="18"/>
              </w:rPr>
              <w:t xml:space="preserve">HEROI scores for all 14 HSAs; gaps documented in plan</w:t>
            </w:r>
          </w:p>
        </w:tc>
        <w:tc>
          <w:tcPr>
            <w:tcW w:w="1318" w:type="dxa"/>
          </w:tcPr>
          <w:p>
            <w:pPr>
              <w:pStyle w:val="Compact"/>
              <w:jc w:val="left"/>
            </w:pPr>
            <w:r>
              <w:rPr>
                <w:sz w:val="18"/>
              </w:rPr>
              <w:t xml:space="preserve">HTR HEROI framework; GMCB equity reporting</w:t>
            </w:r>
          </w:p>
        </w:tc>
      </w:tr>
      <w:tr>
        <w:trPr/>
        <w:tc>
          <w:tcPr>
            <w:tcW w:w="1240" w:type="dxa"/>
          </w:tcPr>
          <w:p>
            <w:pPr>
              <w:pStyle w:val="Compact"/>
              <w:jc w:val="left"/>
            </w:pPr>
            <w:r>
              <w:rPr>
                <w:sz w:val="18"/>
              </w:rPr>
              <w:t xml:space="preserve">HRSN screening coverage</w:t>
            </w:r>
          </w:p>
        </w:tc>
        <w:tc>
          <w:tcPr>
            <w:tcW w:w="1899" w:type="dxa"/>
          </w:tcPr>
          <w:p>
            <w:pPr>
              <w:pStyle w:val="Compact"/>
              <w:jc w:val="left"/>
            </w:pPr>
            <w:r>
              <w:rPr>
                <w:sz w:val="18"/>
              </w:rPr>
              <w:t xml:space="preserve">Minimal systematic SDOH screening</w:t>
            </w:r>
          </w:p>
        </w:tc>
        <w:tc>
          <w:tcPr>
            <w:tcW w:w="2287" w:type="dxa"/>
          </w:tcPr>
          <w:p>
            <w:pPr>
              <w:pStyle w:val="Compact"/>
              <w:jc w:val="left"/>
            </w:pPr>
            <w:r>
              <w:rPr>
                <w:sz w:val="18"/>
              </w:rPr>
              <w:t xml:space="preserve">Blueprint HRSN screening: 60%+ of practices</w:t>
            </w:r>
          </w:p>
        </w:tc>
        <w:tc>
          <w:tcPr>
            <w:tcW w:w="2326" w:type="dxa"/>
          </w:tcPr>
          <w:p>
            <w:pPr>
              <w:pStyle w:val="Compact"/>
              <w:jc w:val="left"/>
            </w:pPr>
            <w:r>
              <w:rPr>
                <w:sz w:val="18"/>
              </w:rPr>
              <w:t xml:space="preserve">Universal HRSN screening at all Blueprint PCMHs</w:t>
            </w:r>
          </w:p>
        </w:tc>
        <w:tc>
          <w:tcPr>
            <w:tcW w:w="1318" w:type="dxa"/>
          </w:tcPr>
          <w:p>
            <w:pPr>
              <w:pStyle w:val="Compact"/>
              <w:jc w:val="left"/>
            </w:pPr>
            <w:r>
              <w:rPr>
                <w:sz w:val="18"/>
              </w:rPr>
              <w:t xml:space="preserve">Vermont Blueprint Annual Report 2024</w:t>
            </w:r>
          </w:p>
        </w:tc>
      </w:tr>
      <w:tr>
        <w:trPr>
          <w:cantSplit/>
        </w:trPr>
        <w:tc>
          <w:tcPr>
            <w:tcW w:w="1240" w:type="dxa"/>
          </w:tcPr>
          <w:p>
            <w:pPr>
              <w:pStyle w:val="Compact"/>
              <w:jc w:val="left"/>
            </w:pPr>
            <w:r>
              <w:rPr>
                <w:sz w:val="18"/>
              </w:rPr>
              <w:t xml:space="preserve">Social-risk adjustment in global budgets</w:t>
            </w:r>
          </w:p>
        </w:tc>
        <w:tc>
          <w:tcPr>
            <w:tcW w:w="1899" w:type="dxa"/>
          </w:tcPr>
          <w:p>
            <w:pPr>
              <w:pStyle w:val="Compact"/>
              <w:jc w:val="left"/>
            </w:pPr>
            <w:r>
              <w:rPr>
                <w:sz w:val="18"/>
              </w:rPr>
              <w:t xml:space="preserve">N/A (no global budgets)</w:t>
            </w:r>
          </w:p>
        </w:tc>
        <w:tc>
          <w:tcPr>
            <w:tcW w:w="2287" w:type="dxa"/>
          </w:tcPr>
          <w:p>
            <w:pPr>
              <w:pStyle w:val="Compact"/>
              <w:jc w:val="left"/>
            </w:pPr>
            <w:r>
              <w:rPr>
                <w:sz w:val="18"/>
              </w:rPr>
              <w:t xml:space="preserve">Methodology under design; active policy question</w:t>
            </w:r>
          </w:p>
        </w:tc>
        <w:tc>
          <w:tcPr>
            <w:tcW w:w="2326" w:type="dxa"/>
          </w:tcPr>
          <w:p>
            <w:pPr>
              <w:pStyle w:val="Compact"/>
              <w:jc w:val="left"/>
            </w:pPr>
            <w:r>
              <w:rPr>
                <w:sz w:val="18"/>
              </w:rPr>
              <w:t xml:space="preserve">SRA embedded in FY2028 global-budget methodology</w:t>
            </w:r>
          </w:p>
        </w:tc>
        <w:tc>
          <w:tcPr>
            <w:tcW w:w="1318" w:type="dxa"/>
          </w:tcPr>
          <w:p>
            <w:pPr>
              <w:pStyle w:val="Compact"/>
              <w:jc w:val="left"/>
            </w:pPr>
            <w:r>
              <w:rPr>
                <w:sz w:val="18"/>
              </w:rPr>
              <w:t xml:space="preserve">Act 68; GMCB design process</w:t>
            </w:r>
          </w:p>
        </w:tc>
      </w:tr>
    </w:tbl>
    <w:p>
      <w:pPr>
        <w:pStyle w:val="Caption"/>
        <w:keepNext w:val="false"/>
        <w:spacing w:before="280"/>
      </w:pPr>
      <w:r>
        <w:rPr>
          <w:i/>
          <w:iCs/>
        </w:rPr>
        <w:t xml:space="preserve">Figure F.5 — Equity-pillar scorecard. Sources: Vermont DOH Health Equity Data Report (January 2025); Act 68; GMCB equity reporting; HTR HEROI framework.</w:t>
      </w:r>
    </w:p>
    <w:p>
      <w:pPr>
        <w:pStyle w:val="Heading3"/>
        <w:keepNext w:val="false"/>
      </w:pPr>
      <w:r>
        <w:rPr>
          <w:color w:val="161B22"/>
        </w:rPr>
        <w:t xml:space="preserve">F.0.6  </w:t>
      </w:r>
      <w:bookmarkStart w:id="1474" w:name="_Toc1473"/>
      <w:r>
        <w:rPr>
          <w:b/>
          <w:bCs/>
          <w:color w:val="161B22"/>
        </w:rPr>
        <w:t xml:space="preserve">Operations Pillar</w:t>
      </w:r>
      <w:bookmarkEnd w:id="1474"/>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Hospital transformation planning</w:t>
            </w:r>
          </w:p>
        </w:tc>
        <w:tc>
          <w:tcPr>
            <w:tcW w:w="1899" w:type="dxa"/>
          </w:tcPr>
          <w:p>
            <w:pPr>
              <w:pStyle w:val="Compact"/>
              <w:jc w:val="left"/>
            </w:pPr>
            <w:r>
              <w:rPr>
                <w:sz w:val="18"/>
              </w:rPr>
              <w:t xml:space="preserve">No systematic process</w:t>
            </w:r>
          </w:p>
        </w:tc>
        <w:tc>
          <w:tcPr>
            <w:tcW w:w="2287" w:type="dxa"/>
          </w:tcPr>
          <w:p>
            <w:pPr>
              <w:pStyle w:val="Compact"/>
              <w:jc w:val="left"/>
            </w:pPr>
            <w:r>
              <w:rPr>
                <w:sz w:val="18"/>
              </w:rPr>
              <w:t xml:space="preserve">RHRC engaged all 14; plans in development</w:t>
            </w:r>
          </w:p>
        </w:tc>
        <w:tc>
          <w:tcPr>
            <w:tcW w:w="2326" w:type="dxa"/>
          </w:tcPr>
          <w:p>
            <w:pPr>
              <w:pStyle w:val="Compact"/>
              <w:jc w:val="left"/>
            </w:pPr>
            <w:r>
              <w:rPr>
                <w:sz w:val="18"/>
              </w:rPr>
              <w:t xml:space="preserve">All 14 with approved plans; RHRC engagement complete</w:t>
            </w:r>
          </w:p>
        </w:tc>
        <w:tc>
          <w:tcPr>
            <w:tcW w:w="1318" w:type="dxa"/>
          </w:tcPr>
          <w:p>
            <w:pPr>
              <w:pStyle w:val="Compact"/>
              <w:jc w:val="left"/>
            </w:pPr>
            <w:r>
              <w:rPr>
                <w:sz w:val="18"/>
              </w:rPr>
              <w:t xml:space="preserve">AHS Aug/Nov 2025 Reports; RHRC</w:t>
            </w:r>
          </w:p>
        </w:tc>
      </w:tr>
      <w:tr>
        <w:trPr/>
        <w:tc>
          <w:tcPr>
            <w:tcW w:w="1240" w:type="dxa"/>
          </w:tcPr>
          <w:p>
            <w:pPr>
              <w:pStyle w:val="Compact"/>
              <w:jc w:val="left"/>
            </w:pPr>
            <w:r>
              <w:rPr>
                <w:sz w:val="18"/>
              </w:rPr>
              <w:t xml:space="preserve">AHS organizational capacity</w:t>
            </w:r>
          </w:p>
        </w:tc>
        <w:tc>
          <w:tcPr>
            <w:tcW w:w="1899" w:type="dxa"/>
          </w:tcPr>
          <w:p>
            <w:pPr>
              <w:pStyle w:val="Compact"/>
              <w:jc w:val="left"/>
            </w:pPr>
            <w:r>
              <w:rPr>
                <w:sz w:val="18"/>
              </w:rPr>
              <w:t xml:space="preserve">Program-administration model; minimal PMO</w:t>
            </w:r>
          </w:p>
        </w:tc>
        <w:tc>
          <w:tcPr>
            <w:tcW w:w="2287" w:type="dxa"/>
          </w:tcPr>
          <w:p>
            <w:pPr>
              <w:pStyle w:val="Compact"/>
              <w:jc w:val="left"/>
            </w:pPr>
            <w:r>
              <w:rPr>
                <w:sz w:val="18"/>
              </w:rPr>
              <w:t xml:space="preserve">PMO establishment underway; HSA-coordinator model deploying</w:t>
            </w:r>
          </w:p>
        </w:tc>
        <w:tc>
          <w:tcPr>
            <w:tcW w:w="2326" w:type="dxa"/>
          </w:tcPr>
          <w:p>
            <w:pPr>
              <w:pStyle w:val="Compact"/>
              <w:jc w:val="left"/>
            </w:pPr>
            <w:r>
              <w:rPr>
                <w:sz w:val="18"/>
              </w:rPr>
              <w:t xml:space="preserve">Full transformation PMO; AHS restructured for system management</w:t>
            </w:r>
          </w:p>
        </w:tc>
        <w:tc>
          <w:tcPr>
            <w:tcW w:w="1318" w:type="dxa"/>
          </w:tcPr>
          <w:p>
            <w:pPr>
              <w:pStyle w:val="Compact"/>
              <w:jc w:val="left"/>
            </w:pPr>
            <w:r>
              <w:rPr>
                <w:sz w:val="18"/>
              </w:rPr>
              <w:t xml:space="preserve">Act 68; AHS organizational design</w:t>
            </w:r>
          </w:p>
        </w:tc>
      </w:tr>
      <w:tr>
        <w:trPr/>
        <w:tc>
          <w:tcPr>
            <w:tcW w:w="1240" w:type="dxa"/>
          </w:tcPr>
          <w:p>
            <w:pPr>
              <w:pStyle w:val="Compact"/>
              <w:jc w:val="left"/>
            </w:pPr>
            <w:r>
              <w:rPr>
                <w:sz w:val="18"/>
              </w:rPr>
              <w:t xml:space="preserve">Vermont CIN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Under development; RHT capital awarded</w:t>
            </w:r>
          </w:p>
        </w:tc>
        <w:tc>
          <w:tcPr>
            <w:tcW w:w="2326" w:type="dxa"/>
          </w:tcPr>
          <w:p>
            <w:pPr>
              <w:pStyle w:val="Compact"/>
              <w:jc w:val="left"/>
            </w:pPr>
            <w:r>
              <w:rPr>
                <w:sz w:val="18"/>
              </w:rPr>
              <w:t xml:space="preserve">CIN operational; shared analytics/care management for all 14</w:t>
            </w:r>
          </w:p>
        </w:tc>
        <w:tc>
          <w:tcPr>
            <w:tcW w:w="1318" w:type="dxa"/>
          </w:tcPr>
          <w:p>
            <w:pPr>
              <w:pStyle w:val="Compact"/>
              <w:jc w:val="left"/>
            </w:pPr>
            <w:r>
              <w:rPr>
                <w:sz w:val="18"/>
              </w:rPr>
              <w:t xml:space="preserve">Vermont RHT Application (Nov 2025)</w:t>
            </w:r>
          </w:p>
        </w:tc>
      </w:tr>
      <w:tr>
        <w:trPr/>
        <w:tc>
          <w:tcPr>
            <w:tcW w:w="1240" w:type="dxa"/>
          </w:tcPr>
          <w:p>
            <w:pPr>
              <w:pStyle w:val="Compact"/>
              <w:jc w:val="left"/>
            </w:pPr>
            <w:r>
              <w:rPr>
                <w:sz w:val="18"/>
              </w:rPr>
              <w:t xml:space="preserve">Administrative-cost reduction</w:t>
            </w:r>
          </w:p>
        </w:tc>
        <w:tc>
          <w:tcPr>
            <w:tcW w:w="1899" w:type="dxa"/>
          </w:tcPr>
          <w:p>
            <w:pPr>
              <w:pStyle w:val="Compact"/>
              <w:jc w:val="left"/>
            </w:pPr>
            <w:r>
              <w:rPr>
                <w:sz w:val="18"/>
              </w:rPr>
              <w:t xml:space="preserve">UVMMC 267% of benchmark; system avg 91% above</w:t>
            </w:r>
          </w:p>
        </w:tc>
        <w:tc>
          <w:tcPr>
            <w:tcW w:w="2287" w:type="dxa"/>
          </w:tcPr>
          <w:p>
            <w:pPr>
              <w:pStyle w:val="Compact"/>
              <w:jc w:val="left"/>
            </w:pPr>
            <w:r>
              <w:rPr>
                <w:sz w:val="18"/>
              </w:rPr>
              <w:t xml:space="preserve">RHRC engagement in progress; no significant reduction yet</w:t>
            </w:r>
          </w:p>
        </w:tc>
        <w:tc>
          <w:tcPr>
            <w:tcW w:w="2326" w:type="dxa"/>
          </w:tcPr>
          <w:p>
            <w:pPr>
              <w:pStyle w:val="Compact"/>
              <w:jc w:val="left"/>
            </w:pPr>
            <w:r>
              <w:rPr>
                <w:sz w:val="18"/>
              </w:rPr>
              <w:t xml:space="preserve">System average below 150% of benchmark by 2030</w:t>
            </w:r>
          </w:p>
        </w:tc>
        <w:tc>
          <w:tcPr>
            <w:tcW w:w="1318" w:type="dxa"/>
          </w:tcPr>
          <w:p>
            <w:pPr>
              <w:pStyle w:val="Compact"/>
              <w:jc w:val="left"/>
            </w:pPr>
            <w:r>
              <w:rPr>
                <w:sz w:val="18"/>
              </w:rPr>
              <w:t xml:space="preserve">AHS Nov 2025 Report; NASHP</w:t>
            </w:r>
          </w:p>
        </w:tc>
      </w:tr>
      <w:tr>
        <w:trPr/>
        <w:tc>
          <w:tcPr>
            <w:tcW w:w="1240" w:type="dxa"/>
          </w:tcPr>
          <w:p>
            <w:pPr>
              <w:pStyle w:val="Compact"/>
              <w:jc w:val="left"/>
            </w:pPr>
            <w:r>
              <w:rPr>
                <w:sz w:val="18"/>
              </w:rPr>
              <w:t xml:space="preserve">EMS regionalization</w:t>
            </w:r>
          </w:p>
        </w:tc>
        <w:tc>
          <w:tcPr>
            <w:tcW w:w="1899" w:type="dxa"/>
          </w:tcPr>
          <w:p>
            <w:pPr>
              <w:pStyle w:val="Compact"/>
              <w:jc w:val="left"/>
            </w:pPr>
            <w:r>
              <w:rPr>
                <w:sz w:val="18"/>
              </w:rPr>
              <w:t xml:space="preserve">Fragmented local EMS; 12+ separate rural agencies</w:t>
            </w:r>
          </w:p>
        </w:tc>
        <w:tc>
          <w:tcPr>
            <w:tcW w:w="2287" w:type="dxa"/>
          </w:tcPr>
          <w:p>
            <w:pPr>
              <w:pStyle w:val="Compact"/>
              <w:jc w:val="left"/>
            </w:pPr>
            <w:r>
              <w:rPr>
                <w:sz w:val="18"/>
              </w:rPr>
              <w:t xml:space="preserve">Act 68 framework enacted; planning underway</w:t>
            </w:r>
          </w:p>
        </w:tc>
        <w:tc>
          <w:tcPr>
            <w:tcW w:w="2326" w:type="dxa"/>
          </w:tcPr>
          <w:p>
            <w:pPr>
              <w:pStyle w:val="Compact"/>
              <w:jc w:val="left"/>
            </w:pPr>
            <w:r>
              <w:rPr>
                <w:sz w:val="18"/>
              </w:rPr>
              <w:t xml:space="preserve">Regional EMS in all HSAs; response-time targets met</w:t>
            </w:r>
          </w:p>
        </w:tc>
        <w:tc>
          <w:tcPr>
            <w:tcW w:w="1318" w:type="dxa"/>
          </w:tcPr>
          <w:p>
            <w:pPr>
              <w:pStyle w:val="Compact"/>
              <w:jc w:val="left"/>
            </w:pPr>
            <w:r>
              <w:rPr>
                <w:sz w:val="18"/>
              </w:rPr>
              <w:t xml:space="preserve">Act 68; Vermont EMS planning</w:t>
            </w:r>
          </w:p>
        </w:tc>
      </w:tr>
      <w:tr>
        <w:trPr>
          <w:cantSplit/>
        </w:trPr>
        <w:tc>
          <w:tcPr>
            <w:tcW w:w="1240" w:type="dxa"/>
          </w:tcPr>
          <w:p>
            <w:pPr>
              <w:pStyle w:val="Compact"/>
              <w:jc w:val="left"/>
            </w:pPr>
            <w:r>
              <w:rPr>
                <w:sz w:val="18"/>
              </w:rPr>
              <w:t xml:space="preserve">Monthly transformation reporting</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Required by Act 68; two reports delivered (Aug, Nov 2025)</w:t>
            </w:r>
          </w:p>
        </w:tc>
        <w:tc>
          <w:tcPr>
            <w:tcW w:w="2326" w:type="dxa"/>
          </w:tcPr>
          <w:p>
            <w:pPr>
              <w:pStyle w:val="Compact"/>
              <w:jc w:val="left"/>
            </w:pPr>
            <w:r>
              <w:rPr>
                <w:sz w:val="18"/>
              </w:rPr>
              <w:t xml:space="preserve">Monthly reports demonstrating progress against Act 167 metrics</w:t>
            </w:r>
          </w:p>
        </w:tc>
        <w:tc>
          <w:tcPr>
            <w:tcW w:w="1318" w:type="dxa"/>
          </w:tcPr>
          <w:p>
            <w:pPr>
              <w:pStyle w:val="Compact"/>
              <w:jc w:val="left"/>
            </w:pPr>
            <w:r>
              <w:rPr>
                <w:sz w:val="18"/>
              </w:rPr>
              <w:t xml:space="preserve">Act 68; AHS reports</w:t>
            </w:r>
          </w:p>
        </w:tc>
      </w:tr>
    </w:tbl>
    <w:p>
      <w:pPr>
        <w:pStyle w:val="Caption"/>
        <w:spacing w:before="280"/>
      </w:pPr>
      <w:r>
        <w:rPr>
          <w:i/>
          <w:iCs/>
        </w:rPr>
        <w:t xml:space="preserve">Figure F.6 — Operations-pillar scorecard. Sources: AHS Transformation Reports (August, November 2025); RHRC; Vermont RHT Program Application; Act 68.</w:t>
      </w:r>
    </w:p>
    <w:p>
      <w:pPr>
        <w:pStyle w:val="BodyText"/>
      </w:pPr>
      <w:r>
        <w:t xml:space="preserve">How to use this scorecard. It is a snapshot as of April 2026, and several metrics that show no change in 2026 will shift in 2027–2028 as AHEAD launches, RBP takes effect, and the hospital plans move from draft to implementation. Its most important use is not tracking individual metrics in isolation but reading the six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
        <w:br w:type="page"/>
      </w:r>
    </w:p>
    <w:p>
      <w:pPr>
        <w:pStyle w:val="Heading1"/>
      </w:pPr>
      <w:bookmarkStart w:id="1475" w:name="_Toc1474"/>
      <w:r>
        <w:rPr>
          <w:b/>
          <w:bCs/>
          <w:color w:val="161B22"/>
        </w:rPr>
        <w:t xml:space="preserve">Appendix G — A Reader’s Guide to the Health Transformation Review Platform</w:t>
      </w:r>
      <w:bookmarkEnd w:id="1475"/>
    </w:p>
    <w:p>
      <w:pPr>
        <w:pStyle w:val="FirstParagraph"/>
      </w:pPr>
      <w:r>
        <w:t xml:space="preserve">A companion to Transforming American Healthcare.</w:t>
      </w:r>
    </w:p>
    <w:p>
      <w:pPr>
        <w:pStyle w:val="Heading2"/>
        <w:pBdr>
          <w:top w:val="single" w:sz="6" w:space="10" w:color="C9D2DF"/>
        </w:pBdr>
      </w:pPr>
      <w:r>
        <w:rPr>
          <w:color w:val="161B22"/>
        </w:rPr>
        <w:t xml:space="preserve">G.1  </w:t>
      </w:r>
      <w:bookmarkStart w:id="1476" w:name="_Toc1475"/>
      <w:r>
        <w:rPr>
          <w:b/>
          <w:bCs/>
          <w:color w:val="161B22"/>
        </w:rPr>
        <w:t xml:space="preserve">What This Platform Is</w:t>
      </w:r>
      <w:bookmarkEnd w:id="1476"/>
    </w:p>
    <w:p>
      <w:pPr>
        <w:pStyle w:val="FirstParagraph"/>
      </w:pPr>
      <w:r>
        <w:t xml:space="preserve">The Health Transformation Review (HTR) platform is the living, interactive companion to this book. Where the book provides the analytical framework — the six-pillar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pPr>
        <w:pStyle w:val="Heading2"/>
        <w:pBdr>
          <w:top w:val="single" w:sz="6" w:space="10" w:color="C9D2DF"/>
        </w:pBdr>
      </w:pPr>
      <w:r>
        <w:rPr>
          <w:color w:val="161B22"/>
        </w:rPr>
        <w:t xml:space="preserve">G.2  </w:t>
      </w:r>
      <w:bookmarkStart w:id="1477" w:name="_Toc1476"/>
      <w:r>
        <w:rPr>
          <w:b/>
          <w:bCs/>
          <w:color w:val="161B22"/>
        </w:rPr>
        <w:t xml:space="preserve">Navigating the Platform</w:t>
      </w:r>
      <w:bookmarkEnd w:id="1477"/>
    </w:p>
    <w:p>
      <w:pPr>
        <w:pStyle w:val="FirstParagraph"/>
      </w:pPr>
      <w: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pPr>
        <w:pStyle w:val="Heading2"/>
        <w:pBdr>
          <w:top w:val="single" w:sz="6" w:space="10" w:color="C9D2DF"/>
        </w:pBdr>
        <w:keepNext w:val="false"/>
      </w:pPr>
      <w:r>
        <w:rPr>
          <w:color w:val="161B22"/>
        </w:rPr>
        <w:t xml:space="preserve">G.3  </w:t>
      </w:r>
      <w:bookmarkStart w:id="1478" w:name="_Toc1477"/>
      <w:r>
        <w:rPr>
          <w:b/>
          <w:bCs/>
          <w:color w:val="161B22"/>
        </w:rPr>
        <w:t xml:space="preserve">The Six Pillars of Intelligence</w:t>
      </w:r>
      <w:bookmarkEnd w:id="1478"/>
    </w:p>
    <w:p>
      <w:pPr>
        <w:pStyle w:val="FirstParagraph"/>
        <w:keepNext w:val="false"/>
      </w:pPr>
      <w:r>
        <w:t xml:space="preserve">The knowledge base is organized around the same six-pillar framework that structures the book.</w:t>
      </w:r>
    </w:p>
    <w:tbl>
      <w:tblPr>
        <w:tblStyle w:val="HTRTable"/>
        <w:tblLook w:firstRow="1" w:lastRow="0" w:firstColumn="0" w:lastColumn="0" w:noHBand="0" w:noVBand="1" w:val="0020"/>
        <w:tblW w:w="9072" w:type="dxa"/>
        <w:tblLayout w:type="fixed"/>
      </w:tblPr>
      <w:tblGrid>
        <w:gridCol w:w="1080"/>
        <w:gridCol w:w="6480"/>
        <w:gridCol w:w="1512"/>
      </w:tblGrid>
      <w:tr>
        <w:trPr>
          <w:tblHeader w:val="on"/>
          <w:cantSplit/>
        </w:trPr>
        <w:tc>
          <w:tcPr>
            <w:shd w:val="clear" w:color="auto" w:fill="1B3A6B"/>
            <w:tcW w:w="1080" w:type="dxa"/>
          </w:tcPr>
          <w:p>
            <w:pPr>
              <w:pStyle w:val="Compact"/>
              <w:jc w:val="left"/>
            </w:pPr>
            <w:r>
              <w:rPr>
                <w:b/>
                <w:color w:val="FFFFFF"/>
                <w:sz w:val="18"/>
              </w:rPr>
              <w:t xml:space="preserve">Pillar</w:t>
            </w:r>
          </w:p>
        </w:tc>
        <w:tc>
          <w:tcPr>
            <w:shd w:val="clear" w:color="auto" w:fill="1B3A6B"/>
            <w:tcW w:w="6480" w:type="dxa"/>
          </w:tcPr>
          <w:p>
            <w:pPr>
              <w:pStyle w:val="Compact"/>
              <w:jc w:val="left"/>
            </w:pPr>
            <w:r>
              <w:rPr>
                <w:b/>
                <w:color w:val="FFFFFF"/>
                <w:sz w:val="18"/>
              </w:rPr>
              <w:t xml:space="preserve">Coverage</w:t>
            </w:r>
          </w:p>
        </w:tc>
        <w:tc>
          <w:tcPr>
            <w:shd w:val="clear" w:color="auto" w:fill="1B3A6B"/>
            <w:tcW w:w="1512" w:type="dxa"/>
          </w:tcPr>
          <w:p>
            <w:pPr>
              <w:pStyle w:val="Compact"/>
              <w:jc w:val="left"/>
            </w:pPr>
            <w:r>
              <w:rPr>
                <w:b/>
                <w:color w:val="FFFFFF"/>
                <w:sz w:val="18"/>
              </w:rPr>
              <w:t xml:space="preserve">Book chapters</w:t>
            </w:r>
          </w:p>
        </w:tc>
      </w:tr>
      <w:tr>
        <w:trPr>
          <w:cantSplit/>
        </w:trPr>
        <w:tc>
          <w:tcPr>
            <w:tcW w:w="1080" w:type="dxa"/>
          </w:tcPr>
          <w:p>
            <w:pPr>
              <w:pStyle w:val="Compact"/>
              <w:jc w:val="left"/>
            </w:pPr>
            <w:r>
              <w:rPr>
                <w:sz w:val="18"/>
              </w:rPr>
              <w:t xml:space="preserve">Policy</w:t>
            </w:r>
          </w:p>
        </w:tc>
        <w:tc>
          <w:tcPr>
            <w:tcW w:w="6480" w:type="dxa"/>
          </w:tcPr>
          <w:p>
            <w:pPr>
              <w:pStyle w:val="Compact"/>
              <w:jc w:val="left"/>
            </w:pPr>
            <w:r>
              <w:rPr>
                <w:sz w:val="18"/>
              </w:rPr>
              <w:t xml:space="preserve">Regulation &amp; legislation, public-health mandates, comparative policy, feasibility studies</w:t>
            </w:r>
          </w:p>
        </w:tc>
        <w:tc>
          <w:tcPr>
            <w:tcW w:w="1512" w:type="dxa"/>
          </w:tcPr>
          <w:p>
            <w:pPr>
              <w:pStyle w:val="Compact"/>
              <w:jc w:val="left"/>
            </w:pPr>
            <w:r>
              <w:rPr>
                <w:sz w:val="18"/>
              </w:rPr>
              <w:t xml:space="preserve">Chapter 1</w:t>
            </w:r>
          </w:p>
        </w:tc>
      </w:tr>
      <w:tr>
        <w:trPr/>
        <w:tc>
          <w:tcPr>
            <w:tcW w:w="1080" w:type="dxa"/>
          </w:tcPr>
          <w:p>
            <w:pPr>
              <w:pStyle w:val="Compact"/>
              <w:jc w:val="left"/>
            </w:pPr>
            <w:r>
              <w:rPr>
                <w:sz w:val="18"/>
              </w:rPr>
              <w:t xml:space="preserve">Economics</w:t>
            </w:r>
          </w:p>
        </w:tc>
        <w:tc>
          <w:tcPr>
            <w:tcW w:w="6480" w:type="dxa"/>
          </w:tcPr>
          <w:p>
            <w:pPr>
              <w:pStyle w:val="Compact"/>
              <w:jc w:val="left"/>
            </w:pPr>
            <w:r>
              <w:rPr>
                <w:sz w:val="18"/>
              </w:rPr>
              <w:t xml:space="preserve">VBC models, market &amp; finance, labor &amp; workforce strategy, investment trends</w:t>
            </w:r>
          </w:p>
        </w:tc>
        <w:tc>
          <w:tcPr>
            <w:tcW w:w="1512" w:type="dxa"/>
          </w:tcPr>
          <w:p>
            <w:pPr>
              <w:pStyle w:val="Compact"/>
              <w:jc w:val="left"/>
            </w:pPr>
            <w:r>
              <w:rPr>
                <w:sz w:val="18"/>
              </w:rPr>
              <w:t xml:space="preserve">Chapters 8–9</w:t>
            </w:r>
          </w:p>
        </w:tc>
      </w:tr>
      <w:tr>
        <w:trPr/>
        <w:tc>
          <w:tcPr>
            <w:tcW w:w="1080" w:type="dxa"/>
          </w:tcPr>
          <w:p>
            <w:pPr>
              <w:pStyle w:val="Compact"/>
              <w:jc w:val="left"/>
            </w:pPr>
            <w:r>
              <w:rPr>
                <w:sz w:val="18"/>
              </w:rPr>
              <w:t xml:space="preserve">Technology</w:t>
            </w:r>
          </w:p>
        </w:tc>
        <w:tc>
          <w:tcPr>
            <w:tcW w:w="6480" w:type="dxa"/>
          </w:tcPr>
          <w:p>
            <w:pPr>
              <w:pStyle w:val="Compact"/>
              <w:jc w:val="left"/>
            </w:pPr>
            <w:r>
              <w:rPr>
                <w:sz w:val="18"/>
              </w:rPr>
              <w:t xml:space="preserve">AI &amp; machine learning, digital health &amp; telemedicine, data security &amp; governance, tech-enabled workflow</w:t>
            </w:r>
          </w:p>
        </w:tc>
        <w:tc>
          <w:tcPr>
            <w:tcW w:w="1512" w:type="dxa"/>
          </w:tcPr>
          <w:p>
            <w:pPr>
              <w:pStyle w:val="Compact"/>
              <w:jc w:val="left"/>
            </w:pPr>
            <w:r>
              <w:rPr>
                <w:sz w:val="18"/>
              </w:rPr>
              <w:t xml:space="preserve">Chapters 6–7</w:t>
            </w:r>
          </w:p>
        </w:tc>
      </w:tr>
      <w:tr>
        <w:trPr/>
        <w:tc>
          <w:tcPr>
            <w:tcW w:w="1080" w:type="dxa"/>
          </w:tcPr>
          <w:p>
            <w:pPr>
              <w:pStyle w:val="Compact"/>
              <w:jc w:val="left"/>
            </w:pPr>
            <w:r>
              <w:rPr>
                <w:sz w:val="18"/>
              </w:rPr>
              <w:t xml:space="preserve">Clinical</w:t>
            </w:r>
          </w:p>
        </w:tc>
        <w:tc>
          <w:tcPr>
            <w:tcW w:w="6480" w:type="dxa"/>
          </w:tcPr>
          <w:p>
            <w:pPr>
              <w:pStyle w:val="Compact"/>
              <w:jc w:val="left"/>
            </w:pPr>
            <w:r>
              <w:rPr>
                <w:sz w:val="18"/>
              </w:rPr>
              <w:t xml:space="preserve">Hospital-at-home, precision medicine, virtual care models</w:t>
            </w:r>
          </w:p>
        </w:tc>
        <w:tc>
          <w:tcPr>
            <w:tcW w:w="1512" w:type="dxa"/>
          </w:tcPr>
          <w:p>
            <w:pPr>
              <w:pStyle w:val="Compact"/>
              <w:jc w:val="left"/>
            </w:pPr>
            <w:r>
              <w:rPr>
                <w:sz w:val="18"/>
              </w:rPr>
              <w:t xml:space="preserve">Chapters 10–11</w:t>
            </w:r>
          </w:p>
        </w:tc>
      </w:tr>
      <w:tr>
        <w:trPr/>
        <w:tc>
          <w:tcPr>
            <w:tcW w:w="1080" w:type="dxa"/>
          </w:tcPr>
          <w:p>
            <w:pPr>
              <w:pStyle w:val="Compact"/>
              <w:jc w:val="left"/>
            </w:pPr>
            <w:r>
              <w:rPr>
                <w:sz w:val="18"/>
              </w:rPr>
              <w:t xml:space="preserve">Equity</w:t>
            </w:r>
          </w:p>
        </w:tc>
        <w:tc>
          <w:tcPr>
            <w:tcW w:w="6480" w:type="dxa"/>
          </w:tcPr>
          <w:p>
            <w:pPr>
              <w:pStyle w:val="Compact"/>
              <w:jc w:val="left"/>
            </w:pPr>
            <w:r>
              <w:rPr>
                <w:sz w:val="18"/>
              </w:rPr>
              <w:t xml:space="preserve">SDOH integration, algorithmic bias, access disparity</w:t>
            </w:r>
          </w:p>
        </w:tc>
        <w:tc>
          <w:tcPr>
            <w:tcW w:w="1512" w:type="dxa"/>
          </w:tcPr>
          <w:p>
            <w:pPr>
              <w:pStyle w:val="Compact"/>
              <w:jc w:val="left"/>
            </w:pPr>
            <w:r>
              <w:rPr>
                <w:sz w:val="18"/>
              </w:rPr>
              <w:t xml:space="preserve">Chapters 12–13</w:t>
            </w:r>
          </w:p>
        </w:tc>
      </w:tr>
      <w:tr>
        <w:trPr>
          <w:cantSplit/>
        </w:trPr>
        <w:tc>
          <w:tcPr>
            <w:tcW w:w="1080" w:type="dxa"/>
          </w:tcPr>
          <w:p>
            <w:pPr>
              <w:pStyle w:val="Compact"/>
              <w:jc w:val="left"/>
            </w:pPr>
            <w:r>
              <w:rPr>
                <w:sz w:val="18"/>
              </w:rPr>
              <w:t xml:space="preserve">Operations</w:t>
            </w:r>
          </w:p>
        </w:tc>
        <w:tc>
          <w:tcPr>
            <w:tcW w:w="6480" w:type="dxa"/>
          </w:tcPr>
          <w:p>
            <w:pPr>
              <w:pStyle w:val="Compact"/>
              <w:jc w:val="left"/>
            </w:pPr>
            <w:r>
              <w:rPr>
                <w:sz w:val="18"/>
              </w:rPr>
              <w:t xml:space="preserve">Revenue cycle, workforce &amp; human capital, quality &amp; compliance, supply chain, payer/network operations</w:t>
            </w:r>
          </w:p>
        </w:tc>
        <w:tc>
          <w:tcPr>
            <w:tcW w:w="1512" w:type="dxa"/>
          </w:tcPr>
          <w:p>
            <w:pPr>
              <w:pStyle w:val="Compact"/>
              <w:jc w:val="left"/>
            </w:pPr>
            <w:r>
              <w:rPr>
                <w:sz w:val="18"/>
              </w:rPr>
              <w:t xml:space="preserve">Chapters 14–15</w:t>
            </w:r>
          </w:p>
        </w:tc>
      </w:tr>
    </w:tbl>
    <w:p>
      <w:pPr>
        <w:pStyle w:val="Heading2"/>
        <w:pBdr>
          <w:top w:val="single" w:sz="6" w:space="10" w:color="C9D2DF"/>
        </w:pBdr>
        <w:spacing w:before="280"/>
      </w:pPr>
      <w:r>
        <w:rPr>
          <w:color w:val="161B22"/>
        </w:rPr>
        <w:t xml:space="preserve">G.4  </w:t>
      </w:r>
      <w:bookmarkStart w:id="1479" w:name="_Toc1478"/>
      <w:r>
        <w:rPr>
          <w:b/>
          <w:bCs/>
          <w:color w:val="161B22"/>
        </w:rPr>
        <w:t xml:space="preserve">The Academy</w:t>
      </w:r>
      <w:bookmarkEnd w:id="1479"/>
    </w:p>
    <w:p>
      <w:pPr>
        <w:pStyle w:val="FirstParagraph"/>
      </w:pPr>
      <w: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pPr>
        <w:pStyle w:val="Heading2"/>
        <w:pBdr>
          <w:top w:val="single" w:sz="6" w:space="10" w:color="C9D2DF"/>
        </w:pBdr>
      </w:pPr>
      <w:r>
        <w:rPr>
          <w:color w:val="161B22"/>
        </w:rPr>
        <w:t xml:space="preserve">G.5  </w:t>
      </w:r>
      <w:bookmarkStart w:id="1480" w:name="_Toc1479"/>
      <w:r>
        <w:rPr>
          <w:b/>
          <w:bCs/>
          <w:color w:val="161B22"/>
        </w:rPr>
        <w:t xml:space="preserve">The Research Lab</w:t>
      </w:r>
      <w:bookmarkEnd w:id="1480"/>
    </w:p>
    <w:p>
      <w:pPr>
        <w:pStyle w:val="FirstParagraph"/>
      </w:pPr>
      <w:r>
        <w:t xml:space="preserve">The Research Lab is a suite of nearly forty interactive analytical tools organized into the same six-pillar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Scorecard, Actuarial Lab, Clinical Quality Optimizer); Population &amp; Equity (Health Equity Studio/HEROI); Technology &amp; AI (HTA Studio, AI Analytics Lab, Digital Health Lab); and Knowledge &amp; Workspace (Evidence Library, Workforce Modeler, Research Workspace, Innovation Leaderboard, VBC Readiness Assessment, CIN &amp; Shared Services Modeler, EMS Transformation Modeler). Full tool specifications are in Appendix E.</w:t>
      </w:r>
    </w:p>
    <w:p>
      <w:pPr>
        <w:pStyle w:val="Heading2"/>
        <w:pBdr>
          <w:top w:val="single" w:sz="6" w:space="10" w:color="C9D2DF"/>
        </w:pBdr>
      </w:pPr>
      <w:r>
        <w:rPr>
          <w:color w:val="161B22"/>
        </w:rPr>
        <w:t xml:space="preserve">G.6  </w:t>
      </w:r>
      <w:bookmarkStart w:id="1481" w:name="_Toc1480"/>
      <w:r>
        <w:rPr>
          <w:b/>
          <w:bCs/>
          <w:color w:val="161B22"/>
        </w:rPr>
        <w:t xml:space="preserve">States &amp; Programs</w:t>
      </w:r>
      <w:bookmarkEnd w:id="1481"/>
    </w:p>
    <w:p>
      <w:pPr>
        <w:pStyle w:val="FirstParagraph"/>
      </w:pPr>
      <w: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(six states including Vermont), California CalAIM ($6.7B Medi-Cal transformation), and the All States Explorer.</w:t>
      </w:r>
    </w:p>
    <w:p>
      <w:pPr>
        <w:pStyle w:val="Heading2"/>
        <w:pBdr>
          <w:top w:val="single" w:sz="6" w:space="10" w:color="C9D2DF"/>
        </w:pBdr>
      </w:pPr>
      <w:r>
        <w:rPr>
          <w:color w:val="161B22"/>
        </w:rPr>
        <w:t xml:space="preserve">G.7  </w:t>
      </w:r>
      <w:bookmarkStart w:id="1482" w:name="_Toc1481"/>
      <w:r>
        <w:rPr>
          <w:b/>
          <w:bCs/>
          <w:color w:val="161B22"/>
        </w:rPr>
        <w:t xml:space="preserve">Advisory &amp; Services and the AI Analyst</w:t>
      </w:r>
      <w:bookmarkEnd w:id="1482"/>
    </w:p>
    <w:p>
      <w:pPr>
        <w:pStyle w:val="FirstParagraph"/>
      </w:pPr>
      <w: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six-pillar framework and the Vermont case study; it reasons and synthesizes (for finding specific content, use search; for analytical dialogue, use the Analyst).</w:t>
      </w:r>
    </w:p>
    <w:p>
      <w:pPr>
        <w:pStyle w:val="Heading2"/>
        <w:pBdr>
          <w:top w:val="single" w:sz="6" w:space="10" w:color="C9D2DF"/>
        </w:pBdr>
      </w:pPr>
      <w:r>
        <w:rPr>
          <w:color w:val="161B22"/>
        </w:rPr>
        <w:t xml:space="preserve">G.8  </w:t>
      </w:r>
      <w:bookmarkStart w:id="1483" w:name="_Toc1482"/>
      <w:r>
        <w:rPr>
          <w:b/>
          <w:bCs/>
          <w:color w:val="161B22"/>
        </w:rPr>
        <w:t xml:space="preserve">Reader Profiles and Recommended Paths</w:t>
      </w:r>
      <w:bookmarkEnd w:id="1483"/>
    </w:p>
    <w:p>
      <w:pPr>
        <w:pStyle w:val="FirstParagraph"/>
      </w:pPr>
      <w:r>
        <w:t xml:space="preserve">Policy Professional: the Policy pillar, Trending Topics, the Policy Simulator, the All States Explorer, and the 50-State RHTP Dashboard; The Wire filtered to Policy as a daily briefing.</w:t>
      </w:r>
    </w:p>
    <w:p>
      <w:pPr>
        <w:pStyle w:val="BodyText"/>
      </w:pPr>
      <w:r>
        <w:t xml:space="preserve">Executive/Administrator: the HTR Simulator (six-pillar readiness score), the VBC Readiness Assessment and Hospital Financial Scorecard, and the Vermont Act 167 and RHTP Dashboard sections for benchmarks; the AI Analyst for organization-specific scenarios.</w:t>
      </w:r>
    </w:p>
    <w:p>
      <w:pPr>
        <w:pStyle w:val="BodyText"/>
      </w:pPr>
      <w:r>
        <w:t xml:space="preserve">Vermont Practitioner: the Vermont Act 167 section (with the hospital-level simulator), Vermont Medicaid, the Bed Capacity &amp; Transfer dashboard, the Medicaid Eligibility Simulator, and the Medicaid Learning Center.</w:t>
      </w:r>
    </w:p>
    <w:p>
      <w:pPr>
        <w:pStyle w:val="BodyText"/>
      </w:pPr>
      <w:r>
        <w:t xml:space="preserve">Student/Researcher: the Academy (starting with Personalized Learning) in parallel with the book’s chapter sequence; the Research Workspace, Glossary, Evidence Library, and Innovation Leaderboard.</w:t>
      </w:r>
    </w:p>
    <w:p>
      <w:pPr>
        <w:pStyle w:val="BodyText"/>
      </w:pPr>
      <w:r>
        <w:t xml:space="preserve">New-to-the-field: Personalized Learning first; the Glossary and AI Analyst freely; the home page’s Quick Start cards and Trending-by-Pillar section for daily orientation.</w:t>
      </w:r>
    </w:p>
    <w:p>
      <w:pPr>
        <w:pStyle w:val="BodyText"/>
      </w:pPr>
      <w: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
        <w:br w:type="page"/>
      </w:r>
    </w:p>
    <w:p>
      <w:pPr>
        <w:pStyle w:val="Heading1"/>
      </w:pPr>
      <w:bookmarkStart w:id="1484" w:name="_Toc1483"/>
      <w:r>
        <w:rPr>
          <w:b/>
          <w:bCs/>
          <w:color w:val="161B22"/>
        </w:rPr>
        <w:t xml:space="preserve">Appendix H — Adapting and Stress-Testing the Framework</w:t>
      </w:r>
      <w:bookmarkEnd w:id="1484"/>
    </w:p>
    <w:p>
      <w:pPr>
        <w:pStyle w:val="FirstParagraph"/>
      </w:pPr>
      <w:r>
        <w:t xml:space="preserve">The chapters of this book document Vermont’s six-pillar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w:t>
      </w:r>
      <w:r>
        <w:t xml:space="preserve"> </w:t>
      </w:r>
      <w:r>
        <w:t xml:space="preserve">“Strongest Case Against This Book’s Argument”</w:t>
      </w:r>
      <w:r>
        <w:t xml:space="preserve"> </w:t>
      </w:r>
      <w:r>
        <w:t xml:space="preserve">— in enough detail to be useful rather than just acknowledged.</w:t>
      </w:r>
    </w:p>
    <w:p>
      <w:pPr>
        <w:pStyle w:val="Heading2"/>
        <w:pBdr>
          <w:top w:val="single" w:sz="6" w:space="10" w:color="C9D2DF"/>
        </w:pBdr>
        <w:keepNext w:val="false"/>
      </w:pPr>
      <w:r>
        <w:rPr>
          <w:color w:val="161B22"/>
        </w:rPr>
        <w:t xml:space="preserve">H.1  </w:t>
      </w:r>
      <w:bookmarkStart w:id="1485" w:name="_Toc1484"/>
      <w:r>
        <w:rPr>
          <w:b/>
          <w:bCs/>
          <w:color w:val="161B22"/>
        </w:rPr>
        <w:t xml:space="preserve">H.1 Glossary of Vermont-Specific Acronyms and Institutions</w:t>
      </w:r>
      <w:bookmarkEnd w:id="1485"/>
    </w:p>
    <w:p>
      <w:pPr>
        <w:pStyle w:val="FirstParagraph"/>
        <w:keepNext w:val="false"/>
      </w:pPr>
      <w: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HTRTable"/>
        <w:tblLook w:firstRow="1" w:lastRow="0" w:firstColumn="0" w:lastColumn="0" w:noHBand="0" w:noVBand="1" w:val="0020"/>
        <w:tblW w:w="9072" w:type="dxa"/>
        <w:tblLayout w:type="fixed"/>
      </w:tblPr>
      <w:tblGrid>
        <w:gridCol w:w="1765"/>
        <w:gridCol w:w="3653"/>
        <w:gridCol w:w="3653"/>
      </w:tblGrid>
      <w:tr>
        <w:trPr>
          <w:tblHeader w:val="on"/>
          <w:cantSplit/>
        </w:trPr>
        <w:tc>
          <w:tcPr>
            <w:shd w:val="clear" w:color="auto" w:fill="1B3A6B"/>
            <w:tcW w:w="1765" w:type="dxa"/>
          </w:tcPr>
          <w:p>
            <w:pPr>
              <w:pStyle w:val="Compact"/>
              <w:spacing w:before="0" w:after="0" w:line="240" w:lineRule="auto"/>
              <w:jc w:val="left"/>
            </w:pPr>
            <w:r>
              <w:rPr>
                <w:b/>
                <w:color w:val="FFFFFF"/>
                <w:sz w:val="17"/>
              </w:rPr>
              <w:t xml:space="preserve">Term</w:t>
            </w:r>
          </w:p>
        </w:tc>
        <w:tc>
          <w:tcPr>
            <w:shd w:val="clear" w:color="auto" w:fill="1B3A6B"/>
            <w:tcW w:w="3653" w:type="dxa"/>
          </w:tcPr>
          <w:p>
            <w:pPr>
              <w:pStyle w:val="Compact"/>
              <w:spacing w:before="0" w:after="0" w:line="240" w:lineRule="auto"/>
              <w:jc w:val="left"/>
            </w:pPr>
            <w:r>
              <w:rPr>
                <w:b/>
                <w:color w:val="FFFFFF"/>
                <w:sz w:val="17"/>
              </w:rPr>
              <w:t xml:space="preserve">What it is</w:t>
            </w:r>
          </w:p>
        </w:tc>
        <w:tc>
          <w:tcPr>
            <w:shd w:val="clear" w:color="auto" w:fill="1B3A6B"/>
            <w:tcW w:w="3653" w:type="dxa"/>
          </w:tcPr>
          <w:p>
            <w:pPr>
              <w:pStyle w:val="Compact"/>
              <w:spacing w:before="0" w:after="0" w:line="240" w:lineRule="auto"/>
              <w:jc w:val="left"/>
            </w:pPr>
            <w:r>
              <w:rPr>
                <w:b/>
                <w:color w:val="FFFFFF"/>
                <w:sz w:val="17"/>
              </w:rPr>
              <w:t xml:space="preserve">Generic equivalent</w:t>
            </w:r>
          </w:p>
        </w:tc>
      </w:tr>
      <w:tr>
        <w:trPr>
          <w:cantSplit/>
        </w:trPr>
        <w:tc>
          <w:tcPr>
            <w:tcW w:w="1765" w:type="dxa"/>
          </w:tcPr>
          <w:p>
            <w:pPr>
              <w:pStyle w:val="Compact"/>
              <w:spacing w:before="0" w:after="0" w:line="240" w:lineRule="auto"/>
              <w:jc w:val="left"/>
            </w:pPr>
            <w:r>
              <w:rPr>
                <w:b/>
                <w:bCs/>
                <w:sz w:val="17"/>
              </w:rPr>
              <w:t xml:space="preserve">AHS</w:t>
            </w:r>
          </w:p>
        </w:tc>
        <w:tc>
          <w:tcPr>
            <w:tcW w:w="3653" w:type="dxa"/>
          </w:tcPr>
          <w:p>
            <w:pPr>
              <w:pStyle w:val="Compact"/>
              <w:spacing w:before="0" w:after="0" w:line="240" w:lineRule="auto"/>
              <w:jc w:val="left"/>
            </w:pPr>
            <w:r>
              <w:rPr>
                <w:sz w:val="17"/>
              </w:rPr>
              <w:t xml:space="preserve">Vermont Agency of Human Services — the umbrella state agency now responsible for statewide healthcare transformation planning under Act 68.</w:t>
            </w:r>
          </w:p>
        </w:tc>
        <w:tc>
          <w:tcPr>
            <w:tcW w:w="3653" w:type="dxa"/>
          </w:tcPr>
          <w:p>
            <w:pPr>
              <w:pStyle w:val="Compact"/>
              <w:spacing w:before="0" w:after="0" w:line="240" w:lineRule="auto"/>
              <w:jc w:val="left"/>
            </w:pPr>
            <w:r>
              <w:rPr>
                <w:sz w:val="17"/>
              </w:rPr>
              <w:t xml:space="preserve">Your state’s health and human services department, or whichever agency holds the AHEAD/CMMI agreement.</w:t>
            </w:r>
          </w:p>
        </w:tc>
      </w:tr>
      <w:tr>
        <w:trPr/>
        <w:tc>
          <w:tcPr>
            <w:tcW w:w="1765" w:type="dxa"/>
          </w:tcPr>
          <w:p>
            <w:pPr>
              <w:pStyle w:val="Compact"/>
              <w:spacing w:before="0" w:after="0" w:line="240" w:lineRule="auto"/>
              <w:jc w:val="left"/>
            </w:pPr>
            <w:r>
              <w:rPr>
                <w:b/>
                <w:bCs/>
                <w:sz w:val="17"/>
              </w:rPr>
              <w:t xml:space="preserve">GMCB</w:t>
            </w:r>
          </w:p>
        </w:tc>
        <w:tc>
          <w:tcPr>
            <w:tcW w:w="3653" w:type="dxa"/>
          </w:tcPr>
          <w:p>
            <w:pPr>
              <w:pStyle w:val="Compact"/>
              <w:spacing w:before="0" w:after="0" w:line="240" w:lineRule="auto"/>
              <w:jc w:val="left"/>
            </w:pPr>
            <w:r>
              <w:rPr>
                <w:sz w:val="17"/>
              </w:rPr>
              <w:t xml:space="preserve">Green Mountain Care Board — Vermont’s independent hospital rate-setting and cost-growth-benchmark regulator.</w:t>
            </w:r>
          </w:p>
        </w:tc>
        <w:tc>
          <w:tcPr>
            <w:tcW w:w="3653" w:type="dxa"/>
          </w:tcPr>
          <w:p>
            <w:pPr>
              <w:pStyle w:val="Compact"/>
              <w:spacing w:before="0" w:after="0" w:line="240" w:lineRule="auto"/>
              <w:jc w:val="left"/>
            </w:pPr>
            <w:r>
              <w:rPr>
                <w:sz w:val="17"/>
              </w:rPr>
              <w:t xml:space="preserve">A hospital rate-review board or cost-growth-benchmark commission (e.g., Massachusetts HPC, Rhode Island OHIC, Connecticut OHS).</w:t>
            </w:r>
          </w:p>
        </w:tc>
      </w:tr>
      <w:tr>
        <w:trPr/>
        <w:tc>
          <w:tcPr>
            <w:tcW w:w="1765" w:type="dxa"/>
          </w:tcPr>
          <w:p>
            <w:pPr>
              <w:pStyle w:val="Compact"/>
              <w:spacing w:before="0" w:after="0" w:line="240" w:lineRule="auto"/>
              <w:jc w:val="left"/>
            </w:pPr>
            <w:r>
              <w:rPr>
                <w:b/>
                <w:bCs/>
                <w:sz w:val="17"/>
              </w:rPr>
              <w:t xml:space="preserve">VHCURES</w:t>
            </w:r>
          </w:p>
        </w:tc>
        <w:tc>
          <w:tcPr>
            <w:tcW w:w="3653" w:type="dxa"/>
          </w:tcPr>
          <w:p>
            <w:pPr>
              <w:pStyle w:val="Compact"/>
              <w:spacing w:before="0" w:after="0" w:line="240" w:lineRule="auto"/>
              <w:jc w:val="left"/>
            </w:pPr>
            <w:r>
              <w:rPr>
                <w:sz w:val="17"/>
              </w:rPr>
              <w:t xml:space="preserve">Vermont’s all-payer claims database (APCD).</w:t>
            </w:r>
          </w:p>
        </w:tc>
        <w:tc>
          <w:tcPr>
            <w:tcW w:w="3653" w:type="dxa"/>
          </w:tcPr>
          <w:p>
            <w:pPr>
              <w:pStyle w:val="Compact"/>
              <w:spacing w:before="0" w:after="0" w:line="240" w:lineRule="auto"/>
              <w:jc w:val="left"/>
            </w:pPr>
            <w:r>
              <w:rPr>
                <w:sz w:val="17"/>
              </w:rPr>
              <w:t xml:space="preserve">Your state’s APCD, if one exists; roughly 20 states have one.</w:t>
            </w:r>
          </w:p>
        </w:tc>
      </w:tr>
      <w:tr>
        <w:trPr/>
        <w:tc>
          <w:tcPr>
            <w:tcW w:w="1765" w:type="dxa"/>
          </w:tcPr>
          <w:p>
            <w:pPr>
              <w:pStyle w:val="Compact"/>
              <w:spacing w:before="0" w:after="0" w:line="240" w:lineRule="auto"/>
              <w:jc w:val="left"/>
            </w:pPr>
            <w:r>
              <w:rPr>
                <w:b/>
                <w:bCs/>
                <w:sz w:val="17"/>
              </w:rPr>
              <w:t xml:space="preserve">VITL</w:t>
            </w:r>
          </w:p>
        </w:tc>
        <w:tc>
          <w:tcPr>
            <w:tcW w:w="3653" w:type="dxa"/>
          </w:tcPr>
          <w:p>
            <w:pPr>
              <w:pStyle w:val="Compact"/>
              <w:spacing w:before="0" w:after="0" w:line="240" w:lineRule="auto"/>
              <w:jc w:val="left"/>
            </w:pPr>
            <w:r>
              <w:rPr>
                <w:sz w:val="17"/>
              </w:rPr>
              <w:t xml:space="preserve">Vermont Information Technology Leaders — operator of Vermont’s health information exchange.</w:t>
            </w:r>
          </w:p>
        </w:tc>
        <w:tc>
          <w:tcPr>
            <w:tcW w:w="3653" w:type="dxa"/>
          </w:tcPr>
          <w:p>
            <w:pPr>
              <w:pStyle w:val="Compact"/>
              <w:spacing w:before="0" w:after="0" w:line="240" w:lineRule="auto"/>
              <w:jc w:val="left"/>
            </w:pPr>
            <w:r>
              <w:rPr>
                <w:sz w:val="17"/>
              </w:rPr>
              <w:t xml:space="preserve">Your state’s designated HIE entity.</w:t>
            </w:r>
          </w:p>
        </w:tc>
      </w:tr>
      <w:tr>
        <w:trPr/>
        <w:tc>
          <w:tcPr>
            <w:tcW w:w="1765" w:type="dxa"/>
          </w:tcPr>
          <w:p>
            <w:pPr>
              <w:pStyle w:val="Compact"/>
              <w:spacing w:before="0" w:after="0" w:line="240" w:lineRule="auto"/>
              <w:jc w:val="left"/>
            </w:pPr>
            <w:r>
              <w:rPr>
                <w:b/>
                <w:bCs/>
                <w:sz w:val="17"/>
              </w:rPr>
              <w:t xml:space="preserve">OneCare (Vermont)</w:t>
            </w:r>
          </w:p>
        </w:tc>
        <w:tc>
          <w:tcPr>
            <w:tcW w:w="3653" w:type="dxa"/>
          </w:tcPr>
          <w:p>
            <w:pPr>
              <w:pStyle w:val="Compact"/>
              <w:spacing w:before="0" w:after="0" w:line="240" w:lineRule="auto"/>
              <w:jc w:val="left"/>
            </w:pPr>
            <w:r>
              <w:rPr>
                <w:sz w:val="17"/>
              </w:rPr>
              <w:t xml:space="preserve">Vermont’s primary ACO under the All-Payer ACO Model (2017–2025), now wound down.</w:t>
            </w:r>
          </w:p>
        </w:tc>
        <w:tc>
          <w:tcPr>
            <w:tcW w:w="3653" w:type="dxa"/>
          </w:tcPr>
          <w:p>
            <w:pPr>
              <w:pStyle w:val="Compact"/>
              <w:spacing w:before="0" w:after="0" w:line="240" w:lineRule="auto"/>
              <w:jc w:val="left"/>
            </w:pPr>
            <w:r>
              <w:rPr>
                <w:sz w:val="17"/>
              </w:rPr>
              <w:t xml:space="preserve">Any Medicaid ACO, MSSP ACO, or comparable total-cost-of-care entity in your state.</w:t>
            </w:r>
          </w:p>
        </w:tc>
      </w:tr>
      <w:tr>
        <w:trPr/>
        <w:tc>
          <w:tcPr>
            <w:tcW w:w="1765" w:type="dxa"/>
          </w:tcPr>
          <w:p>
            <w:pPr>
              <w:pStyle w:val="Compact"/>
              <w:spacing w:before="0" w:after="0" w:line="240" w:lineRule="auto"/>
              <w:jc w:val="left"/>
            </w:pPr>
            <w:r>
              <w:rPr>
                <w:b/>
                <w:bCs/>
                <w:sz w:val="17"/>
              </w:rPr>
              <w:t xml:space="preserve">AHEAD Model</w:t>
            </w:r>
          </w:p>
        </w:tc>
        <w:tc>
          <w:tcPr>
            <w:tcW w:w="3653" w:type="dxa"/>
          </w:tcPr>
          <w:p>
            <w:pPr>
              <w:pStyle w:val="Compact"/>
              <w:spacing w:before="0" w:after="0" w:line="240" w:lineRule="auto"/>
              <w:jc w:val="left"/>
            </w:pPr>
            <w:r>
              <w:rPr>
                <w:sz w:val="17"/>
              </w:rPr>
              <w:t xml:space="preserve">CMS/CMMI’s Advancing All-Payer Health Equity Approaches and Development model (2024–2035) — federal-state agreements establishing global budgets and a state cost-growth target. Vermont, Maryland, Connecticut, Hawaii, Rhode Island, and parts of New York participate.</w:t>
            </w:r>
          </w:p>
        </w:tc>
        <w:tc>
          <w:tcPr>
            <w:tcW w:w="3653" w:type="dxa"/>
          </w:tcPr>
          <w:p>
            <w:pPr>
              <w:pStyle w:val="Compact"/>
              <w:spacing w:before="0" w:after="0" w:line="240" w:lineRule="auto"/>
              <w:jc w:val="left"/>
            </w:pPr>
            <w:r>
              <w:rPr>
                <w:sz w:val="17"/>
              </w:rPr>
              <w:t xml:space="preserve">Check whether your state has applied to or operates under AHEAD; if not, the generic equivalent is a CMMI state total-cost-of-care model or 1115 waiver.</w:t>
            </w:r>
          </w:p>
        </w:tc>
      </w:tr>
      <w:tr>
        <w:trPr/>
        <w:tc>
          <w:tcPr>
            <w:tcW w:w="1765" w:type="dxa"/>
          </w:tcPr>
          <w:p>
            <w:pPr>
              <w:pStyle w:val="Compact"/>
              <w:spacing w:before="0" w:after="0" w:line="240" w:lineRule="auto"/>
              <w:jc w:val="left"/>
            </w:pPr>
            <w:r>
              <w:rPr>
                <w:b/>
                <w:bCs/>
                <w:sz w:val="17"/>
              </w:rPr>
              <w:t xml:space="preserve">Act 167 (2022)</w:t>
            </w:r>
          </w:p>
        </w:tc>
        <w:tc>
          <w:tcPr>
            <w:tcW w:w="3653" w:type="dxa"/>
          </w:tcPr>
          <w:p>
            <w:pPr>
              <w:pStyle w:val="Compact"/>
              <w:spacing w:before="0" w:after="0" w:line="240" w:lineRule="auto"/>
              <w:jc w:val="left"/>
            </w:pPr>
            <w:r>
              <w:rPr>
                <w:sz w:val="17"/>
              </w:rPr>
              <w:t xml:space="preserve">Vermont’s diagnostic mandate — commissioned the Oliver Wyman system-wide financial analysis.</w:t>
            </w:r>
          </w:p>
        </w:tc>
        <w:tc>
          <w:tcPr>
            <w:tcW w:w="3653" w:type="dxa"/>
          </w:tcPr>
          <w:p>
            <w:pPr>
              <w:pStyle w:val="Compact"/>
              <w:spacing w:before="0" w:after="0" w:line="240" w:lineRule="auto"/>
              <w:jc w:val="left"/>
            </w:pPr>
            <w:r>
              <w:rPr>
                <w:sz w:val="17"/>
              </w:rPr>
              <w:t xml:space="preserve">A legislatively mandated independent system assessment or consultant study.</w:t>
            </w:r>
          </w:p>
        </w:tc>
      </w:tr>
      <w:tr>
        <w:trPr/>
        <w:tc>
          <w:tcPr>
            <w:tcW w:w="1765" w:type="dxa"/>
          </w:tcPr>
          <w:p>
            <w:pPr>
              <w:pStyle w:val="Compact"/>
              <w:spacing w:before="0" w:after="0" w:line="240" w:lineRule="auto"/>
              <w:jc w:val="left"/>
            </w:pPr>
            <w:r>
              <w:rPr>
                <w:b/>
                <w:bCs/>
                <w:sz w:val="17"/>
              </w:rPr>
              <w:t xml:space="preserve">Act 51 (2023)</w:t>
            </w:r>
          </w:p>
        </w:tc>
        <w:tc>
          <w:tcPr>
            <w:tcW w:w="3653" w:type="dxa"/>
          </w:tcPr>
          <w:p>
            <w:pPr>
              <w:pStyle w:val="Compact"/>
              <w:spacing w:before="0" w:after="0" w:line="240" w:lineRule="auto"/>
              <w:jc w:val="left"/>
            </w:pPr>
            <w:r>
              <w:rPr>
                <w:sz w:val="17"/>
              </w:rPr>
              <w:t xml:space="preserve">Vermont’s planning mandate — authorized AHS to conduct transformation planning with up to four hospitals (amending Act 167), alongside Medicaid and DVHA program changes.</w:t>
            </w:r>
          </w:p>
        </w:tc>
        <w:tc>
          <w:tcPr>
            <w:tcW w:w="3653" w:type="dxa"/>
          </w:tcPr>
          <w:p>
            <w:pPr>
              <w:pStyle w:val="Compact"/>
              <w:spacing w:before="0" w:after="0" w:line="240" w:lineRule="auto"/>
              <w:jc w:val="left"/>
            </w:pPr>
            <w:r>
              <w:rPr>
                <w:sz w:val="17"/>
              </w:rPr>
              <w:t xml:space="preserve">A statute authorizing hospital transformation pilots or planning engagements.</w:t>
            </w:r>
          </w:p>
        </w:tc>
      </w:tr>
      <w:tr>
        <w:trPr/>
        <w:tc>
          <w:tcPr>
            <w:tcW w:w="1765" w:type="dxa"/>
          </w:tcPr>
          <w:p>
            <w:pPr>
              <w:pStyle w:val="Compact"/>
              <w:spacing w:before="0" w:after="0" w:line="240" w:lineRule="auto"/>
              <w:jc w:val="left"/>
            </w:pPr>
            <w:r>
              <w:rPr>
                <w:b/>
                <w:bCs/>
                <w:sz w:val="17"/>
              </w:rPr>
              <w:t xml:space="preserve">Act 68 (2025)</w:t>
            </w:r>
          </w:p>
        </w:tc>
        <w:tc>
          <w:tcPr>
            <w:tcW w:w="3653" w:type="dxa"/>
          </w:tcPr>
          <w:p>
            <w:pPr>
              <w:pStyle w:val="Compact"/>
              <w:spacing w:before="0" w:after="0" w:line="240" w:lineRule="auto"/>
              <w:jc w:val="left"/>
            </w:pPr>
            <w:r>
              <w:rPr>
                <w:sz w:val="17"/>
              </w:rPr>
              <w:t xml:space="preserve">Vermont’s operational mandate — mandatory reference-based pricing by FY2027, global hospital budgets for non-critical-access hospitals by FY2028 and all hospitals by FY2030, and the Statewide Health Care Delivery Strategic Plan (due December 2028).</w:t>
            </w:r>
          </w:p>
        </w:tc>
        <w:tc>
          <w:tcPr>
            <w:tcW w:w="3653" w:type="dxa"/>
          </w:tcPr>
          <w:p>
            <w:pPr>
              <w:pStyle w:val="Compact"/>
              <w:spacing w:before="0" w:after="0" w:line="240" w:lineRule="auto"/>
              <w:jc w:val="left"/>
            </w:pPr>
            <w:r>
              <w:rPr>
                <w:sz w:val="17"/>
              </w:rPr>
              <w:t xml:space="preserve">A binding cost-control or payment-reform statute with statutory deadlines and enforcement authority.</w:t>
            </w:r>
          </w:p>
        </w:tc>
      </w:tr>
      <w:tr>
        <w:trPr/>
        <w:tc>
          <w:tcPr>
            <w:tcW w:w="1765" w:type="dxa"/>
          </w:tcPr>
          <w:p>
            <w:pPr>
              <w:pStyle w:val="Compact"/>
              <w:spacing w:before="0" w:after="0" w:line="240" w:lineRule="auto"/>
              <w:jc w:val="left"/>
            </w:pPr>
            <w:r>
              <w:rPr>
                <w:b/>
                <w:bCs/>
                <w:sz w:val="17"/>
              </w:rPr>
              <w:t xml:space="preserve">RBP (Reference-Based Pricing)</w:t>
            </w:r>
          </w:p>
        </w:tc>
        <w:tc>
          <w:tcPr>
            <w:tcW w:w="3653" w:type="dxa"/>
          </w:tcPr>
          <w:p>
            <w:pPr>
              <w:pStyle w:val="Compact"/>
              <w:spacing w:before="0" w:after="0" w:line="240" w:lineRule="auto"/>
              <w:jc w:val="left"/>
            </w:pPr>
            <w:r>
              <w:rPr>
                <w:sz w:val="17"/>
              </w:rPr>
              <w:t xml:space="preserve">Capping what hospitals may accept as payment in full, expressed as a percentage of Medicare rates.</w:t>
            </w:r>
          </w:p>
        </w:tc>
        <w:tc>
          <w:tcPr>
            <w:tcW w:w="3653" w:type="dxa"/>
          </w:tcPr>
          <w:p>
            <w:pPr>
              <w:pStyle w:val="Compact"/>
              <w:spacing w:before="0" w:after="0" w:line="240" w:lineRule="auto"/>
              <w:jc w:val="left"/>
            </w:pPr>
            <w:r>
              <w:rPr>
                <w:sz w:val="17"/>
              </w:rPr>
              <w:t xml:space="preserve">Same term used nationally; Oregon, Montana, Washington, and Maryland have prior or analogous programs.</w:t>
            </w:r>
          </w:p>
        </w:tc>
      </w:tr>
      <w:tr>
        <w:trPr/>
        <w:tc>
          <w:tcPr>
            <w:tcW w:w="1765" w:type="dxa"/>
          </w:tcPr>
          <w:p>
            <w:pPr>
              <w:pStyle w:val="Compact"/>
              <w:spacing w:before="0" w:after="0" w:line="240" w:lineRule="auto"/>
              <w:jc w:val="left"/>
            </w:pPr>
            <w:r>
              <w:rPr>
                <w:b/>
                <w:bCs/>
                <w:sz w:val="17"/>
              </w:rPr>
              <w:t xml:space="preserve">CCBHC</w:t>
            </w:r>
          </w:p>
        </w:tc>
        <w:tc>
          <w:tcPr>
            <w:tcW w:w="3653" w:type="dxa"/>
          </w:tcPr>
          <w:p>
            <w:pPr>
              <w:pStyle w:val="Compact"/>
              <w:spacing w:before="0" w:after="0" w:line="240" w:lineRule="auto"/>
              <w:jc w:val="left"/>
            </w:pPr>
            <w:r>
              <w:rPr>
                <w:sz w:val="17"/>
              </w:rPr>
              <w:t xml:space="preserve">Certified Community Behavioral Health Clinic — a federal model for integrated behavioral health and primary care.</w:t>
            </w:r>
          </w:p>
        </w:tc>
        <w:tc>
          <w:tcPr>
            <w:tcW w:w="3653" w:type="dxa"/>
          </w:tcPr>
          <w:p>
            <w:pPr>
              <w:pStyle w:val="Compact"/>
              <w:spacing w:before="0" w:after="0" w:line="240" w:lineRule="auto"/>
              <w:jc w:val="left"/>
            </w:pPr>
            <w:r>
              <w:rPr>
                <w:sz w:val="17"/>
              </w:rPr>
              <w:t xml:space="preserve">National model; check your state’s CCBHC participation under SAMHSA.</w:t>
            </w:r>
          </w:p>
        </w:tc>
      </w:tr>
      <w:tr>
        <w:trPr/>
        <w:tc>
          <w:tcPr>
            <w:tcW w:w="1765" w:type="dxa"/>
          </w:tcPr>
          <w:p>
            <w:pPr>
              <w:pStyle w:val="Compact"/>
              <w:spacing w:before="0" w:after="0" w:line="240" w:lineRule="auto"/>
              <w:jc w:val="left"/>
            </w:pPr>
            <w:r>
              <w:rPr>
                <w:b/>
                <w:bCs/>
                <w:sz w:val="17"/>
              </w:rPr>
              <w:t xml:space="preserve">RHRC</w:t>
            </w:r>
          </w:p>
        </w:tc>
        <w:tc>
          <w:tcPr>
            <w:tcW w:w="3653" w:type="dxa"/>
          </w:tcPr>
          <w:p>
            <w:pPr>
              <w:pStyle w:val="Compact"/>
              <w:spacing w:before="0" w:after="0" w:line="240" w:lineRule="auto"/>
              <w:jc w:val="left"/>
            </w:pPr>
            <w:r>
              <w:rPr>
                <w:sz w:val="17"/>
              </w:rPr>
              <w:t xml:space="preserve">Rural Health Redesign Center — provides the technical-assistance methodology referenced for Vermont’s rural hospital transformation.</w:t>
            </w:r>
          </w:p>
        </w:tc>
        <w:tc>
          <w:tcPr>
            <w:tcW w:w="3653" w:type="dxa"/>
          </w:tcPr>
          <w:p>
            <w:pPr>
              <w:pStyle w:val="Compact"/>
              <w:spacing w:before="0" w:after="0" w:line="240" w:lineRule="auto"/>
              <w:jc w:val="left"/>
            </w:pPr>
            <w:r>
              <w:rPr>
                <w:sz w:val="17"/>
              </w:rPr>
              <w:t xml:space="preserve">National technical-assistance provider, not Vermont-specific.</w:t>
            </w:r>
          </w:p>
        </w:tc>
      </w:tr>
      <w:tr>
        <w:trPr/>
        <w:tc>
          <w:tcPr>
            <w:tcW w:w="1765" w:type="dxa"/>
          </w:tcPr>
          <w:p>
            <w:pPr>
              <w:pStyle w:val="Compact"/>
              <w:spacing w:before="0" w:after="0" w:line="240" w:lineRule="auto"/>
              <w:jc w:val="left"/>
            </w:pPr>
            <w:r>
              <w:rPr>
                <w:b/>
                <w:bCs/>
                <w:sz w:val="17"/>
              </w:rPr>
              <w:t xml:space="preserve">RHT Program</w:t>
            </w:r>
          </w:p>
        </w:tc>
        <w:tc>
          <w:tcPr>
            <w:tcW w:w="3653" w:type="dxa"/>
          </w:tcPr>
          <w:p>
            <w:pPr>
              <w:pStyle w:val="Compact"/>
              <w:spacing w:before="0" w:after="0" w:line="240" w:lineRule="auto"/>
              <w:jc w:val="left"/>
            </w:pPr>
            <w:r>
              <w:rPr>
                <w:sz w:val="17"/>
              </w:rPr>
              <w:t xml:space="preserve">Rural Health Transformation Program — the federal capital program from which Vermont received a $195M, five-year award.</w:t>
            </w:r>
          </w:p>
        </w:tc>
        <w:tc>
          <w:tcPr>
            <w:tcW w:w="3653" w:type="dxa"/>
          </w:tcPr>
          <w:p>
            <w:pPr>
              <w:pStyle w:val="Compact"/>
              <w:spacing w:before="0" w:after="0" w:line="240" w:lineRule="auto"/>
              <w:jc w:val="left"/>
            </w:pPr>
            <w:r>
              <w:rPr>
                <w:sz w:val="17"/>
              </w:rPr>
              <w:t xml:space="preserve">Every state was eligible; check your state’s RHT award and use-of-funds plan.</w:t>
            </w:r>
          </w:p>
        </w:tc>
      </w:tr>
      <w:tr>
        <w:trPr/>
        <w:tc>
          <w:tcPr>
            <w:tcW w:w="1765" w:type="dxa"/>
          </w:tcPr>
          <w:p>
            <w:pPr>
              <w:pStyle w:val="Compact"/>
              <w:spacing w:before="0" w:after="0" w:line="240" w:lineRule="auto"/>
              <w:jc w:val="left"/>
            </w:pPr>
            <w:r>
              <w:rPr>
                <w:b/>
                <w:bCs/>
                <w:sz w:val="17"/>
              </w:rPr>
              <w:t xml:space="preserve">HSA</w:t>
            </w:r>
          </w:p>
        </w:tc>
        <w:tc>
          <w:tcPr>
            <w:tcW w:w="3653" w:type="dxa"/>
          </w:tcPr>
          <w:p>
            <w:pPr>
              <w:pStyle w:val="Compact"/>
              <w:spacing w:before="0" w:after="0" w:line="240" w:lineRule="auto"/>
              <w:jc w:val="left"/>
            </w:pPr>
            <w:r>
              <w:rPr>
                <w:sz w:val="17"/>
              </w:rPr>
              <w:t xml:space="preserve">Hospital Service Area — Vermont’s 14 sub-state geographic planning units.</w:t>
            </w:r>
          </w:p>
        </w:tc>
        <w:tc>
          <w:tcPr>
            <w:tcW w:w="3653" w:type="dxa"/>
          </w:tcPr>
          <w:p>
            <w:pPr>
              <w:pStyle w:val="Compact"/>
              <w:spacing w:before="0" w:after="0" w:line="240" w:lineRule="auto"/>
              <w:jc w:val="left"/>
            </w:pPr>
            <w:r>
              <w:rPr>
                <w:sz w:val="17"/>
              </w:rPr>
              <w:t xml:space="preserve">Your state’s hospital referral region or service-area equivalent.</w:t>
            </w:r>
          </w:p>
        </w:tc>
      </w:tr>
      <w:tr>
        <w:trPr>
          <w:cantSplit/>
        </w:trPr>
        <w:tc>
          <w:tcPr>
            <w:tcW w:w="1765" w:type="dxa"/>
          </w:tcPr>
          <w:p>
            <w:pPr>
              <w:pStyle w:val="Compact"/>
              <w:spacing w:before="0" w:after="0" w:line="240" w:lineRule="auto"/>
              <w:jc w:val="left"/>
            </w:pPr>
            <w:r>
              <w:rPr>
                <w:b/>
                <w:bCs/>
                <w:sz w:val="17"/>
              </w:rPr>
              <w:t xml:space="preserve">Northeast Kingdom</w:t>
            </w:r>
          </w:p>
        </w:tc>
        <w:tc>
          <w:tcPr>
            <w:tcW w:w="3653" w:type="dxa"/>
          </w:tcPr>
          <w:p>
            <w:pPr>
              <w:pStyle w:val="Compact"/>
              <w:spacing w:before="0" w:after="0" w:line="240" w:lineRule="auto"/>
              <w:jc w:val="left"/>
            </w:pPr>
            <w:r>
              <w:rPr>
                <w:sz w:val="17"/>
              </w:rPr>
              <w:t xml:space="preserve">Vermont’s three northeasternmost counties (Caledonia, Essex, Orleans) — the state’s most severe rural access and equity challenge.</w:t>
            </w:r>
          </w:p>
        </w:tc>
        <w:tc>
          <w:tcPr>
            <w:tcW w:w="3653" w:type="dxa"/>
          </w:tcPr>
          <w:p>
            <w:pPr>
              <w:pStyle w:val="Compact"/>
              <w:spacing w:before="0" w:after="0" w:line="240" w:lineRule="auto"/>
              <w:jc w:val="left"/>
            </w:pPr>
            <w:r>
              <w:rPr>
                <w:sz w:val="17"/>
              </w:rPr>
              <w:t xml:space="preserve">The equivalent hardest-to-serve rural region in your state.</w:t>
            </w:r>
          </w:p>
        </w:tc>
      </w:tr>
    </w:tbl>
    <w:p>
      <w:pPr>
        <w:pStyle w:val="Heading2"/>
        <w:pBdr>
          <w:top w:val="single" w:sz="6" w:space="10" w:color="C9D2DF"/>
        </w:pBdr>
        <w:keepNext w:val="false"/>
        <w:spacing w:before="280"/>
      </w:pPr>
      <w:r>
        <w:rPr>
          <w:color w:val="161B22"/>
        </w:rPr>
        <w:t xml:space="preserve">H.2  </w:t>
      </w:r>
      <w:bookmarkStart w:id="1486" w:name="_Toc1485"/>
      <w:r>
        <w:rPr>
          <w:b/>
          <w:bCs/>
          <w:color w:val="161B22"/>
        </w:rPr>
        <w:t xml:space="preserve">H.2 Worksheet — Adapt This Framework to Your State</w:t>
      </w:r>
      <w:bookmarkEnd w:id="1486"/>
    </w:p>
    <w:p>
      <w:pPr>
        <w:pStyle w:val="FirstParagraph"/>
        <w:keepNext w:val="false"/>
      </w:pPr>
      <w:r>
        <w:t xml:space="preserve">For each of the six pillars, identify your state’s or organization’s equivalent institution, statute, or data asset — even if it is smaller, informal, or does not yet exist. Where nothing exists, that gap is itself the answer to where your sequence actually begins.</w:t>
      </w:r>
    </w:p>
    <w:tbl>
      <w:tblPr>
        <w:tblStyle w:val="HTRTable"/>
        <w:tblLook w:firstRow="1" w:lastRow="0" w:firstColumn="0" w:lastColumn="0" w:noHBand="0" w:noVBand="1" w:val="0020"/>
        <w:tblW w:w="9072" w:type="dxa"/>
        <w:tblLayout w:type="fixed"/>
      </w:tblPr>
      <w:tblGrid>
        <w:gridCol w:w="795"/>
        <w:gridCol w:w="4775"/>
        <w:gridCol w:w="1830"/>
        <w:gridCol w:w="1671"/>
      </w:tblGrid>
      <w:tr>
        <w:trPr>
          <w:tblHeader w:val="on"/>
          <w:cantSplit/>
        </w:trPr>
        <w:tc>
          <w:tcPr>
            <w:shd w:val="clear" w:color="auto" w:fill="1B3A6B"/>
            <w:tcW w:w="795" w:type="dxa"/>
          </w:tcPr>
          <w:p>
            <w:pPr>
              <w:pStyle w:val="Compact"/>
              <w:jc w:val="left"/>
            </w:pPr>
            <w:r>
              <w:rPr>
                <w:b/>
                <w:color w:val="FFFFFF"/>
                <w:sz w:val="18"/>
              </w:rPr>
              <w:t xml:space="preserve">Pillar</w:t>
            </w:r>
          </w:p>
        </w:tc>
        <w:tc>
          <w:tcPr>
            <w:shd w:val="clear" w:color="auto" w:fill="1B3A6B"/>
            <w:tcW w:w="4775" w:type="dxa"/>
          </w:tcPr>
          <w:p>
            <w:pPr>
              <w:pStyle w:val="Compact"/>
              <w:jc w:val="left"/>
            </w:pPr>
            <w:r>
              <w:rPr>
                <w:b/>
                <w:color w:val="FFFFFF"/>
                <w:sz w:val="18"/>
              </w:rPr>
              <w:t xml:space="preserve">Vermont’s instance</w:t>
            </w:r>
          </w:p>
        </w:tc>
        <w:tc>
          <w:tcPr>
            <w:shd w:val="clear" w:color="auto" w:fill="1B3A6B"/>
            <w:tcW w:w="1830" w:type="dxa"/>
          </w:tcPr>
          <w:p>
            <w:pPr>
              <w:pStyle w:val="Compact"/>
              <w:jc w:val="left"/>
            </w:pPr>
            <w:r>
              <w:rPr>
                <w:b/>
                <w:color w:val="FFFFFF"/>
                <w:sz w:val="18"/>
              </w:rPr>
              <w:t xml:space="preserve">Your state’s equivalent</w:t>
            </w:r>
          </w:p>
        </w:tc>
        <w:tc>
          <w:tcPr>
            <w:shd w:val="clear" w:color="auto" w:fill="1B3A6B"/>
            <w:tcW w:w="1671" w:type="dxa"/>
          </w:tcPr>
          <w:p>
            <w:pPr>
              <w:pStyle w:val="Compact"/>
              <w:jc w:val="left"/>
            </w:pPr>
            <w:r>
              <w:rPr>
                <w:b/>
                <w:color w:val="FFFFFF"/>
                <w:sz w:val="18"/>
              </w:rPr>
              <w:t xml:space="preserve">Exists? (Y/N/Partial)</w:t>
            </w:r>
          </w:p>
        </w:tc>
      </w:tr>
      <w:tr>
        <w:trPr>
          <w:cantSplit/>
        </w:trPr>
        <w:tc>
          <w:tcPr>
            <w:tcW w:w="795" w:type="dxa"/>
          </w:tcPr>
          <w:p>
            <w:pPr>
              <w:pStyle w:val="Compact"/>
              <w:jc w:val="left"/>
            </w:pPr>
            <w:r>
              <w:rPr>
                <w:b/>
                <w:bCs/>
                <w:sz w:val="18"/>
              </w:rPr>
              <w:t xml:space="preserve">Policy</w:t>
            </w:r>
          </w:p>
        </w:tc>
        <w:tc>
          <w:tcPr>
            <w:tcW w:w="4775" w:type="dxa"/>
          </w:tcPr>
          <w:p>
            <w:pPr>
              <w:pStyle w:val="Compact"/>
              <w:jc w:val="left"/>
            </w:pPr>
            <w:r>
              <w:rPr>
                <w:sz w:val="18"/>
              </w:rPr>
              <w:t xml:space="preserve">Acts 167, 51, 68 — diagnostic mandate → framework statute → operational mandate with enforcement authority</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Technology</w:t>
            </w:r>
          </w:p>
        </w:tc>
        <w:tc>
          <w:tcPr>
            <w:tcW w:w="4775" w:type="dxa"/>
          </w:tcPr>
          <w:p>
            <w:pPr>
              <w:pStyle w:val="Compact"/>
              <w:jc w:val="left"/>
            </w:pPr>
            <w:r>
              <w:rPr>
                <w:sz w:val="18"/>
              </w:rPr>
              <w:t xml:space="preserve">VHCURES (APCD) + VITL (HIE) + AHS-GMCB analytics platform</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Economics</w:t>
            </w:r>
          </w:p>
        </w:tc>
        <w:tc>
          <w:tcPr>
            <w:tcW w:w="4775" w:type="dxa"/>
          </w:tcPr>
          <w:p>
            <w:pPr>
              <w:pStyle w:val="Compact"/>
              <w:jc w:val="left"/>
            </w:pPr>
            <w:r>
              <w:rPr>
                <w:sz w:val="18"/>
              </w:rPr>
              <w:t xml:space="preserve">Act 68 reference-based pricing (FY2027) + global hospital budgets (FY2028–2030)</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Clinical</w:t>
            </w:r>
          </w:p>
        </w:tc>
        <w:tc>
          <w:tcPr>
            <w:tcW w:w="4775" w:type="dxa"/>
          </w:tcPr>
          <w:p>
            <w:pPr>
              <w:pStyle w:val="Compact"/>
              <w:jc w:val="left"/>
            </w:pPr>
            <w:r>
              <w:rPr>
                <w:sz w:val="18"/>
              </w:rPr>
              <w:t xml:space="preserve">Blueprint for Health (PCMH) + CCBHC expansion + Vermont Clinical Transformation Toolkit</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Equity</w:t>
            </w:r>
          </w:p>
        </w:tc>
        <w:tc>
          <w:tcPr>
            <w:tcW w:w="4775" w:type="dxa"/>
          </w:tcPr>
          <w:p>
            <w:pPr>
              <w:pStyle w:val="Compact"/>
              <w:jc w:val="left"/>
            </w:pPr>
            <w:r>
              <w:rPr>
                <w:sz w:val="18"/>
              </w:rPr>
              <w:t xml:space="preserve">Act 67 equity framework + Northeast Kingdom rural-access targets</w:t>
            </w:r>
          </w:p>
        </w:tc>
        <w:tc>
          <w:tcPr>
            <w:tcW w:w="1830" w:type="dxa"/>
          </w:tcPr>
          <w:p>
            <w:pPr>
              <w:pStyle w:val="Compact"/>
            </w:pPr>
          </w:p>
        </w:tc>
        <w:tc>
          <w:tcPr>
            <w:tcW w:w="1671" w:type="dxa"/>
          </w:tcPr>
          <w:p>
            <w:pPr>
              <w:pStyle w:val="Compact"/>
            </w:pPr>
          </w:p>
        </w:tc>
      </w:tr>
      <w:tr>
        <w:trPr>
          <w:cantSplit/>
        </w:trPr>
        <w:tc>
          <w:tcPr>
            <w:tcW w:w="795" w:type="dxa"/>
          </w:tcPr>
          <w:p>
            <w:pPr>
              <w:pStyle w:val="Compact"/>
              <w:jc w:val="left"/>
            </w:pPr>
            <w:r>
              <w:rPr>
                <w:b/>
                <w:bCs/>
                <w:sz w:val="18"/>
              </w:rPr>
              <w:t xml:space="preserve">Operations</w:t>
            </w:r>
          </w:p>
        </w:tc>
        <w:tc>
          <w:tcPr>
            <w:tcW w:w="4775" w:type="dxa"/>
          </w:tcPr>
          <w:p>
            <w:pPr>
              <w:pStyle w:val="Compact"/>
              <w:jc w:val="left"/>
            </w:pPr>
            <w:r>
              <w:rPr>
                <w:sz w:val="18"/>
              </w:rPr>
              <w:t xml:space="preserve">AHS Transformation PMO + 14-hospital regionalization plan + RHRC technical assistance</w:t>
            </w:r>
          </w:p>
        </w:tc>
        <w:tc>
          <w:tcPr>
            <w:tcW w:w="1830" w:type="dxa"/>
          </w:tcPr>
          <w:p>
            <w:pPr>
              <w:pStyle w:val="Compact"/>
            </w:pPr>
          </w:p>
        </w:tc>
        <w:tc>
          <w:tcPr>
            <w:tcW w:w="1671" w:type="dxa"/>
          </w:tcPr>
          <w:p>
            <w:pPr>
              <w:pStyle w:val="Compact"/>
            </w:pPr>
          </w:p>
        </w:tc>
      </w:tr>
    </w:tbl>
    <w:p>
      <w:pPr>
        <w:pStyle w:val="BodyText"/>
        <w:spacing w:before="280"/>
      </w:pPr>
      <w:r>
        <w:t xml:space="preserve">Sequencing check: per Chapter 1, the correct execution order is Policy → Technology → Economics → Clinical → Equity → Operations. Wherever your worksheet shows a</w:t>
      </w:r>
      <w:r>
        <w:t xml:space="preserve"> </w:t>
      </w:r>
      <w:r>
        <w:t xml:space="preserve">“Y”</w:t>
      </w:r>
      <w:r>
        <w:t xml:space="preserve"> </w:t>
      </w:r>
      <w:r>
        <w:t xml:space="preserve">later in this sequence than the first</w:t>
      </w:r>
      <w:r>
        <w:t xml:space="preserve"> </w:t>
      </w:r>
      <w:r>
        <w:t xml:space="preserve">“N,”</w:t>
      </w:r>
      <w:r>
        <w:t xml:space="preserve"> </w:t>
      </w:r>
      <w:r>
        <w:t xml:space="preserve">that pillar is very likely where your organization’s transformation effort is at risk of repeating OneCare Vermont’s sequencing failure — flag it for priority attention before further investment downstream.</w:t>
      </w:r>
    </w:p>
    <w:p>
      <w:pPr>
        <w:pStyle w:val="Heading2"/>
        <w:pBdr>
          <w:top w:val="single" w:sz="6" w:space="10" w:color="C9D2DF"/>
        </w:pBdr>
      </w:pPr>
      <w:r>
        <w:rPr>
          <w:color w:val="161B22"/>
        </w:rPr>
        <w:t xml:space="preserve">H.3  </w:t>
      </w:r>
      <w:bookmarkStart w:id="1487" w:name="_Toc1486"/>
      <w:r>
        <w:rPr>
          <w:b/>
          <w:bCs/>
          <w:color w:val="161B22"/>
        </w:rPr>
        <w:t xml:space="preserve">H.3 The Transition Window — Financing FY2027–2030</w:t>
      </w:r>
      <w:bookmarkEnd w:id="1487"/>
    </w:p>
    <w:p>
      <w:pPr>
        <w:pStyle w:val="FirstParagraph"/>
      </w:pPr>
      <w:r>
        <w:t xml:space="preserve">Chapters 6 and 7 document where Vermont’s hospital system stands today — nine of fourteen hospitals reporting operating losses,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pPr>
        <w:pStyle w:val="Heading3"/>
        <w:keepNext w:val="false"/>
      </w:pPr>
      <w:r>
        <w:rPr>
          <w:color w:val="161B22"/>
        </w:rPr>
        <w:t xml:space="preserve">H.3.1  </w:t>
      </w:r>
      <w:bookmarkStart w:id="1488" w:name="_Toc1487"/>
      <w:r>
        <w:rPr>
          <w:b/>
          <w:bCs/>
          <w:color w:val="161B22"/>
        </w:rPr>
        <w:t xml:space="preserve">What bridges exist</w:t>
      </w:r>
      <w:bookmarkEnd w:id="1488"/>
    </w:p>
    <w:p>
      <w:pPr>
        <w:pStyle w:val="FirstParagraph"/>
        <w:keepNext w:val="false"/>
      </w:pPr>
      <w:r>
        <w:t xml:space="preserve">Three sources of transition-period support exist in parallel, on different timelines and with different eligibility rules. The Rural Health Transformation Program provides Vermont roughly $195M per year across five years (2026–2030), about $1 billion in total — capital funding intended for structural transformation, not operating-loss replacement, and explicitly time-limited. The AHEAD EAST Fund provides up to $150M per year to Vermont under its AHEAD agreement, contingent on Cohort 2 implementation milestones beginning January 2028 — meaning this funding is not available during FY2027, the first year of mandatory RBP. Medicaid hospital global budgets (HGB) under Vermont’s own design begin in January 2026, ahead of the commercial RBP mandate — meaning the Medicaid payer is, perversely, the first to move to a budget-based model, while commercial payers (where most of the price-extraction problem documented in Chapter 6 lives) are the last.</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THE GAP</w:t>
            </w:r>
          </w:p>
          <w:p>
            <w:pPr>
              <w:spacing w:after="60" w:line="264" w:lineRule="auto"/>
            </w:pPr>
            <w:r>
              <w:rPr>
                <w:sz w:val="20"/>
                <w:szCs w:val="20"/>
              </w:rPr>
              <w:t xml:space="preserve">The result is a sequencing gap within the financing itself: Medicaid global budgets begin January 2026, commercial RBP becomes mandatory in FY2027 (October 2026), and the federal AHEAD funding that is explicitly designed to ease this transition does not begin until January 2028 — a full federal fiscal year after RBP takes effect, and two years after Medicaid global budgets begin. For roughly twenty-four months, Vermont hospitals are operating under at least one new payment regime without the federal transition funding that the overall framework assumes will be available. The Rural Health Transformation Program’s $195M is the only funding source available during this specific window, and it was designed as transformation capital, not as a bridge for operating losses.</w:t>
            </w:r>
          </w:p>
        </w:tc>
      </w:tr>
    </w:tbl>
    <w:p>
      <w:pPr>
        <w:spacing w:after="120"/>
      </w:pPr>
    </w:p>
    <w:p>
      <w:pPr>
        <w:pStyle w:val="Heading3"/>
      </w:pPr>
      <w:r>
        <w:rPr>
          <w:color w:val="161B22"/>
        </w:rPr>
        <w:t xml:space="preserve">H.3.2  </w:t>
      </w:r>
      <w:bookmarkStart w:id="1489" w:name="_Toc1488"/>
      <w:r>
        <w:rPr>
          <w:b/>
          <w:bCs/>
          <w:color w:val="161B22"/>
        </w:rPr>
        <w:t xml:space="preserve">What this means for a hospital CFO</w:t>
      </w:r>
      <w:bookmarkEnd w:id="1489"/>
    </w:p>
    <w:p>
      <w:pPr>
        <w:pStyle w:val="FirstParagraph"/>
      </w:pPr>
      <w:r>
        <w:t xml:space="preserve">The honest answer to</w:t>
      </w:r>
      <w:r>
        <w:t xml:space="preserve"> </w:t>
      </w:r>
      <w:r>
        <w:t xml:space="preserve">“what keeps my hospital solvent in FY2027–2028 specifically”</w:t>
      </w:r>
      <w:r>
        <w:t xml:space="preserve"> </w:t>
      </w:r>
      <w:r>
        <w:t xml:space="preserve">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December 2028 — itself after the highest-risk window closes) will need to address retroactively unless GMCB’s annual reporting process surfaces it sooner.</w:t>
      </w:r>
    </w:p>
    <w:p>
      <w:pPr>
        <w:pStyle w:val="Heading2"/>
        <w:pBdr>
          <w:top w:val="single" w:sz="6" w:space="10" w:color="C9D2DF"/>
        </w:pBdr>
        <w:keepNext w:val="false"/>
      </w:pPr>
      <w:r>
        <w:rPr>
          <w:color w:val="161B22"/>
        </w:rPr>
        <w:t xml:space="preserve">H.4  </w:t>
      </w:r>
      <w:bookmarkStart w:id="1490" w:name="_Toc1489"/>
      <w:r>
        <w:rPr>
          <w:b/>
          <w:bCs/>
          <w:color w:val="161B22"/>
        </w:rPr>
        <w:t xml:space="preserve">H.4 Two Clocks — Reconciling Act 68 and AHEAD Cohort 2 Timelines</w:t>
      </w:r>
      <w:bookmarkEnd w:id="1490"/>
    </w:p>
    <w:p>
      <w:pPr>
        <w:pStyle w:val="FirstParagraph"/>
        <w:keepNext w:val="false"/>
      </w:pPr>
      <w:r>
        <w:t xml:space="preserve">Vermont is running two mandatory transformation regimes on overlapping but distinct calendars: Act 68 (state law, governing commercial and Medicaid payers) and AHEAD Cohort 2 (federal CMMI model, governing Medicare). Each has its own milestones, methodology, and reporting requirements. The table below places both on a single timeline.</w:t>
      </w:r>
    </w:p>
    <w:tbl>
      <w:tblPr>
        <w:tblStyle w:val="HTRTable"/>
        <w:tblLook w:firstRow="1" w:lastRow="0" w:firstColumn="0" w:lastColumn="0" w:noHBand="0" w:noVBand="1" w:val="0020"/>
        <w:tblW w:w="9072" w:type="dxa"/>
        <w:tblLayout w:type="autofit"/>
      </w:tblPr>
      <w:tblGrid>
        <w:gridCol w:w="1125"/>
        <w:gridCol w:w="3973"/>
        <w:gridCol w:w="3973"/>
      </w:tblGrid>
      <w:tr>
        <w:trPr>
          <w:tblHeader w:val="on"/>
          <w:cantSplit/>
        </w:trPr>
        <w:tc>
          <w:tcPr>
            <w:shd w:val="clear" w:color="auto" w:fill="1B3A6B"/>
            <w:tcW w:w="1125" w:type="dxa"/>
          </w:tcPr>
          <w:p>
            <w:pPr>
              <w:pStyle w:val="Compact"/>
              <w:jc w:val="left"/>
            </w:pPr>
            <w:r>
              <w:rPr>
                <w:b/>
                <w:color w:val="FFFFFF"/>
                <w:sz w:val="18"/>
              </w:rPr>
              <w:t xml:space="preserve">Date</w:t>
            </w:r>
          </w:p>
        </w:tc>
        <w:tc>
          <w:tcPr>
            <w:shd w:val="clear" w:color="auto" w:fill="1B3A6B"/>
            <w:tcW w:w="3973" w:type="dxa"/>
          </w:tcPr>
          <w:p>
            <w:pPr>
              <w:pStyle w:val="Compact"/>
              <w:jc w:val="left"/>
            </w:pPr>
            <w:r>
              <w:rPr>
                <w:b/>
                <w:color w:val="FFFFFF"/>
                <w:sz w:val="18"/>
              </w:rPr>
              <w:t xml:space="preserve">Act 68 (State / Commercial &amp; Medicaid)</w:t>
            </w:r>
          </w:p>
        </w:tc>
        <w:tc>
          <w:tcPr>
            <w:shd w:val="clear" w:color="auto" w:fill="1B3A6B"/>
            <w:tcW w:w="3973" w:type="dxa"/>
          </w:tcPr>
          <w:p>
            <w:pPr>
              <w:pStyle w:val="Compact"/>
              <w:jc w:val="left"/>
            </w:pPr>
            <w:r>
              <w:rPr>
                <w:b/>
                <w:color w:val="FFFFFF"/>
                <w:sz w:val="18"/>
              </w:rPr>
              <w:t xml:space="preserve">AHEAD Cohort 2 (Federal / Medicare)</w:t>
            </w:r>
          </w:p>
        </w:tc>
      </w:tr>
      <w:tr>
        <w:trPr>
          <w:cantSplit/>
        </w:trPr>
        <w:tc>
          <w:tcPr>
            <w:tcW w:w="1125" w:type="dxa"/>
          </w:tcPr>
          <w:p>
            <w:pPr>
              <w:pStyle w:val="Compact"/>
              <w:jc w:val="left"/>
            </w:pPr>
            <w:r>
              <w:rPr>
                <w:b/>
                <w:bCs/>
                <w:sz w:val="18"/>
              </w:rPr>
              <w:t xml:space="preserve">January 2026</w:t>
            </w:r>
          </w:p>
        </w:tc>
        <w:tc>
          <w:tcPr>
            <w:tcW w:w="3973" w:type="dxa"/>
          </w:tcPr>
          <w:p>
            <w:pPr>
              <w:pStyle w:val="Compact"/>
              <w:jc w:val="left"/>
            </w:pPr>
            <w:r>
              <w:rPr>
                <w:sz w:val="18"/>
              </w:rPr>
              <w:t xml:space="preserve">—</w:t>
            </w:r>
          </w:p>
        </w:tc>
        <w:tc>
          <w:tcPr>
            <w:tcW w:w="3973" w:type="dxa"/>
          </w:tcPr>
          <w:p>
            <w:pPr>
              <w:pStyle w:val="Compact"/>
              <w:jc w:val="left"/>
            </w:pPr>
            <w:r>
              <w:rPr>
                <w:sz w:val="18"/>
              </w:rPr>
              <w:t xml:space="preserve">Medicaid hospital global budgets (HGB) begin under Vermont’s own design (precedes RBP mandate).</w:t>
            </w:r>
          </w:p>
        </w:tc>
      </w:tr>
      <w:tr>
        <w:trPr/>
        <w:tc>
          <w:tcPr>
            <w:tcW w:w="1125" w:type="dxa"/>
          </w:tcPr>
          <w:p>
            <w:pPr>
              <w:pStyle w:val="Compact"/>
              <w:jc w:val="left"/>
            </w:pPr>
            <w:r>
              <w:rPr>
                <w:b/>
                <w:bCs/>
                <w:sz w:val="18"/>
              </w:rPr>
              <w:t xml:space="preserve">FY2027 (Oct 2026)</w:t>
            </w:r>
          </w:p>
        </w:tc>
        <w:tc>
          <w:tcPr>
            <w:tcW w:w="3973" w:type="dxa"/>
          </w:tcPr>
          <w:p>
            <w:pPr>
              <w:pStyle w:val="Compact"/>
              <w:jc w:val="left"/>
            </w:pPr>
            <w:r>
              <w:rPr>
                <w:sz w:val="18"/>
              </w:rPr>
              <w:t xml:space="preserve">Reference-based pricing becomes mandatory for all commercial payers.</w:t>
            </w:r>
          </w:p>
        </w:tc>
        <w:tc>
          <w:tcPr>
            <w:tcW w:w="3973" w:type="dxa"/>
          </w:tcPr>
          <w:p>
            <w:pPr>
              <w:pStyle w:val="Compact"/>
              <w:jc w:val="left"/>
            </w:pPr>
            <w:r>
              <w:rPr>
                <w:sz w:val="18"/>
              </w:rPr>
              <w:t xml:space="preserve">— (AHEAD EAST Fund not yet active)</w:t>
            </w:r>
          </w:p>
        </w:tc>
      </w:tr>
      <w:tr>
        <w:trPr/>
        <w:tc>
          <w:tcPr>
            <w:tcW w:w="1125" w:type="dxa"/>
          </w:tcPr>
          <w:p>
            <w:pPr>
              <w:pStyle w:val="Compact"/>
              <w:jc w:val="left"/>
            </w:pPr>
            <w:r>
              <w:rPr>
                <w:b/>
                <w:bCs/>
                <w:sz w:val="18"/>
              </w:rPr>
              <w:t xml:space="preserve">FY2028 (Oct 2027)</w:t>
            </w:r>
          </w:p>
        </w:tc>
        <w:tc>
          <w:tcPr>
            <w:tcW w:w="3973" w:type="dxa"/>
          </w:tcPr>
          <w:p>
            <w:pPr>
              <w:pStyle w:val="Compact"/>
              <w:jc w:val="left"/>
            </w:pPr>
            <w:r>
              <w:rPr>
                <w:sz w:val="18"/>
              </w:rPr>
              <w:t xml:space="preserve">Global hospital budgets begin for non-critical-access hospitals.</w:t>
            </w:r>
          </w:p>
        </w:tc>
        <w:tc>
          <w:tcPr>
            <w:tcW w:w="3973" w:type="dxa"/>
          </w:tcPr>
          <w:p>
            <w:pPr>
              <w:pStyle w:val="Compact"/>
              <w:jc w:val="left"/>
            </w:pPr>
            <w:r>
              <w:rPr>
                <w:sz w:val="18"/>
              </w:rPr>
              <w:t xml:space="preserve">Cohort 2 implementation begins (Jan 2028); Medicare FFS hospital global budgets begin; AHEAD EAST Fund (up to $150M/yr) becomes available.</w:t>
            </w:r>
          </w:p>
        </w:tc>
      </w:tr>
      <w:tr>
        <w:trPr/>
        <w:tc>
          <w:tcPr>
            <w:tcW w:w="1125" w:type="dxa"/>
          </w:tcPr>
          <w:p>
            <w:pPr>
              <w:pStyle w:val="Compact"/>
              <w:jc w:val="left"/>
            </w:pPr>
            <w:r>
              <w:rPr>
                <w:b/>
                <w:bCs/>
                <w:sz w:val="18"/>
              </w:rPr>
              <w:t xml:space="preserve">December 2028</w:t>
            </w:r>
          </w:p>
        </w:tc>
        <w:tc>
          <w:tcPr>
            <w:tcW w:w="3973" w:type="dxa"/>
          </w:tcPr>
          <w:p>
            <w:pPr>
              <w:pStyle w:val="Compact"/>
              <w:jc w:val="left"/>
            </w:pPr>
            <w:r>
              <w:rPr>
                <w:sz w:val="18"/>
              </w:rPr>
              <w:t xml:space="preserve">Statewide Health Care Delivery Strategic Plan due to the Legislature.</w:t>
            </w:r>
          </w:p>
        </w:tc>
        <w:tc>
          <w:tcPr>
            <w:tcW w:w="3973" w:type="dxa"/>
          </w:tcPr>
          <w:p>
            <w:pPr>
              <w:pStyle w:val="Compact"/>
              <w:jc w:val="left"/>
            </w:pPr>
            <w:r>
              <w:rPr>
                <w:sz w:val="18"/>
              </w:rPr>
              <w:t xml:space="preserve">—</w:t>
            </w:r>
          </w:p>
        </w:tc>
      </w:tr>
      <w:tr>
        <w:trPr/>
        <w:tc>
          <w:tcPr>
            <w:tcW w:w="1125" w:type="dxa"/>
          </w:tcPr>
          <w:p>
            <w:pPr>
              <w:pStyle w:val="Compact"/>
              <w:jc w:val="left"/>
            </w:pPr>
            <w:r>
              <w:rPr>
                <w:b/>
                <w:bCs/>
                <w:sz w:val="18"/>
              </w:rPr>
              <w:t xml:space="preserve">FY2030 (Oct 2029)</w:t>
            </w:r>
          </w:p>
        </w:tc>
        <w:tc>
          <w:tcPr>
            <w:tcW w:w="3973" w:type="dxa"/>
          </w:tcPr>
          <w:p>
            <w:pPr>
              <w:pStyle w:val="Compact"/>
              <w:jc w:val="left"/>
            </w:pPr>
            <w:r>
              <w:rPr>
                <w:sz w:val="18"/>
              </w:rPr>
              <w:t xml:space="preserve">Global hospital budgets extend to ALL Vermont hospitals, including CAHs.</w:t>
            </w:r>
          </w:p>
        </w:tc>
        <w:tc>
          <w:tcPr>
            <w:tcW w:w="3973" w:type="dxa"/>
          </w:tcPr>
          <w:p>
            <w:pPr>
              <w:pStyle w:val="Compact"/>
              <w:jc w:val="left"/>
            </w:pPr>
            <w:r>
              <w:rPr>
                <w:sz w:val="18"/>
              </w:rPr>
              <w:t xml:space="preserve">AHEAD Cohort 2 mid-implementation.</w:t>
            </w:r>
          </w:p>
        </w:tc>
      </w:tr>
      <w:tr>
        <w:trPr>
          <w:cantSplit/>
        </w:trPr>
        <w:tc>
          <w:tcPr>
            <w:tcW w:w="1125" w:type="dxa"/>
          </w:tcPr>
          <w:p>
            <w:pPr>
              <w:pStyle w:val="Compact"/>
              <w:jc w:val="left"/>
            </w:pPr>
            <w:r>
              <w:rPr>
                <w:b/>
                <w:bCs/>
                <w:sz w:val="18"/>
              </w:rPr>
              <w:t xml:space="preserve">2035</w:t>
            </w:r>
          </w:p>
        </w:tc>
        <w:tc>
          <w:tcPr>
            <w:tcW w:w="3973" w:type="dxa"/>
          </w:tcPr>
          <w:p>
            <w:pPr>
              <w:pStyle w:val="Compact"/>
              <w:jc w:val="left"/>
            </w:pPr>
            <w:r>
              <w:rPr>
                <w:sz w:val="18"/>
              </w:rPr>
              <w:t xml:space="preserve">—</w:t>
            </w:r>
          </w:p>
        </w:tc>
        <w:tc>
          <w:tcPr>
            <w:tcW w:w="3973" w:type="dxa"/>
          </w:tcPr>
          <w:p>
            <w:pPr>
              <w:pStyle w:val="Compact"/>
              <w:jc w:val="left"/>
            </w:pPr>
            <w:r>
              <w:rPr>
                <w:sz w:val="18"/>
              </w:rPr>
              <w:t xml:space="preserve">AHEAD model end date for all cohorts (extended from 2034 in the January 2026 changes).</w:t>
            </w:r>
          </w:p>
        </w:tc>
      </w:tr>
    </w:tbl>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THE OVERLAP WINDOW</w:t>
            </w:r>
          </w:p>
          <w:p>
            <w:pPr>
              <w:spacing w:after="60" w:line="264" w:lineRule="auto"/>
            </w:pPr>
            <w:r>
              <w:rPr>
                <w:sz w:val="20"/>
                <w:szCs w:val="20"/>
              </w:rPr>
              <w:t xml:space="preserve">FY2027–FY2028 (October 2026 through September 2028) is the period where the highest number of distinct mandatory milestones land simultaneously: commercial RBP becomes mandatory, non-CAH global budgets begin under Act 68, and AHEAD Cohort 2 implementation begins with its own Medicare global-budget methodology and reporting requirements — all while Medicaid HGB (begun in 2026) is still in its early years and the FY2023–2026 operating losses documented in Chapter 6 remain unresolved. By the six-pillar framework’s own logic, a period with this many simultaneous mandatory transitions is also a period of elevated operations-pillar risk: the administrative burden of tracking and complying with two global-budget methodologies (state-designed Medicaid/commercial vs. CMS FFS Medicare) at once is itself a transformation task that competes for the same finance and analytics staff time as everything else in this window.</w:t>
            </w:r>
          </w:p>
        </w:tc>
      </w:tr>
    </w:tbl>
    <w:p>
      <w:pPr>
        <w:spacing w:after="120"/>
      </w:pPr>
    </w:p>
    <w:p>
      <w:pPr>
        <w:pStyle w:val="Heading2"/>
        <w:pBdr>
          <w:top w:val="single" w:sz="6" w:space="10" w:color="C9D2DF"/>
        </w:pBdr>
      </w:pPr>
      <w:r>
        <w:rPr>
          <w:color w:val="161B22"/>
        </w:rPr>
        <w:t xml:space="preserve">H.5  </w:t>
      </w:r>
      <w:bookmarkStart w:id="1491" w:name="_Toc1490"/>
      <w:r>
        <w:rPr>
          <w:b/>
          <w:bCs/>
          <w:color w:val="161B22"/>
        </w:rPr>
        <w:t xml:space="preserve">H.5 Enforcement Mechanics — What</w:t>
      </w:r>
      <w:r>
        <w:rPr>
          <w:b/>
          <w:bCs/>
          <w:color w:val="161B22"/>
        </w:rPr>
        <w:t xml:space="preserve"> </w:t>
      </w:r>
      <w:r>
        <w:rPr>
          <w:b/>
          <w:bCs/>
          <w:color w:val="161B22"/>
        </w:rPr>
        <w:t xml:space="preserve">“Mandatory”</w:t>
      </w:r>
      <w:r>
        <w:rPr>
          <w:b/>
          <w:bCs/>
          <w:color w:val="161B22"/>
        </w:rPr>
        <w:t xml:space="preserve"> </w:t>
      </w:r>
      <w:r>
        <w:rPr>
          <w:b/>
          <w:bCs/>
          <w:color w:val="161B22"/>
        </w:rPr>
        <w:t xml:space="preserve">Means in Practice</w:t>
      </w:r>
      <w:bookmarkEnd w:id="1491"/>
    </w:p>
    <w:p>
      <w:pPr>
        <w:pStyle w:val="FirstParagraph"/>
      </w:pPr>
      <w:r>
        <w:t xml:space="preserve">This book repeatedly contrasts Vermont’s mandatory approach with OneCare’s voluntary one.</w:t>
      </w:r>
      <w:r>
        <w:t xml:space="preserve"> </w:t>
      </w:r>
      <w:r>
        <w:t xml:space="preserve">“Mandatory”</w:t>
      </w:r>
      <w:r>
        <w:t xml:space="preserve"> </w:t>
      </w:r>
      <w:r>
        <w:t xml:space="preserve">is only as meaningful as the enforcement behind it. This section summarizes what GMCB can actually do, and the live test case for it.</w:t>
      </w:r>
    </w:p>
    <w:p>
      <w:pPr>
        <w:pStyle w:val="Heading3"/>
      </w:pPr>
      <w:r>
        <w:rPr>
          <w:color w:val="161B22"/>
        </w:rPr>
        <w:t xml:space="preserve">H.5.1  </w:t>
      </w:r>
      <w:bookmarkStart w:id="1492" w:name="_Toc1491"/>
      <w:r>
        <w:rPr>
          <w:b/>
          <w:bCs/>
          <w:color w:val="161B22"/>
        </w:rPr>
        <w:t xml:space="preserve">GMCB’s enforcement toolkit</w:t>
      </w:r>
      <w:bookmarkEnd w:id="1492"/>
    </w:p>
    <w:p>
      <w:pPr>
        <w:pStyle w:val="FirstParagraph"/>
      </w:pPr>
      <w: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pPr>
        <w:pStyle w:val="Heading3"/>
        <w:keepNext w:val="false"/>
      </w:pPr>
      <w:r>
        <w:rPr>
          <w:color w:val="161B22"/>
        </w:rPr>
        <w:t xml:space="preserve">H.5.2  </w:t>
      </w:r>
      <w:bookmarkStart w:id="1493" w:name="_Toc1492"/>
      <w:r>
        <w:rPr>
          <w:b/>
          <w:bCs/>
          <w:color w:val="161B22"/>
        </w:rPr>
        <w:t xml:space="preserve">The test case: GMCB v. UVMMC</w:t>
      </w:r>
      <w:bookmarkEnd w:id="1493"/>
    </w:p>
    <w:p>
      <w:pPr>
        <w:pStyle w:val="FirstParagraph"/>
        <w:keepNext w:val="false"/>
      </w:pPr>
      <w:r>
        <w:t xml:space="preserve">The clearest evidence of what</w:t>
      </w:r>
      <w:r>
        <w:t xml:space="preserve"> </w:t>
      </w:r>
      <w:r>
        <w:t xml:space="preserve">“mandatory”</w:t>
      </w:r>
      <w:r>
        <w:t xml:space="preserve"> </w:t>
      </w:r>
      <w:r>
        <w:t xml:space="preserve">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challenged that enforcement in court. The challenge was decided against UVMMC. Three things follow from this. First, the corrective-action and budget-order mechanisms GMCB used are now judicially tested, not merely statutory — a materially stronger form of</w:t>
      </w:r>
      <w:r>
        <w:t xml:space="preserve"> </w:t>
      </w:r>
      <w:r>
        <w:t xml:space="preserve">“mandatory”</w:t>
      </w:r>
      <w:r>
        <w:t xml:space="preserve"> </w:t>
      </w:r>
      <w:r>
        <w:t xml:space="preserve">than untested authority. Second, the outcome did not turn on some narrow technicality that leaves the broader question open; GMCB’s core enforcement authority was upheld. Third, and most importantly for any hospital considering noncompliance heading into the FY2027–2028 transition window described in Section H.3: the precedent now exists, it was set against the largest and most capable potential challenger, and it went against the hospital.</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WHAT THIS MEANS</w:t>
            </w:r>
          </w:p>
          <w:p>
            <w:pPr>
              <w:spacing w:after="60" w:line="264" w:lineRule="auto"/>
            </w:pPr>
            <w:r>
              <w:rPr>
                <w:sz w:val="20"/>
                <w:szCs w:val="20"/>
              </w:rPr>
              <w:t xml:space="preserve">For a hospital evaluating its options heading into mandatory RBP and global budgets, the GMCB v. UVMMC outcome forecloses the</w:t>
            </w:r>
            <w:r>
              <w:rPr>
                <w:sz w:val="20"/>
                <w:szCs w:val="20"/>
              </w:rPr>
              <w:t xml:space="preserve"> </w:t>
            </w:r>
            <w:r>
              <w:rPr>
                <w:sz w:val="20"/>
                <w:szCs w:val="20"/>
              </w:rPr>
              <w:t xml:space="preserve">“we’ll fight it in court and win”</w:t>
            </w:r>
            <w:r>
              <w:rPr>
                <w:sz w:val="20"/>
                <w:szCs w:val="20"/>
              </w:rPr>
              <w:t xml:space="preserve"> </w:t>
            </w:r>
            <w:r>
              <w:rPr>
                <w:sz w:val="20"/>
                <w:szCs w:val="20"/>
              </w:rPr>
              <w:t xml:space="preserve">branch that a purely statutory reading of Act 68 might have left open. The remaining open questions are narrower: how GMCB applies this authority to smaller hospitals with genuinely different cost structures than UVMMC’s, and how enforcement interacts with the financing gap identified in Section H.3 — not whether enforcement itself is real.</w:t>
            </w:r>
          </w:p>
        </w:tc>
      </w:tr>
    </w:tbl>
    <w:p>
      <w:pPr>
        <w:spacing w:after="120"/>
      </w:pPr>
    </w:p>
    <w:p>
      <w:r>
        <w:br w:type="page"/>
      </w:r>
    </w:p>
    <w:p>
      <w:pPr>
        <w:pStyle w:val="Heading1"/>
      </w:pPr>
      <w:bookmarkStart w:id="1494" w:name="_Toc1493"/>
      <w:r>
        <w:rPr>
          <w:b/>
          <w:bCs/>
          <w:color w:val="161B22"/>
        </w:rPr>
        <w:t xml:space="preserve">Appendix I — The HTR Lab Workbook: A Six-Pillar Practicum</w:t>
      </w:r>
      <w:bookmarkEnd w:id="1494"/>
    </w:p>
    <w:p>
      <w:pPr>
        <w:pStyle w:val="FirstParagraph"/>
      </w:pPr>
      <w:r>
        <w:rPr>
          <w:i/>
          <w:iCs/>
        </w:rPr>
        <w:t xml:space="preserve">The book’s central claim is that the six pillars must be built in sequence. This appendix turns that claim into a hands-on exercise. Working a single hospital through the platform’s tools in the book’s execution order — Policy → Technology → Economics → Clinical → Equity → Operations — you will reproduce the logic of the whole book in roughly two to three hours of modeling. Use a real organization if you have the data, or</w:t>
      </w:r>
      <w:r>
        <w:rPr>
          <w:i/>
          <w:iCs/>
        </w:rPr>
        <w:t xml:space="preserve"> </w:t>
      </w:r>
      <w:r>
        <w:rPr>
          <w:i/>
          <w:iCs/>
        </w:rPr>
        <w:t xml:space="preserve">“Green Mountain Community Hospital,”</w:t>
      </w:r>
      <w:r>
        <w:rPr>
          <w:i/>
          <w:iCs/>
        </w:rPr>
        <w:t xml:space="preserve"> </w:t>
      </w:r>
      <w:r>
        <w:rPr>
          <w:i/>
          <w:iCs/>
        </w:rPr>
        <w:t xml:space="preserve">a fictional 25-bed critical-access hospital, as the worked example throughout.</w:t>
      </w:r>
    </w:p>
    <w:p>
      <w:pPr>
        <w:pStyle w:val="Heading2"/>
        <w:pBdr>
          <w:top w:val="single" w:sz="6" w:space="10" w:color="C9D2DF"/>
        </w:pBdr>
      </w:pPr>
      <w:r>
        <w:rPr>
          <w:color w:val="161B22"/>
        </w:rPr>
        <w:t xml:space="preserve">I.1  </w:t>
      </w:r>
      <w:bookmarkStart w:id="1495" w:name="_Toc1494"/>
      <w:r>
        <w:rPr>
          <w:b/>
          <w:bCs/>
          <w:color w:val="161B22"/>
        </w:rPr>
        <w:t xml:space="preserve">How to Use This Workbook</w:t>
      </w:r>
      <w:bookmarkEnd w:id="1495"/>
    </w:p>
    <w:p>
      <w:pPr>
        <w:pStyle w:val="FirstParagraph"/>
      </w:pPr>
      <w: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pPr>
        <w:pStyle w:val="Heading2"/>
        <w:pBdr>
          <w:top w:val="single" w:sz="6" w:space="10" w:color="C9D2DF"/>
        </w:pBdr>
      </w:pPr>
      <w:r>
        <w:rPr>
          <w:color w:val="161B22"/>
        </w:rPr>
        <w:t xml:space="preserve">I.2  </w:t>
      </w:r>
      <w:bookmarkStart w:id="1496" w:name="_Toc1495"/>
      <w:r>
        <w:rPr>
          <w:b/>
          <w:bCs/>
          <w:color w:val="161B22"/>
        </w:rPr>
        <w:t xml:space="preserve">Stage 1 — Policy: Establish the Mandate</w:t>
      </w:r>
      <w:bookmarkEnd w:id="1496"/>
    </w:p>
    <w:p>
      <w:pPr>
        <w:pStyle w:val="FirstParagraph"/>
      </w:pPr>
      <w:r>
        <w:t xml:space="preserve">Open the</w:t>
      </w:r>
      <w:r>
        <w:t xml:space="preserve"> </w:t>
      </w:r>
      <w:r>
        <w:rPr>
          <w:b/>
          <w:bCs/>
        </w:rPr>
        <w:t xml:space="preserve">Policy Simulator</w:t>
      </w:r>
      <w:r>
        <w:t xml:space="preserve"> </w:t>
      </w:r>
      <w:r>
        <w:t xml:space="preserve">(</w:t>
      </w:r>
      <w:r>
        <w:rPr>
          <w:rStyle w:val="VerbatimChar"/>
        </w:rPr>
        <w:t xml:space="preserve">/research-lab/policy-quality?tab=policy</w:t>
      </w:r>
      <w:r>
        <w:t xml:space="preserve">). Model the reform authority your hospital operates under: is participation in the payment model mandatory or voluntary? Set a global-budget design and note whether high-cost providers can opt out.</w:t>
      </w:r>
    </w:p>
    <w:p>
      <w:pPr>
        <w:pStyle w:val="BlockText"/>
      </w:pPr>
      <w:r>
        <w:t xml:space="preserve">The Stage 1 question:</w:t>
      </w:r>
      <w:r>
        <w:t xml:space="preserve"> </w:t>
      </w:r>
      <w:r>
        <w:rPr>
          <w:i/>
          <w:iCs/>
        </w:rPr>
        <w:t xml:space="preserve">Does a binding mandate exist that prevents the highest-revenue actors from staying outside the model?</w:t>
      </w:r>
      <w:r>
        <w:t xml:space="preserve"> </w:t>
      </w:r>
      <w:r>
        <w:t xml:space="preserve">If not, every downstream stage inherits OneCare’s structural flaw. Record your answer before proceeding.</w:t>
      </w:r>
    </w:p>
    <w:p>
      <w:pPr>
        <w:pStyle w:val="Heading2"/>
        <w:pBdr>
          <w:top w:val="single" w:sz="6" w:space="10" w:color="C9D2DF"/>
        </w:pBdr>
      </w:pPr>
      <w:r>
        <w:rPr>
          <w:color w:val="161B22"/>
        </w:rPr>
        <w:t xml:space="preserve">I.3  </w:t>
      </w:r>
      <w:bookmarkStart w:id="1497" w:name="_Toc1496"/>
      <w:r>
        <w:rPr>
          <w:b/>
          <w:bCs/>
          <w:color w:val="161B22"/>
        </w:rPr>
        <w:t xml:space="preserve">Stage 2 — Technology: Build the Substrate</w:t>
      </w:r>
      <w:bookmarkEnd w:id="1497"/>
    </w:p>
    <w:p>
      <w:pPr>
        <w:pStyle w:val="FirstParagraph"/>
      </w:pPr>
      <w:r>
        <w:t xml:space="preserve">Open the</w:t>
      </w:r>
      <w:r>
        <w:t xml:space="preserve"> </w:t>
      </w:r>
      <w:r>
        <w:rPr>
          <w:b/>
          <w:bCs/>
        </w:rPr>
        <w:t xml:space="preserve">Risk Stratification Engine</w:t>
      </w:r>
      <w:r>
        <w:t xml:space="preserve"> </w:t>
      </w:r>
      <w:r>
        <w:t xml:space="preserve">(</w:t>
      </w:r>
      <w:r>
        <w:rPr>
          <w:rStyle w:val="VerbatimChar"/>
        </w:rPr>
        <w:t xml:space="preserve">/research-lab/interoperability?tab=risk</w:t>
      </w:r>
      <w:r>
        <w:t xml:space="preserve">) and the</w:t>
      </w:r>
      <w:r>
        <w:t xml:space="preserve"> </w:t>
      </w:r>
      <w:r>
        <w:rPr>
          <w:b/>
          <w:bCs/>
        </w:rPr>
        <w:t xml:space="preserve">FHIR Interoperability Lab</w:t>
      </w:r>
      <w:r>
        <w:t xml:space="preserve"> </w:t>
      </w:r>
      <w:r>
        <w:t xml:space="preserve">(</w:t>
      </w:r>
      <w:r>
        <w:rPr>
          <w:rStyle w:val="VerbatimChar"/>
        </w:rPr>
        <w:t xml:space="preserve">/research-lab/interoperability?tab=fhir</w:t>
      </w:r>
      <w:r>
        <w:t xml:space="preserve">). Stratify your attributed population by CMS-HCC risk; confirm you can produce an attribution list and a total-cost-of-care view.</w:t>
      </w:r>
    </w:p>
    <w:p>
      <w:pPr>
        <w:pStyle w:val="BlockText"/>
      </w:pPr>
      <w:r>
        <w:t xml:space="preserve">The Stage 2 question:</w:t>
      </w:r>
      <w:r>
        <w:t xml:space="preserve"> </w:t>
      </w:r>
      <w:r>
        <w:rPr>
          <w:i/>
          <w:iCs/>
        </w:rPr>
        <w:t xml:space="preserve">Can you see your population in time to act?</w:t>
      </w:r>
      <w:r>
        <w:t xml:space="preserve"> </w:t>
      </w:r>
      <w:r>
        <w:t xml:space="preserve">A hospital that cannot attribute and risk-stratify its panel is</w:t>
      </w:r>
      <w:r>
        <w:t xml:space="preserve"> </w:t>
      </w:r>
      <w:r>
        <w:t xml:space="preserve">“managing blind”</w:t>
      </w:r>
      <w:r>
        <w:t xml:space="preserve"> </w:t>
      </w:r>
      <w:r>
        <w:t xml:space="preserve">— do not proceed to a budget model until this stage produces usable output.</w:t>
      </w:r>
    </w:p>
    <w:p>
      <w:pPr>
        <w:pStyle w:val="Heading2"/>
        <w:pBdr>
          <w:top w:val="single" w:sz="6" w:space="10" w:color="C9D2DF"/>
        </w:pBdr>
      </w:pPr>
      <w:r>
        <w:rPr>
          <w:color w:val="161B22"/>
        </w:rPr>
        <w:t xml:space="preserve">I.4  </w:t>
      </w:r>
      <w:bookmarkStart w:id="1498" w:name="_Toc1497"/>
      <w:r>
        <w:rPr>
          <w:b/>
          <w:bCs/>
          <w:color w:val="161B22"/>
        </w:rPr>
        <w:t xml:space="preserve">Stage 3 — Economics: Put Incentives on a Visible System</w:t>
      </w:r>
      <w:bookmarkEnd w:id="1498"/>
    </w:p>
    <w:p>
      <w:pPr>
        <w:pStyle w:val="FirstParagraph"/>
      </w:pPr>
      <w:r>
        <w:t xml:space="preserve">Open the</w:t>
      </w:r>
      <w:r>
        <w:t xml:space="preserve"> </w:t>
      </w:r>
      <w:r>
        <w:rPr>
          <w:b/>
          <w:bCs/>
        </w:rPr>
        <w:t xml:space="preserve">Global Budget Transition Modeler</w:t>
      </w:r>
      <w:r>
        <w:t xml:space="preserve"> </w:t>
      </w:r>
      <w:r>
        <w:t xml:space="preserve">(</w:t>
      </w:r>
      <w:r>
        <w:rPr>
          <w:rStyle w:val="VerbatimChar"/>
        </w:rPr>
        <w:t xml:space="preserve">/research-lab/payment-models?tab=gb-transition</w:t>
      </w:r>
      <w:r>
        <w:t xml:space="preserve">) and the</w:t>
      </w:r>
      <w:r>
        <w:t xml:space="preserve"> </w:t>
      </w:r>
      <w:r>
        <w:rPr>
          <w:b/>
          <w:bCs/>
        </w:rPr>
        <w:t xml:space="preserve">Hospital Financial Stress Test</w:t>
      </w:r>
      <w:r>
        <w:t xml:space="preserve"> </w:t>
      </w:r>
      <w:r>
        <w:t xml:space="preserve">(</w:t>
      </w:r>
      <w:r>
        <w:rPr>
          <w:rStyle w:val="VerbatimChar"/>
        </w:rPr>
        <w:t xml:space="preserve">/research-lab/policy-quality?tab=scorecard</w:t>
      </w:r>
      <w:r>
        <w:t xml:space="preserve">). Using the Stage 2 population, model a 5-year global-budget transition and stress-test it against RBP and Medicaid-cut scenarios.</w:t>
      </w:r>
    </w:p>
    <w:p>
      <w:pPr>
        <w:pStyle w:val="BlockText"/>
      </w:pPr>
      <w:r>
        <w:t xml:space="preserve">The Stage 3 question:</w:t>
      </w:r>
      <w:r>
        <w:t xml:space="preserve"> </w:t>
      </w:r>
      <w:r>
        <w:rPr>
          <w:i/>
          <w:iCs/>
        </w:rPr>
        <w:t xml:space="preserve">Under a fixed revenue envelope, is the hospital solvent — and which assumptions break it?</w:t>
      </w:r>
      <w:r>
        <w:t xml:space="preserve"> </w:t>
      </w:r>
      <w:r>
        <w:t xml:space="preserve">This is where Vermont’s</w:t>
      </w:r>
      <w:r>
        <w:t xml:space="preserve"> </w:t>
      </w:r>
      <w:r>
        <w:t xml:space="preserve">“13 of 14 in operating loss by 2028”</w:t>
      </w:r>
      <w:r>
        <w:t xml:space="preserve"> </w:t>
      </w:r>
      <w:r>
        <w:t xml:space="preserve">finding becomes your own number.</w:t>
      </w:r>
    </w:p>
    <w:p>
      <w:pPr>
        <w:pStyle w:val="Heading2"/>
        <w:pBdr>
          <w:top w:val="single" w:sz="6" w:space="10" w:color="C9D2DF"/>
        </w:pBdr>
      </w:pPr>
      <w:r>
        <w:rPr>
          <w:color w:val="161B22"/>
        </w:rPr>
        <w:t xml:space="preserve">I.5  </w:t>
      </w:r>
      <w:bookmarkStart w:id="1499" w:name="_Toc1498"/>
      <w:r>
        <w:rPr>
          <w:b/>
          <w:bCs/>
          <w:color w:val="161B22"/>
        </w:rPr>
        <w:t xml:space="preserve">Stage 4 — Clinical: Redesign Care on Aligned Incentives</w:t>
      </w:r>
      <w:bookmarkEnd w:id="1499"/>
    </w:p>
    <w:p>
      <w:pPr>
        <w:pStyle w:val="FirstParagraph"/>
      </w:pPr>
      <w:r>
        <w:t xml:space="preserve">Open the</w:t>
      </w:r>
      <w:r>
        <w:t xml:space="preserve"> </w:t>
      </w:r>
      <w:r>
        <w:rPr>
          <w:b/>
          <w:bCs/>
        </w:rPr>
        <w:t xml:space="preserve">Risk Stratification Methodology</w:t>
      </w:r>
      <w:r>
        <w:t xml:space="preserve"> </w:t>
      </w:r>
      <w:r>
        <w:t xml:space="preserve">(</w:t>
      </w:r>
      <w:r>
        <w:rPr>
          <w:rStyle w:val="VerbatimChar"/>
        </w:rPr>
        <w:t xml:space="preserve">/research-lab/vbc-clinical-quality?tab=risk</w:t>
      </w:r>
      <w:r>
        <w:t xml:space="preserve">) and</w:t>
      </w:r>
      <w:r>
        <w:t xml:space="preserve"> </w:t>
      </w:r>
      <w:r>
        <w:rPr>
          <w:b/>
          <w:bCs/>
        </w:rPr>
        <w:t xml:space="preserve">VBC Quality Measures</w:t>
      </w:r>
      <w:r>
        <w:t xml:space="preserve"> </w:t>
      </w:r>
      <w:r>
        <w:t xml:space="preserve">(</w:t>
      </w:r>
      <w:r>
        <w:rPr>
          <w:rStyle w:val="VerbatimChar"/>
        </w:rPr>
        <w:t xml:space="preserve">/research-lab/vbc-clinical-quality?tab=quality</w:t>
      </w:r>
      <w:r>
        <w:t xml:space="preserve">). Design a panel-staffing model matched to the risk tiers from Stage 2, and project HEDIS performance.</w:t>
      </w:r>
    </w:p>
    <w:p>
      <w:pPr>
        <w:pStyle w:val="BlockText"/>
      </w:pPr>
      <w:r>
        <w:t xml:space="preserve">The Stage 4 question:</w:t>
      </w:r>
      <w:r>
        <w:t xml:space="preserve"> </w:t>
      </w:r>
      <w:r>
        <w:rPr>
          <w:i/>
          <w:iCs/>
        </w:rPr>
        <w:t xml:space="preserve">Does the redesigned care model pay for itself under the Stage 3 budget?</w:t>
      </w:r>
      <w:r>
        <w:t xml:space="preserve"> </w:t>
      </w:r>
      <w:r>
        <w:t xml:space="preserve">If the clinical model only works under fee-for-service, the sequence has been violated.</w:t>
      </w:r>
    </w:p>
    <w:p>
      <w:pPr>
        <w:pStyle w:val="Heading2"/>
        <w:pBdr>
          <w:top w:val="single" w:sz="6" w:space="10" w:color="C9D2DF"/>
        </w:pBdr>
      </w:pPr>
      <w:r>
        <w:rPr>
          <w:color w:val="161B22"/>
        </w:rPr>
        <w:t xml:space="preserve">I.6  </w:t>
      </w:r>
      <w:bookmarkStart w:id="1500" w:name="_Toc1499"/>
      <w:r>
        <w:rPr>
          <w:b/>
          <w:bCs/>
          <w:color w:val="161B22"/>
        </w:rPr>
        <w:t xml:space="preserve">Stage 5 — Equity: Calibrate for the Gap, Not the Average</w:t>
      </w:r>
      <w:bookmarkEnd w:id="1500"/>
    </w:p>
    <w:p>
      <w:pPr>
        <w:pStyle w:val="FirstParagraph"/>
      </w:pPr>
      <w:r>
        <w:t xml:space="preserve">Open the</w:t>
      </w:r>
      <w:r>
        <w:t xml:space="preserve"> </w:t>
      </w:r>
      <w:r>
        <w:rPr>
          <w:b/>
          <w:bCs/>
        </w:rPr>
        <w:t xml:space="preserve">Health Equity Studio</w:t>
      </w:r>
      <w:r>
        <w:t xml:space="preserve"> </w:t>
      </w:r>
      <w:r>
        <w:t xml:space="preserve">(</w:t>
      </w:r>
      <w:r>
        <w:rPr>
          <w:rStyle w:val="VerbatimChar"/>
        </w:rPr>
        <w:t xml:space="preserve">/research-lab/population-equity?tab=equity</w:t>
      </w:r>
      <w:r>
        <w:t xml:space="preserve">). Compute the HEROI composite for your population and test whether the Stage 3 budget and Stage 4 care model close access and outcome gaps or merely raise the average.</w:t>
      </w:r>
    </w:p>
    <w:p>
      <w:pPr>
        <w:pStyle w:val="BlockText"/>
      </w:pPr>
      <w:r>
        <w:t xml:space="preserve">The Stage 5 question:</w:t>
      </w:r>
      <w:r>
        <w:t xml:space="preserve"> </w:t>
      </w:r>
      <w:r>
        <w:rPr>
          <w:i/>
          <w:iCs/>
        </w:rPr>
        <w:t xml:space="preserve">Does the design penalize safety-net providers or widen disparities?</w:t>
      </w:r>
      <w:r>
        <w:t xml:space="preserve"> </w:t>
      </w:r>
      <w:r>
        <w:t xml:space="preserve">Social risk adjustment belongs in the Stage 3 budget design — return there if the equity numbers fail.</w:t>
      </w:r>
    </w:p>
    <w:p>
      <w:pPr>
        <w:pStyle w:val="Heading2"/>
        <w:pBdr>
          <w:top w:val="single" w:sz="6" w:space="10" w:color="C9D2DF"/>
        </w:pBdr>
      </w:pPr>
      <w:r>
        <w:rPr>
          <w:color w:val="161B22"/>
        </w:rPr>
        <w:t xml:space="preserve">I.7  </w:t>
      </w:r>
      <w:bookmarkStart w:id="1501" w:name="_Toc1500"/>
      <w:r>
        <w:rPr>
          <w:b/>
          <w:bCs/>
          <w:color w:val="161B22"/>
        </w:rPr>
        <w:t xml:space="preserve">Stage 6 — Operations: Close the Execution Gap</w:t>
      </w:r>
      <w:bookmarkEnd w:id="1501"/>
    </w:p>
    <w:p>
      <w:pPr>
        <w:pStyle w:val="FirstParagraph"/>
        <w:keepNext w:val="false"/>
      </w:pPr>
      <w:r>
        <w:t xml:space="preserve">Open the</w:t>
      </w:r>
      <w:r>
        <w:t xml:space="preserve"> </w:t>
      </w:r>
      <w:r>
        <w:rPr>
          <w:b/>
          <w:bCs/>
        </w:rPr>
        <w:t xml:space="preserve">Transformation Scorecard</w:t>
      </w:r>
      <w:r>
        <w:t xml:space="preserve"> </w:t>
      </w:r>
      <w:r>
        <w:t xml:space="preserve">(</w:t>
      </w:r>
      <w:r>
        <w:rPr>
          <w:rStyle w:val="VerbatimChar"/>
        </w:rPr>
        <w:t xml:space="preserve">/research-lab/knowledge-workspace?tab=scorecard</w:t>
      </w:r>
      <w:r>
        <w:t xml:space="preserve">) and the</w:t>
      </w:r>
      <w:r>
        <w:t xml:space="preserve"> </w:t>
      </w:r>
      <w:r>
        <w:rPr>
          <w:b/>
          <w:bCs/>
        </w:rPr>
        <w:t xml:space="preserve">Workforce Modeler</w:t>
      </w:r>
      <w:r>
        <w:t xml:space="preserve"> </w:t>
      </w:r>
      <w:r>
        <w:t xml:space="preserve">(</w:t>
      </w:r>
      <w:r>
        <w:rPr>
          <w:rStyle w:val="VerbatimChar"/>
        </w:rPr>
        <w:t xml:space="preserve">/research-lab/knowledge-workspace?tab=workforce</w:t>
      </w:r>
      <w:r>
        <w:t xml:space="preserve">). Score your six-pillar readiness and project the workforce required to operate the redesigned model.</w:t>
      </w:r>
    </w:p>
    <w:p>
      <w:pPr>
        <w:pStyle w:val="BlockText"/>
        <w:keepNext w:val="false"/>
      </w:pPr>
      <w:r>
        <w:t xml:space="preserve">The Stage 6 question:</w:t>
      </w:r>
      <w:r>
        <w:t xml:space="preserve"> </w:t>
      </w:r>
      <w:r>
        <w:rPr>
          <w:i/>
          <w:iCs/>
        </w:rPr>
        <w:t xml:space="preserve">Is operational capacity keeping pace with the statutory timeline?</w:t>
      </w:r>
      <w:r>
        <w:t xml:space="preserve"> </w:t>
      </w:r>
      <w:r>
        <w:t xml:space="preserve">The administrative-cost gap (Vermont’s $1,303 per discharge) is the funding source for closing the workforce gap.</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CAPSTONE — Run the whole sequence backwards.</w:t>
            </w:r>
          </w:p>
          <w:p>
            <w:pPr>
              <w:spacing w:after="60" w:line="264" w:lineRule="auto"/>
            </w:pPr>
            <w:r>
              <w:rPr>
                <w:sz w:val="20"/>
                <w:szCs w:val="20"/>
              </w:rPr>
              <w:t xml:space="preserve">Now deliberately break the order: take a strong Stage 3 budget model and a strong Stage 4 clinical model, but set Stage 1 to</w:t>
            </w:r>
            <w:r>
              <w:rPr>
                <w:sz w:val="20"/>
                <w:szCs w:val="20"/>
              </w:rPr>
              <w:t xml:space="preserve"> </w:t>
            </w:r>
            <w:r>
              <w:rPr>
                <w:i/>
                <w:iCs/>
                <w:sz w:val="20"/>
                <w:szCs w:val="20"/>
              </w:rPr>
              <w:t xml:space="preserve">voluntary</w:t>
            </w:r>
            <w:r>
              <w:rPr>
                <w:sz w:val="20"/>
                <w:szCs w:val="20"/>
              </w:rPr>
              <w:t xml:space="preserve"> </w:t>
            </w:r>
            <w:r>
              <w:rPr>
                <w:sz w:val="20"/>
                <w:szCs w:val="20"/>
              </w:rPr>
              <w:t xml:space="preserve">and leave Stage 2 unbuilt. Re-run the</w:t>
            </w:r>
            <w:r>
              <w:rPr>
                <w:sz w:val="20"/>
                <w:szCs w:val="20"/>
              </w:rPr>
              <w:t xml:space="preserve"> </w:t>
            </w:r>
            <w:r>
              <w:rPr>
                <w:b/>
                <w:bCs/>
                <w:sz w:val="20"/>
                <w:szCs w:val="20"/>
              </w:rPr>
              <w:t xml:space="preserve">Transformation Scorecard</w:t>
            </w:r>
            <w:r>
              <w:rPr>
                <w:sz w:val="20"/>
                <w:szCs w:val="20"/>
              </w:rPr>
              <w:t xml:space="preserve">. The composite collapses — not because the economics or clinical work is weak, but because the platform enforces the same dependency logic that sank OneCare. That collapse is the entire argument of</w:t>
            </w:r>
            <w:r>
              <w:rPr>
                <w:sz w:val="20"/>
                <w:szCs w:val="20"/>
              </w:rPr>
              <w:t xml:space="preserve"> </w:t>
            </w:r>
            <w:r>
              <w:rPr>
                <w:i/>
                <w:iCs/>
                <w:sz w:val="20"/>
                <w:szCs w:val="20"/>
              </w:rPr>
              <w:t xml:space="preserve">Transforming American Healthcare</w:t>
            </w:r>
            <w:r>
              <w:rPr>
                <w:sz w:val="20"/>
                <w:szCs w:val="20"/>
              </w:rPr>
              <w:t xml:space="preserve">, reproduced by your own hand.</w:t>
            </w:r>
          </w:p>
        </w:tc>
      </w:tr>
    </w:tbl>
    <w:p>
      <w:pPr>
        <w:spacing w:after="120"/>
      </w:pPr>
    </w:p>
    <w:p>
      <w:pPr>
        <w:pStyle w:val="Caption"/>
      </w:pPr>
      <w:r>
        <w:rPr>
          <w:i/>
          <w:iCs/>
        </w:rPr>
        <w:t xml:space="preserve">Figure I.1 — The HTR Lab Workbook maps each of the six pillars to a working platform tool, in the book’s execution sequence.</w:t>
      </w:r>
    </w:p>
    <w:p>
      <w:pPr>
        <w:pStyle w:val="Heading1"/>
      </w:pPr>
      <w:bookmarkStart w:id="1502" w:name="_Toc1501"/>
      <w:r>
        <w:rPr>
          <w:b/>
          <w:bCs/>
          <w:color w:val="161B22"/>
        </w:rPr>
        <w:t xml:space="preserve">Figure Index</w:t>
      </w:r>
      <w:bookmarkEnd w:id="1502"/>
    </w:p>
    <w:p>
      <w:pPr>
        <w:pStyle w:val="Caption"/>
      </w:pPr>
      <w:r>
        <w:t xml:space="preserve">Figure 1.1 — The OneCare Failure Cascade. Source: HTR Analysis (2026). Based on GMCB records, AHS November 2025 Transformation Report, and OneCare Vermont public filings.</w:t>
      </w:r>
    </w:p>
    <w:p>
      <w:pPr>
        <w:pStyle w:val="Caption"/>
      </w:pPr>
      <w:r>
        <w:t xml:space="preserve">Figure 1.2 — The six pillars: diagnostic questions and structural roles. Source: six-pillar framework documentation; Acts 167 and 68 of 2025.</w:t>
      </w:r>
    </w:p>
    <w:p>
      <w:pPr>
        <w:pStyle w:val="Caption"/>
      </w:pPr>
      <w:r>
        <w:t xml:space="preserve">Figure 1.3 — The architecture of interdependency: the fifteen dependency relationships, read From-row to To-column. Source: six-pillar framework documentation; Vermont Health Transformation / HTR (2026).</w:t>
      </w:r>
    </w:p>
    <w:p>
      <w:pPr>
        <w:pStyle w:val="Caption"/>
      </w:pPr>
      <w:r>
        <w:t xml:space="preserve">Figure 1.4 — Failure-cascade analysis: what breaks when each pillar is absent. Source: HTR analysis; CMMI evaluation literature; Oliver Wyman Act 167 Report; Vermont experience.</w:t>
      </w:r>
    </w:p>
    <w:p>
      <w:pPr>
        <w:pStyle w:val="Caption"/>
      </w:pPr>
      <w:r>
        <w:t xml:space="preserve">Figure 1.5 — Vermont’s six-pillar transformation map. Sources: Acts 167, 51, 55, 62, 68 of 2022–2025; AHEAD State Agreement; Vermont RHT Program Application; Oliver Wyman Act 167 Report.</w:t>
      </w:r>
    </w:p>
    <w:p>
      <w:pPr>
        <w:pStyle w:val="Caption"/>
      </w:pPr>
      <w:r>
        <w:t xml:space="preserve">Figure 1.6 — The Six-Stage Execution Sequence. Source: HTR Analysis (2026).</w:t>
      </w:r>
    </w:p>
    <w:p>
      <w:pPr>
        <w:pStyle w:val="Caption"/>
      </w:pPr>
      <w:r>
        <w:t xml:space="preserve">Figure 1.7 — Five sequencing errors: the diagnostic pattern, early-warning signals, and correction for each. Source: HTR analysis; Vermont experience; Oliver Wyman Act 167 Report.</w:t>
      </w:r>
    </w:p>
    <w:p>
      <w:pPr>
        <w:pStyle w:val="Caption"/>
      </w:pPr>
      <w:r>
        <w:t xml:space="preserve">Figure 1.8 — Vermont’s transformation timeline, by pillar. Source: HTR Analysis (2026); Act 68 of 2025; AHEAD State Agreement.</w:t>
      </w:r>
    </w:p>
    <w:p>
      <w:pPr>
        <w:pStyle w:val="Caption"/>
      </w:pPr>
      <w:r>
        <w:t xml:space="preserve">Figure 1.H — Hands-on platform tools for Chapter 1: working the execution-sequence argument on the HTR platform.</w:t>
      </w:r>
    </w:p>
    <w:p>
      <w:pPr>
        <w:pStyle w:val="Caption"/>
      </w:pPr>
      <w:r>
        <w:t xml:space="preserve">Figure T.1 — Vermont Healthcare Transformation Timeline: 2022–2035. Sources: Vermont Legislature, CMS, AHS, GMCB.</w:t>
      </w:r>
    </w:p>
    <w:p>
      <w:pPr>
        <w:pStyle w:val="Caption"/>
      </w:pPr>
      <w:r>
        <w:t xml:space="preserve">Figure 2.1 — Common perceptions of Vermont’s health system versus the data. Source: Oliver Wyman Act 167 Report; GMCB.</w:t>
      </w:r>
    </w:p>
    <w:p>
      <w:pPr>
        <w:pStyle w:val="Caption"/>
      </w:pPr>
      <w:r>
        <w:t xml:space="preserve">Figure 2.2 — Proposed Centers of Excellence assignments by hospital. Source: Oliver Wyman regionalization blueprint.</w:t>
      </w:r>
    </w:p>
    <w:p>
      <w:pPr>
        <w:pStyle w:val="Caption"/>
      </w:pPr>
      <w:r>
        <w:t xml:space="preserve">Figure 2.3 — Act 68 statutory implementation timeline. Source: Act 68 of 2025.</w:t>
      </w:r>
    </w:p>
    <w:p>
      <w:pPr>
        <w:pStyle w:val="Caption"/>
      </w:pPr>
      <w:r>
        <w:t xml:space="preserve">Figure 2.4 — State reference-based pricing and rate-setting programs compared. Sources: state program documentation; RAND; GMCB.</w:t>
      </w:r>
    </w:p>
    <w:p>
      <w:pPr>
        <w:pStyle w:val="Caption"/>
      </w:pPr>
      <w:r>
        <w:t xml:space="preserve">Figure 2.H — Hands-on platform tools for the Policy Pillar.</w:t>
      </w:r>
    </w:p>
    <w:p>
      <w:pPr>
        <w:pStyle w:val="Caption"/>
      </w:pPr>
      <w:r>
        <w:t xml:space="preserve">Figure 3.1 — CMMI model success factors: what distinguishes models that produce results from those that don’t. Source: HTR analysis of CMMI evaluation literature; CMS model documentation.</w:t>
      </w:r>
    </w:p>
    <w:p>
      <w:pPr>
        <w:pStyle w:val="Caption"/>
      </w:pPr>
      <w:r>
        <w:t xml:space="preserve">Figure 3.2 — CMMI models most relevant to Vermont’s transformation. Source: CMS Innovation Center.</w:t>
      </w:r>
    </w:p>
    <w:p>
      <w:pPr>
        <w:pStyle w:val="Caption"/>
      </w:pPr>
      <w:r>
        <w:t xml:space="preserve">Figure 3.3 — Policy strategy functions for healthcare organizations. Source: HTR Advisory framework.</w:t>
      </w:r>
    </w:p>
    <w:p>
      <w:pPr>
        <w:pStyle w:val="Caption"/>
      </w:pPr>
      <w:r>
        <w:t xml:space="preserve">Figure 3.4 — H.R. 1 Medicaid provisions: timeline, financial impact, and Vermont implications. Sources: KFF analysis; CBO estimates; Pew Charitable Trusts (January 2026).</w:t>
      </w:r>
    </w:p>
    <w:p>
      <w:pPr>
        <w:pStyle w:val="Caption"/>
      </w:pPr>
      <w:r>
        <w:t xml:space="preserve">Figure 3.H — Hands-on platform tools for the Policy Pillar in practice.</w:t>
      </w:r>
    </w:p>
    <w:p>
      <w:pPr>
        <w:pStyle w:val="Caption"/>
      </w:pPr>
      <w:r>
        <w:t xml:space="preserve">Figure 4.1 — Vermont’s three-layer health data infrastructure. Source: GMCB VHCURES documentation; Vermont HIE Strategic Plan.</w:t>
      </w:r>
    </w:p>
    <w:p>
      <w:pPr>
        <w:pStyle w:val="Caption"/>
      </w:pPr>
      <w:r>
        <w:t xml:space="preserve">Figure 4.2 — VHCURES data coverage summary. Commercial coverage is partial because ERISA exempts self-insured employers; extracts hold up to five years of eligibility and paid claims. Source: GMCB VHCURES documentation.</w:t>
      </w:r>
    </w:p>
    <w:p>
      <w:pPr>
        <w:pStyle w:val="Caption"/>
      </w:pPr>
      <w:r>
        <w:t xml:space="preserve">Figure 4.3 — VHCURES structural limitations and required improvements. Sources: GMCB VHCURES data documentation; Oliver Wyman Act 167 Report; AHS Transformation Reports; Act 68 of 2025.</w:t>
      </w:r>
    </w:p>
    <w:p>
      <w:pPr>
        <w:pStyle w:val="Caption"/>
      </w:pPr>
      <w:r>
        <w:t xml:space="preserve">Figure 4.4 — Vermont’s three-step path to integrated health records. Sources: Vermont HIE Steering Committee statutory mandate; AHS January 2025 Legislative Presentation; DVHA HIE governance documents.</w:t>
      </w:r>
    </w:p>
    <w:p>
      <w:pPr>
        <w:pStyle w:val="Caption"/>
      </w:pPr>
      <w:r>
        <w:t xml:space="preserve">Figure 4.5 — The UHDS three-layer architecture. Each layer is dependent on the one below it. Sources: Vermont UHDS Transition Plan; DVHA HIE program documentation.</w:t>
      </w:r>
    </w:p>
    <w:p>
      <w:pPr>
        <w:pStyle w:val="Caption"/>
      </w:pPr>
      <w:r>
        <w:t xml:space="preserve">Figure 4.6 — Vermont statewide EHR: case for and against. The feasibility assessment underway will weigh these factors against Vermont’s specific cost, disruption tolerance, and FHIR interoperability capacity.</w:t>
      </w:r>
    </w:p>
    <w:p>
      <w:pPr>
        <w:pStyle w:val="Caption"/>
      </w:pPr>
      <w:r>
        <w:t xml:space="preserve">Figure 4.7 — Vermont FHIR compliance landscape (estimated as of 2026). Sources: AHS Legislative Presentation January 2025; Vermont RHT Program Application; GMCB HIE connectivity criteria.</w:t>
      </w:r>
    </w:p>
    <w:p>
      <w:pPr>
        <w:pStyle w:val="Caption"/>
      </w:pPr>
      <w:r>
        <w:t xml:space="preserve">Figure 4.8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Caption"/>
      </w:pPr>
      <w:r>
        <w:t xml:space="preserve">Figure 4.H — Hands-on platform tools for the Technology Pillar.</w:t>
      </w:r>
    </w:p>
    <w:p>
      <w:pPr>
        <w:pStyle w:val="Caption"/>
      </w:pPr>
      <w:r>
        <w:t xml:space="preserve">Figure 5.1 — Vermont’s three priority FHIR use cases. Sources: CMS Interoperability and Patient Access Rule; ONC 21st Century Cures Rule; the Technology pillar framework.</w:t>
      </w:r>
    </w:p>
    <w:p>
      <w:pPr>
        <w:pStyle w:val="Caption"/>
      </w:pPr>
      <w:r>
        <w:t xml:space="preserve">Figure 5.2 — Population health CDS types and Vermont applications. Sources: the Technology pillar framework; Vermont Blueprint for Health; VHCURES documentation.</w:t>
      </w:r>
    </w:p>
    <w:p>
      <w:pPr>
        <w:pStyle w:val="Caption"/>
      </w:pPr>
      <w:r>
        <w:t xml:space="preserve">Figure 5.3 — Technology pillar implementation matrix. Sources: HTR Advisory; Vermont RHT Program (2025); CMS interoperability rule.</w:t>
      </w:r>
    </w:p>
    <w:p>
      <w:pPr>
        <w:pStyle w:val="Caption"/>
      </w:pPr>
      <w:r>
        <w:t xml:space="preserve">Figure 5.H — Hands-on platform tools for the Technology Pillar in practice.</w:t>
      </w:r>
    </w:p>
    <w:p>
      <w:pPr>
        <w:pStyle w:val="Caption"/>
      </w:pPr>
      <w:r>
        <w:t xml:space="preserve">Figure 6.1 — Vermont hospital commercial pricing vs. Medicare and break-even benchmarks. Sources: GMCB Act 68 RBP Update (February 2026); RAND Hospital Price Transparency Study.</w:t>
      </w:r>
    </w:p>
    <w:p>
      <w:pPr>
        <w:pStyle w:val="Caption"/>
      </w:pPr>
      <w:r>
        <w:t xml:space="preserve">Figure 6.2 — Vermont silver marketplace premium trajectory 2018–2024, showing 108% increase over six years. Source: Oliver Wyman Act 167 Report; GMCB analysis.</w:t>
      </w:r>
    </w:p>
    <w:p>
      <w:pPr>
        <w:pStyle w:val="Caption"/>
      </w:pPr>
      <w:r>
        <w:t xml:space="preserve">Figure 6.3 — Cross-state reference-based pricing and rate regulation: design and outcomes. Sources: GMCB Act 68 Update (February 2026); Health Affairs; Commonwealth Fund; CMS.</w:t>
      </w:r>
    </w:p>
    <w:p>
      <w:pPr>
        <w:pStyle w:val="Caption"/>
      </w:pPr>
      <w:r>
        <w:t xml:space="preserve">Figure 6.4 — Vermont RBP and global budget implementation phases. Source: GMCB Act 68 Update, February 2026.</w:t>
      </w:r>
    </w:p>
    <w:p>
      <w:pPr>
        <w:pStyle w:val="Caption"/>
      </w:pPr>
      <w:r>
        <w:t xml:space="preserve">Figure 6.5 — Five dimensions of global budget design with Vermont’s current direction. Source: GMCB Act 68 Update (February 2026); Act 68 of 2025.</w:t>
      </w:r>
    </w:p>
    <w:p>
      <w:pPr>
        <w:pStyle w:val="Caption"/>
      </w:pPr>
      <w:r>
        <w:t xml:space="preserve">Figure 6.6 — Vermont global budget history: four attempts and the central lesson. Sources: GMCB Act 68 Update (February 2026); Oliver Wyman Act 167 Report.</w:t>
      </w:r>
    </w:p>
    <w:p>
      <w:pPr>
        <w:pStyle w:val="Caption"/>
      </w:pPr>
      <w:r>
        <w:t xml:space="preserve">Figure 6.7 — Maryland All-Payer Global Budget Model results summary. Sources: HSCRC; CMS; Commonwealth Fund; Milbank Memorial Fund.</w:t>
      </w:r>
    </w:p>
    <w:p>
      <w:pPr>
        <w:pStyle w:val="Caption"/>
      </w:pPr>
      <w:r>
        <w:t xml:space="preserve">Figure 6.8 — Vermont all-payer architecture under AHEAD + Act 68 combined. Sources: Vermont RHT Program Application (November 2025); AHS AHEAD fact sheet; Act 68.</w:t>
      </w:r>
    </w:p>
    <w:p>
      <w:pPr>
        <w:pStyle w:val="Caption"/>
      </w:pPr>
      <w:r>
        <w:t xml:space="preserve">Figure 6.9 — Oliver Wyman Vermont hospital financial projection scenarios. Source: Oliver Wyman Act 167 Community Engagement: Recommendations (August 2024, revised October 2024 and January 2025).</w:t>
      </w:r>
    </w:p>
    <w:p>
      <w:pPr>
        <w:pStyle w:val="Caption"/>
      </w:pPr>
      <w:r>
        <w:t xml:space="preserve">Figure 6.10 — Financial metrics that matter: FFS vs. global budget environment. Compiled from GMCB guidance, Maryland HSCRC methodology, and Act 68 accountability framework.</w:t>
      </w:r>
    </w:p>
    <w:p>
      <w:pPr>
        <w:pStyle w:val="Caption"/>
      </w:pPr>
      <w:r>
        <w:t xml:space="preserve">Figure 6.11 — Estimated sources of direct and indirect savings from Vermont hospital transformation. Figures are illustrative ranges derived from Oliver Wyman’s &gt;$400M total estimate. Source: Oliver Wyman Act 167 Report (2024).</w:t>
      </w:r>
    </w:p>
    <w:p>
      <w:pPr>
        <w:pStyle w:val="Caption"/>
      </w:pPr>
      <w:r>
        <w:t xml:space="preserve">Figure 6.12 — Three-phase APM transition model for Vermont healthcare organizations.</w:t>
      </w:r>
    </w:p>
    <w:p>
      <w:pPr>
        <w:pStyle w:val="Caption"/>
      </w:pPr>
      <w:r>
        <w:t xml:space="preserve">Figure 6.H — Hands-on platform tools for the Economics Pillar.</w:t>
      </w:r>
    </w:p>
    <w:p>
      <w:pPr>
        <w:pStyle w:val="Caption"/>
      </w:pPr>
      <w:r>
        <w:t xml:space="preserve">Figure 7.1 — APM shared savings calculation framework. Source: HTR’s APM Shared Savings Calculator methodology; CMS ACO model documentation.</w:t>
      </w:r>
    </w:p>
    <w:p>
      <w:pPr>
        <w:pStyle w:val="Caption"/>
      </w:pPr>
      <w:r>
        <w:t xml:space="preserve">Figure 7.2 — The economics of prevention under value-based payment. Inpatient and ED costs are approximate averages and vary by DRG and acuity; the ROI range reflects well-designed ACO care-management programs. Sources: CMS; GMCB; HTR analysis.</w:t>
      </w:r>
    </w:p>
    <w:p>
      <w:pPr>
        <w:pStyle w:val="Caption"/>
      </w:pPr>
      <w:r>
        <w:t xml:space="preserve">Figure 7.3 — Economics pillar implementation matrix. Sources: HTR Research Lab; Oliver Wyman Act 167 Report; Vermont AHEAD documentation.</w:t>
      </w:r>
    </w:p>
    <w:p>
      <w:pPr>
        <w:pStyle w:val="Caption"/>
      </w:pPr>
      <w:r>
        <w:t xml:space="preserve">Figure 7.4 — APM contract review framework: provisions and key questions. Source: HTR Advisory framework.</w:t>
      </w:r>
    </w:p>
    <w:p>
      <w:pPr>
        <w:pStyle w:val="Caption"/>
      </w:pPr>
      <w:r>
        <w:t xml:space="preserve">Figure 7.5 — Financial metrics transformation: FFS versus global budget environment. Source: HTR’s Economics pillar framework.</w:t>
      </w:r>
    </w:p>
    <w:p>
      <w:pPr>
        <w:pStyle w:val="Caption"/>
      </w:pPr>
      <w:r>
        <w:t xml:space="preserve">Figure 7.6 — Transformation investment ROI framework with Vermont examples. Sources: HTR’s Economics pillar framework; Blueprint for Health ROI study; CMS cost data; Vermont data from AHS Transformation Reports.</w:t>
      </w:r>
    </w:p>
    <w:p>
      <w:pPr>
        <w:pStyle w:val="Caption"/>
      </w:pPr>
      <w:r>
        <w:t xml:space="preserve">Figure 7.H — Hands-on platform tools for the Economics Pillar in practice.</w:t>
      </w:r>
    </w:p>
    <w:p>
      <w:pPr>
        <w:pStyle w:val="Caption"/>
      </w:pPr>
      <w:r>
        <w:t xml:space="preserve">Figure 8.1 — Vermont Blueprint for Health: three integrated components. Sources: Blueprint for Health website; Vermont Blueprint Overview (GMCB, 2022); Blueprint Annual Report 2024.</w:t>
      </w:r>
    </w:p>
    <w:p>
      <w:pPr>
        <w:pStyle w:val="Caption"/>
      </w:pPr>
      <w:r>
        <w:t xml:space="preserve">Figure 8.2 — Blueprint for Health clinical outcomes and ROI. Sources: Population Health Management journal; AHS November 2025 Transformation Report; Blueprint for Health 2024 data.</w:t>
      </w:r>
    </w:p>
    <w:p>
      <w:pPr>
        <w:pStyle w:val="Caption"/>
      </w:pPr>
      <w:r>
        <w:t xml:space="preserve">Figure 8.3 — Collaborative Care Model components and Vermont application. Sources: SAMHSA CoCM program; CMS Behavioral Health Integration Services (January 2026); Vermont MHI Pilot Evaluation (2025).</w:t>
      </w:r>
    </w:p>
    <w:p>
      <w:pPr>
        <w:pStyle w:val="Caption"/>
      </w:pPr>
      <w:r>
        <w:t xml:space="preserve">Figure 8.4 — Vermont comprehensive primary health care: five operational components and investment vehicles. Sources: Act 68 of 2025; AHEAD State Agreement (January 2025); AHS Transformation Plans 2025.</w:t>
      </w:r>
    </w:p>
    <w:p>
      <w:pPr>
        <w:pStyle w:val="Caption"/>
      </w:pPr>
      <w:r>
        <w:t xml:space="preserve">Figure 8.5 — Vermont clinical quality measurement framework: priority measures, rationale, and current status. Sources: AHS Transformation Report (November 2025); Blueprint for Health data; Oliver Wyman Act 167 Report.</w:t>
      </w:r>
    </w:p>
    <w:p>
      <w:pPr>
        <w:pStyle w:val="Caption"/>
      </w:pPr>
      <w:r>
        <w:t xml:space="preserve">Figure 8.6 — Clinical pillar commitments for Vermont’s Statewide Health Care Delivery Strategic Plan. Sources: Act 68 of 2025; Oliver Wyman Act 167 Report; AHS Transformation Plans; Vermont RHT Program Application.</w:t>
      </w:r>
    </w:p>
    <w:p>
      <w:pPr>
        <w:pStyle w:val="Caption"/>
      </w:pPr>
      <w:r>
        <w:t xml:space="preserve">Figure 8.H — Hands-on platform tools for the Clinical Pillar.</w:t>
      </w:r>
    </w:p>
    <w:p>
      <w:pPr>
        <w:pStyle w:val="Caption"/>
      </w:pPr>
      <w: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Caption"/>
      </w:pPr>
      <w:r>
        <w:t xml:space="preserve">Figure 9.2 — Panel risk stratification framework for Vermont PCMH practices. Sources: Vermont Blueprint for Health Practice Support Resources; HRSA Population Health Management Training; Oliver Wyman Act 167 Report section on primary care productivity.</w:t>
      </w:r>
    </w:p>
    <w:p>
      <w:pPr>
        <w:pStyle w:val="Caption"/>
      </w:pPr>
      <w:r>
        <w:t xml:space="preserve">Figure 9.3 — Collaborative Care Model components and Vermont application. Sources: SAMHSA CoCM program; CMS Behavioral Health Integration Services (January 2026); Vermont MHI Pilot Evaluation (2025).</w:t>
      </w:r>
    </w:p>
    <w:p>
      <w:pPr>
        <w:pStyle w:val="Caption"/>
      </w:pPr>
      <w: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pStyle w:val="Caption"/>
      </w:pPr>
      <w:r>
        <w:t xml:space="preserve">Figure 9.5 — Clinical pillar implementation matrix. Sources: Vermont Blueprint for Health Annual Report 2024; Vermont MHI Evaluation 2025; SAMHSA CCBHC documentation.</w:t>
      </w:r>
    </w:p>
    <w:p>
      <w:pPr>
        <w:pStyle w:val="Caption"/>
      </w:pPr>
      <w:r>
        <w:t xml:space="preserve">Figure 9.H — Hands-on platform tools for the Clinical Pillar in practice.</w:t>
      </w:r>
    </w:p>
    <w:p>
      <w:pPr>
        <w:pStyle w:val="Caption"/>
      </w:pPr>
      <w:r>
        <w:t xml:space="preserve">Figure 10.1 — Vermont geographic equity disparities: key indicators. Sources: AHS November 2025 Transformation Report; Vermont RHT Program Application; Vermont Department of Health.</w:t>
      </w:r>
    </w:p>
    <w:p>
      <w:pPr>
        <w:pStyle w:val="Caption"/>
      </w:pPr>
      <w:r>
        <w:t xml:space="preserve">Figure 10.2 — Vermont SDOH burden: key indicators and equity implications. Sources: Vermont RHT Program Application (November 2025); Oliver Wyman Act 167 Report; Vermont Department of Health.</w:t>
      </w:r>
    </w:p>
    <w:p>
      <w:pPr>
        <w:pStyle w:val="Caption"/>
      </w:pPr>
      <w: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pPr>
        <w:pStyle w:val="Caption"/>
      </w:pPr>
      <w:r>
        <w:t xml:space="preserve">Figure 10.4 — Vermont equity gaps and required investments. Sources: Vermont Department of Health Health Equity Data Report (January 2025); Oliver Wyman Act 167 Report; AHS Transformation Reports; KFF GLP-1 coverage analysis.</w:t>
      </w:r>
    </w:p>
    <w:p>
      <w:pPr>
        <w:pStyle w:val="Caption"/>
      </w:pPr>
      <w:r>
        <w:t xml:space="preserve">Figure 10.5 — Equity as a cross-cutting dimension of all six pillars. Sources: Act 67 of 2025; Oliver Wyman Act 167 Report; six-pillar framework.</w:t>
      </w:r>
    </w:p>
    <w:p>
      <w:pPr>
        <w:pStyle w:val="Caption"/>
      </w:pPr>
      <w:r>
        <w:t xml:space="preserve">Figure 10.6 — Vermont equity accountability framework: indicators, stratifications, and targets. Sources: Act 167; Act 68; VDH Health Equity Data Report (January 2025); AHS Transformation Reports.</w:t>
      </w:r>
    </w:p>
    <w:p>
      <w:pPr>
        <w:pStyle w:val="Caption"/>
      </w:pPr>
      <w:r>
        <w:t xml:space="preserve">Figure 10.H — Hands-on platform tools for the Equity Pillar.</w:t>
      </w:r>
    </w:p>
    <w:p>
      <w:pPr>
        <w:pStyle w:val="Caption"/>
      </w:pPr>
      <w:r>
        <w:t xml:space="preserve">Figure 10.7 — Vermont HEDIS equity stratification framework. Sources: NCQA HEDIS Technical Specifications; AHS Health Equity Data Report (January 2025); Blueprint for Health data.</w:t>
      </w:r>
    </w:p>
    <w:p>
      <w:pPr>
        <w:pStyle w:val="Caption"/>
      </w:pPr>
      <w:r>
        <w:t xml:space="preserve">Figure 10.8 — Equity pillar implementation matrix. Sources: Vermont Department of Health Health Equity Data Report (January 2025); Act 68 of 2025.</w:t>
      </w:r>
    </w:p>
    <w:p>
      <w:pPr>
        <w:pStyle w:val="Caption"/>
      </w:pPr>
      <w:r>
        <w:t xml:space="preserve">Figure 10.9 — Five-step disparity closure process with Vermont applications. Source: HTR’s Health Equity Studio methodology.</w:t>
      </w:r>
    </w:p>
    <w:p>
      <w:pPr>
        <w:pStyle w:val="Caption"/>
      </w:pPr>
      <w:r>
        <w:t xml:space="preserve">Figure 10.10 — Vermont equity analytics: current data sources by equity dimension. Sources: GMCB; VDH; Blueprint for Health; DVHA; AHS.</w:t>
      </w:r>
    </w:p>
    <w:p>
      <w:pPr>
        <w:pStyle w:val="Caption"/>
      </w:pPr>
      <w:r>
        <w:t xml:space="preserve">Figure 11.1 — Vermont health system transformation governance architecture under Act 68. Sources: Act 68 of 2025; AHS Legislative Presentation (January 2025).</w:t>
      </w:r>
    </w:p>
    <w:p>
      <w:pPr>
        <w:pStyle w:val="Caption"/>
      </w:pPr>
      <w:r>
        <w:t xml:space="preserve">Figure 11.2 — Vermont hospital transformation planning sequence. Sources: AHS Health Care Transformation website; AHS November 2025 Act 68 Report; AHS January 2025 Legislative Presentation.</w:t>
      </w:r>
    </w:p>
    <w:p>
      <w:pPr>
        <w:pStyle w:val="Caption"/>
      </w:pPr>
      <w:r>
        <w:t xml:space="preserve">Figure 11.3 — Vermont health system transformation outcome measures: current performance vs. benchmarks. Source: AHS Health Care System Transformation Report, November 2025.</w:t>
      </w:r>
    </w:p>
    <w:p>
      <w:pPr>
        <w:pStyle w:val="Caption"/>
      </w:pPr>
      <w: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Caption"/>
      </w:pPr>
      <w:r>
        <w:t xml:space="preserve">Figure 11.5 — Vermont 14-hospital regionalization framework: COE designations, tiers, and key operational considerations. Sources: Oliver Wyman Act 167 Report (2024); AHS Transformation Reports (2025).</w:t>
      </w:r>
    </w:p>
    <w:p>
      <w:pPr>
        <w:pStyle w:val="Caption"/>
      </w:pPr>
      <w:r>
        <w:t xml:space="preserve">Figure 11.6 — Vermont workforce crisis key metrics. Sources: Vermont RHT Program Application (November 2025); Oliver Wyman Act 167 Report; Vermont Department of Labor.</w:t>
      </w:r>
    </w:p>
    <w:p>
      <w:pPr>
        <w:pStyle w:val="Caption"/>
      </w:pPr>
      <w:r>
        <w:t xml:space="preserve">Figure 11.7 — Vermont health system transformation: comprehensive operations metrics framework. Sources: Act 68 of 2025; AHS Transformation Report (November 2025); Oliver Wyman Act 167 Report.</w:t>
      </w:r>
    </w:p>
    <w:p>
      <w:pPr>
        <w:pStyle w:val="Caption"/>
      </w:pPr>
      <w:r>
        <w:t xml:space="preserve">Figure 11.H — Hands-on platform tools for the Operations Pillar.</w:t>
      </w:r>
    </w:p>
    <w:p>
      <w:pPr>
        <w:pStyle w:val="Caption"/>
      </w:pPr>
      <w:r>
        <w:t xml:space="preserve">Figure 11.8 — Attribution error taxonomy and remediation. Source: HTR’s Operations pillar framework; ACO REACH and MSSP operational guidance.</w:t>
      </w:r>
    </w:p>
    <w:p>
      <w:pPr>
        <w:pStyle w:val="Caption"/>
      </w:pPr>
      <w:r>
        <w:t xml:space="preserve">Figure 11.9 — Operations pillar implementation matrix. Sources: Vermont AHS Transformation Reports (August, November 2025); RHRC engagement; Oliver Wyman Act 167 Report.</w:t>
      </w:r>
    </w:p>
    <w:p>
      <w:pPr>
        <w:pStyle w:val="Caption"/>
      </w:pPr>
      <w:r>
        <w:t xml:space="preserve">Figure 12.1 — technical infrastructure framework components and intended users. Source: technical infrastructure framework documentation.</w:t>
      </w:r>
    </w:p>
    <w:p>
      <w:pPr>
        <w:pStyle w:val="Caption"/>
      </w:pPr>
      <w:r>
        <w:t xml:space="preserve">Figure 12.2 — Kotter’s change management framework applied to Vermont’s healthcare transformation. Source: HTR Advisory methodology; Kotter (1996); Vermont transformation documentation.</w:t>
      </w:r>
    </w:p>
    <w:p>
      <w:pPr>
        <w:pStyle w:val="Caption"/>
      </w:pPr>
      <w:r>
        <w:t xml:space="preserve">Figure 12.3 — HTR Implementation Toolkit: available tools for Strategist and Enterprise subscribers.</w:t>
      </w:r>
    </w:p>
    <w:p>
      <w:pPr>
        <w:pStyle w:val="Caption"/>
      </w:pPr>
      <w:r>
        <w:t xml:space="preserve">Figure 12.H — Hands-on platform tools for Chapter 12: turning knowledge into implementation.</w:t>
      </w:r>
    </w:p>
    <w:p>
      <w:pPr>
        <w:pStyle w:val="Caption"/>
      </w:pPr>
      <w:r>
        <w:t xml:space="preserve">Figure 13.1 — Vermont Six-Pillar Transformation Scorecard, April 2026. Technology and Equity are the two pillars where 2026 status most diverges from the 2028 target. Full scorecard with sources: Appendix F.</w:t>
      </w:r>
    </w:p>
    <w:p>
      <w:pPr>
        <w:pStyle w:val="Caption"/>
      </w:pPr>
      <w:r>
        <w:t xml:space="preserve">Figure 13.2 — The 2025 federal healthcare policy inflection point. Sources: KFF; CBO; Chartis, 2026 State of Rural Health.</w:t>
      </w:r>
    </w:p>
    <w:p>
      <w:pPr>
        <w:pStyle w:val="Caption"/>
      </w:pPr>
      <w:r>
        <w:t xml:space="preserve">Figure 13.3 — Six-pillar forecast, 2026–2035: Vermont and national. Sources: HTR analysis; sources cited throughout this chapter.</w:t>
      </w:r>
    </w:p>
    <w:p>
      <w:pPr>
        <w:pStyle w:val="Caption"/>
      </w:pPr>
      <w:r>
        <w:t xml:space="preserve">Figure 13.4 — Vermont’s transformation decisions and their national implications. Sources: HTR analysis; Vermont AHEAD State Agreement; Act 68 of 2025.</w:t>
      </w:r>
    </w:p>
    <w:p>
      <w:pPr>
        <w:pStyle w:val="Caption"/>
      </w:pPr>
      <w:r>
        <w:t xml:space="preserve">Figure 13.H — Hands-on platform tools for Chapter 13: tracking the forecast against the record.</w:t>
      </w:r>
    </w:p>
    <w:p>
      <w:pPr>
        <w:pStyle w:val="Caption"/>
      </w:pPr>
      <w:r>
        <w:t xml:space="preserve">Figure 14.1 — Early-warning signals of political risk to Vermont’s reform architecture. Sources: HTR Advisory risk-monitoring framework; Act 68 of 2025; GMCB regulatory process documentation.</w:t>
      </w:r>
    </w:p>
    <w:p>
      <w:pPr>
        <w:pStyle w:val="Caption"/>
      </w:pPr>
      <w:r>
        <w:t xml:space="preserve">Figure 14.2 — Political-disruption scenario planning for Vermont healthcare organizations. Sources: HTR Advisory risk assessment; Vermont political-environment analysis (April 2026).</w:t>
      </w:r>
    </w:p>
    <w:p>
      <w:pPr>
        <w:pStyle w:val="Caption"/>
      </w:pPr>
      <w:r>
        <w:t xml:space="preserve">Figure 14.H — Hands-on platform tools for Chapter 14: monitoring political risk.</w:t>
      </w:r>
    </w:p>
    <w:p>
      <w:pPr>
        <w:pStyle w:val="Caption"/>
      </w:pPr>
      <w:r>
        <w:t xml:space="preserve">Figure 15.1 — The project-management gap. Sources: PMI Standard for Portfolio Management (5th ed.); Oliver Wyman Act 167 Report; AHS November 2025 Transformation Report.</w:t>
      </w:r>
    </w:p>
    <w:p>
      <w:pPr>
        <w:pStyle w:val="Caption"/>
      </w:pPr>
      <w:r>
        <w:t xml:space="preserve">Figure 15.2 — PMI hierarchy applied to Vermont’s transformation. Source: PMI Standard for Portfolio Management (5th ed.); PMBOK Guide 7th ed.; PMI Program Management Standard.</w:t>
      </w:r>
    </w:p>
    <w:p>
      <w:pPr>
        <w:pStyle w:val="Caption"/>
      </w:pPr>
      <w:r>
        <w:t xml:space="preserve">Figure 15.3 — Vermont’s 19-component transformation portfolio. Sources: Act 68 of 2025; AHS Transformation Reports; Vermont RHT Program Application; CMS AHEAD documentation.</w:t>
      </w:r>
    </w:p>
    <w:p>
      <w:pPr>
        <w:pStyle w:val="Caption"/>
      </w:pPr>
      <w:r>
        <w:t xml:space="preserve">Figure 15.4 — Pillar-level role matrix. Sources: PMI credential requirements; Act 68 governance structure; Vermont RHT Program organizational design.</w:t>
      </w:r>
    </w:p>
    <w:p>
      <w:pPr>
        <w:pStyle w:val="Caption"/>
      </w:pPr>
      <w: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Caption"/>
      </w:pPr>
      <w:r>
        <w:t xml:space="preserve">Figure 15.6 — Benefits-realization plan. Sources: Act 167 of 2022; PMI Standard for Portfolio Management (5th ed.); Vermont Scorecard (Appendix F).</w:t>
      </w:r>
    </w:p>
    <w:p>
      <w:pPr>
        <w:pStyle w:val="Caption"/>
      </w:pPr>
      <w:r>
        <w:t xml:space="preserve">Figure 15.7 — Business case for portfolio-management investment. Sources: PMI Pulse of the Profession (2017); Vermont RHT Program Application; Act 68 EAST Fund allocation; PMI salary data.</w:t>
      </w:r>
    </w:p>
    <w:p>
      <w:pPr>
        <w:pStyle w:val="Caption"/>
      </w:pPr>
      <w:r>
        <w:t xml:space="preserve">Figure 15.H — Hands-on platform tools for Chapter 15: running the transformation portfolio.</w:t>
      </w:r>
    </w:p>
    <w:p>
      <w:pPr>
        <w:pStyle w:val="Caption"/>
      </w:pPr>
      <w:r>
        <w:t xml:space="preserve">Figure 16.1 — Act 68 statutory requirements for the Strategic Plan. Sources: Act 68 of 2025; HCAC mandate (healthcarereform.vermont.gov).</w:t>
      </w:r>
    </w:p>
    <w:p>
      <w:pPr>
        <w:pStyle w:val="Caption"/>
      </w:pPr>
      <w:r>
        <w:t xml:space="preserve">Figure 16.2 — AHS organizational gaps and required structural changes. Sources: Oliver Wyman Act 167 Recommendations (2024); AHS Transformation Reports (2025); Act 68 of 2025.</w:t>
      </w:r>
    </w:p>
    <w:p>
      <w:pPr>
        <w:pStyle w:val="Caption"/>
      </w:pPr>
      <w:r>
        <w:t xml:space="preserve">Figure 16.3 — Vermont’s 14 HSAs: regional profile and priority transformation challenges. Sources: Oliver Wyman Act 167 Report; Vermont RHT Program Application; AHS Transformation Reports 2025.</w:t>
      </w:r>
    </w:p>
    <w:p>
      <w:pPr>
        <w:pStyle w:val="Caption"/>
      </w:pPr>
      <w:r>
        <w:t xml:space="preserve">Figure 16.4 — AHS restructuring and Vermont transformation timeline. Sources: Act 68 of 2025; AHEAD State Agreement (January 2025); AHS Transformation Reports; Vermont RHT Program Application.</w:t>
      </w:r>
    </w:p>
    <w:p>
      <w:pPr>
        <w:pStyle w:val="Caption"/>
      </w:pPr>
      <w:r>
        <w:t xml:space="preserve">Figure 16.5 — Proposed structure for the 2028 Statewide Strategic Plan. Sources: Act 68 of 2025; HCAC mandate; six-pillar framework.</w:t>
      </w:r>
    </w:p>
    <w:p>
      <w:pPr>
        <w:pStyle w:val="Caption"/>
      </w:pPr>
      <w:r>
        <w:t xml:space="preserve">Figure 16.6 — Key parameters for the Strategic Plan. Sources: Act 68; VTDigger; Oliver Wyman Act 167 Report; Vermont RHT Program Application.</w:t>
      </w:r>
    </w:p>
    <w:p>
      <w:pPr>
        <w:pStyle w:val="Caption"/>
      </w:pPr>
      <w:r>
        <w:t xml:space="preserve">Figure 16.H — Hands-on platform tools for Chapter 16: testing the AHS restructuring design.</w:t>
      </w:r>
    </w:p>
    <w:p>
      <w:pPr>
        <w:pStyle w:val="Caption"/>
      </w:pPr>
      <w:r>
        <w:t xml:space="preserve">Figure A.1 — Vermont demographic transformation. Sources: Oliver Wyman Act 167 Report (2024); Vermont RHT Program Application; KFF.</w:t>
      </w:r>
    </w:p>
    <w:p>
      <w:pPr>
        <w:pStyle w:val="Caption"/>
      </w:pPr>
      <w:r>
        <w:t xml:space="preserve">Figure A.2 — GMCB regulatory functions. Sources: GMCB Hospital Budget Review Guide; Acts 167 and 68; GMCB Annual Report 2024.</w:t>
      </w:r>
    </w:p>
    <w:p>
      <w:pPr>
        <w:pStyle w:val="Caption"/>
      </w:pPr>
      <w:r>
        <w:t xml:space="preserve">Figure A.3 — Vermont’s 14 hospitals: typology, grant status, focus, and challenges. Sources: AHS Hospital Tracking data (January 2026); individual transformation plans (January 15, 2026); GMCB FY26 Budget Orders.</w:t>
      </w:r>
    </w:p>
    <w:p>
      <w:pPr>
        <w:pStyle w:val="Caption"/>
      </w:pPr>
      <w:r>
        <w:t xml:space="preserve">Figure A.4 — Vermont hospital transformation initiative themes, January 2026 (148 initiatives). Source: AHS Transformation Plans Analysis (January 2026).</w:t>
      </w:r>
    </w:p>
    <w:p>
      <w:pPr>
        <w:pStyle w:val="Caption"/>
      </w:pPr>
      <w:r>
        <w:t xml:space="preserve">Figure B.1 — Act 68 statutory timeline and milestones. Source: Act 68 of 2025.</w:t>
      </w:r>
    </w:p>
    <w:p>
      <w:pPr>
        <w:pStyle w:val="Caption"/>
      </w:pPr>
      <w:r>
        <w:t xml:space="preserve">Figure B.2 — Policy-pillar implementation matrix. Sources: HTR Advisory methodology; Vermont RHT Program Application (2025); GMCB rate-setting documentation.</w:t>
      </w:r>
    </w:p>
    <w:p>
      <w:pPr>
        <w:pStyle w:val="Caption"/>
      </w:pPr>
      <w:r>
        <w:t xml:space="preserve">Figure D.1 — AHEAD State Agreement key terms and Vermont-specific provisions. Source: Vermont AHEAD State Agreement (January 2025).</w:t>
      </w:r>
    </w:p>
    <w:p>
      <w:pPr>
        <w:pStyle w:val="Caption"/>
      </w:pPr>
      <w:r>
        <w:t xml:space="preserve">Figure F.1 — Policy-pillar scorecard. Sources: Act 68 of 2025; Oliver Wyman Act 167 Report; CMS AHEAD documentation; Vermont RHT Program Application.</w:t>
      </w:r>
    </w:p>
    <w:p>
      <w:pPr>
        <w:pStyle w:val="Caption"/>
      </w:pPr>
      <w:r>
        <w:t xml:space="preserve">Figure F.2 — Technology-pillar scorecard. Sources: GMCB VHCURES; VITL; Vermont DOH Health Equity Data Report (January 2025); Vermont RHT Application.</w:t>
      </w:r>
    </w:p>
    <w:p>
      <w:pPr>
        <w:pStyle w:val="Caption"/>
      </w:pPr>
      <w:r>
        <w:t xml:space="preserve">Figure F.3 — Economics-pillar scorecard. Sources: Oliver Wyman Act 167 Report; AHS November 2025 Report; GMCB price-transparency data; CMS AHEAD.</w:t>
      </w:r>
    </w:p>
    <w:p>
      <w:pPr>
        <w:pStyle w:val="Caption"/>
      </w:pPr>
      <w:r>
        <w:t xml:space="preserve">Figure F.4 — Clinical-pillar scorecard. Sources: Vermont Blueprint Annual Report 2024; Vermont AHS; GMCB quality reporting; Oliver Wyman workforce analysis.</w:t>
      </w:r>
    </w:p>
    <w:p>
      <w:pPr>
        <w:pStyle w:val="Caption"/>
      </w:pPr>
      <w:r>
        <w:t xml:space="preserve">Figure F.5 — Equity-pillar scorecard. Sources: Vermont DOH Health Equity Data Report (January 2025); Act 68; GMCB equity reporting; HTR HEROI framework.</w:t>
      </w:r>
    </w:p>
    <w:p>
      <w:pPr>
        <w:pStyle w:val="Caption"/>
      </w:pPr>
      <w:r>
        <w:t xml:space="preserve">Figure F.6 — Operations-pillar scorecard. Sources: AHS Transformation Reports (August, November 2025); RHRC; Vermont RHT Program Application; Act 68.</w:t>
      </w:r>
    </w:p>
    <w:p>
      <w:pPr>
        <w:pStyle w:val="Caption"/>
      </w:pPr>
      <w:r>
        <w:t xml:space="preserve">Figure I.1 — The HTR Lab Workbook maps each of the six pillars to a working platform tool, in the book’s execution sequence.</w:t>
      </w:r>
    </w:p>
    <w:p>
      <w:pPr>
        <w:pStyle w:val="Heading1"/>
      </w:pPr>
      <w:bookmarkStart w:id="1503" w:name="_Toc1502"/>
      <w:r>
        <w:rPr>
          <w:b/>
          <w:bCs/>
          <w:color w:val="161B22"/>
        </w:rPr>
        <w:t xml:space="preserve">Bibliography and Source Notes</w:t>
      </w:r>
      <w:bookmarkEnd w:id="1503"/>
    </w:p>
    <w:p>
      <w:pPr>
        <w:pStyle w:val="FirstParagraph"/>
      </w:pPr>
      <w:r>
        <w:t xml:space="preserve">Sources are organized by category. All URLs were accessed between January and April 2026 unless otherwise noted; Vermont government documents are cited with their official legislative or agency identifiers.</w:t>
      </w:r>
      <w:r>
        <w:t xml:space="preserve"> </w:t>
      </w:r>
      <w:r>
        <w:t xml:space="preserve">“HTR analysis”</w:t>
      </w:r>
      <w:r>
        <w:t xml:space="preserve"> </w:t>
      </w:r>
      <w:r>
        <w:t xml:space="preserve">refers to original analytical work conducted in preparation of this book.</w:t>
      </w:r>
    </w:p>
    <w:p>
      <w:pPr>
        <w:pStyle w:val="BodyText"/>
      </w:pPr>
      <w:r>
        <w:t xml:space="preserve">Vermont Legislation. Act 167 of 2022 (Health Care Delivery System Transformation; signed June 2022; directed the Oliver Wyman analysis); Act 51 of 2023 (healthcare-reform continuation; hospital sustainability assessments; CON review); Act 49 of 2024 (insurer solvency; GMCB enforcement); Act 55 of 2025 (prescription-drug pricing caps; 340B reporting; $135M annual savings target); Act 62 of 2025 (HIT Plan governance; transferred HIE oversight from GMCB to DVHA, effective July 1, 2025); Act 68 of 2025 (Health Care Payment and Delivery System Reform; the primary statutory vehicle for RBP, global budgets, and the Statewide Strategic Plan).</w:t>
      </w:r>
    </w:p>
    <w:p>
      <w:pPr>
        <w:pStyle w:val="BodyText"/>
      </w:pPr>
      <w: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(incl. Act 62 transfer); DVHA Vermont HIE Strategic Plan (2024 Update); Vermont DOH Health Equity Data Annual Report (January 17, 2025); Vermont DMH CCBHC Program materials; Vermont Blueprint for Health Annual Report 2024 and MHI Program evaluation (2025).</w:t>
      </w:r>
    </w:p>
    <w:p>
      <w:pPr>
        <w:pStyle w:val="BodyText"/>
      </w:pPr>
      <w: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pPr>
        <w:pStyle w:val="BodyText"/>
      </w:pPr>
      <w: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pPr>
        <w:pStyle w:val="BodyText"/>
      </w:pPr>
      <w:r>
        <w:t xml:space="preserve">National Research and Policy Organizations. KFF — Medicaid Coverage of and Spending on GLP-1s (January 2026); What to Know About the BALANCE Model (March 2026); How Might Federal Medicaid Cuts in the Enacted Reconciliation Package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w:t>
      </w:r>
      <w:r>
        <w:t xml:space="preserve"> </w:t>
      </w:r>
      <w:r>
        <w:t xml:space="preserve">“Reimagining Rural Health Equity”</w:t>
      </w:r>
      <w:r>
        <w:t xml:space="preserve"> </w:t>
      </w:r>
      <w:r>
        <w:t xml:space="preserve">(June 2024). Population Health Management, Vermont Blueprint ROI study (2016; $5.8M reduction per $1M invested). JAMA Network Open, ambient-scribe documentation-efficiency study (2024).</w:t>
      </w:r>
    </w:p>
    <w:p>
      <w:pPr>
        <w:pStyle w:val="BodyText"/>
      </w:pPr>
      <w:r>
        <w:t xml:space="preserve">Vermont Health Data Sources. VHCURES (all-payer claims database, GMCB); VUHDDS (hospital discharge database); VHIE (operated by VITL); Vermont BRFSS; Vermont DOH; Vermont Futures Project.</w:t>
      </w:r>
    </w:p>
    <w:p>
      <w:pPr>
        <w:pStyle w:val="BodyText"/>
      </w:pPr>
      <w:r>
        <w:t xml:space="preserve">Selected Academic and Clinical Sources. Kotter, Leading Change (1996); NCQA HEDIS Technical Specifications; HL7 FHIR R4 Specification; Archer et al., Cochrane Review on collaborative care (2012; 90+ RCTs); RAND Hospital Price Transparency (2022; UVMMC outpatient 417% of Medicare); Maryland HSCRC TCOC performance data ($1.4B Medicare savings; 7% admission reduction); National Consortium of Telehealth Resource Centers (April 2026).</w:t>
      </w:r>
    </w:p>
    <w:p>
      <w:pPr>
        <w:pStyle w:val="BodyText"/>
      </w:pPr>
      <w: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pPr>
        <w:pStyle w:val="Heading1"/>
      </w:pPr>
      <w:bookmarkStart w:id="1504" w:name="_Toc1503"/>
      <w:r>
        <w:rPr>
          <w:b/>
          <w:bCs/>
          <w:color w:val="161B22"/>
        </w:rPr>
        <w:t xml:space="preserve">Index (Selected)</w:t>
      </w:r>
      <w:bookmarkEnd w:id="1504"/>
    </w:p>
    <w:p>
      <w:pPr>
        <w:pStyle w:val="FirstParagraph"/>
      </w:pPr>
      <w: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pillar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six-pillar framework · Statewide Strategic Plan · TCOC · Technology pillar · transformation sequencing · UVMMC · value-based care · Vermont as preview · VHCURES · VITL · workforce crisis.</w:t>
      </w:r>
    </w:p>
    <w:p>
      <w:pPr>
        <w:pStyle w:val="BodyText"/>
      </w:pPr>
      <w:r>
        <w:rPr>
          <w:i/>
          <w:iCs/>
        </w:rPr>
        <w:t xml:space="preserve">The Health Transformation Review platform is a subscription service. Academic, institutional, and team subscription options are available at htr.com/pricing.</w:t>
      </w:r>
    </w:p>
    <w:sectPr w:rsidR="00FC693F" w:rsidRPr="0006063C" w:rsidSect="00034616">
      <w:footerReference w:type="default" r:id="rId10"/>
      <w:pgSz w:h="15840" w:w="12240"/>
      <w:pgMar w:bottom="1296" w:footer="720" w:gutter="0" w:header="720" w:left="1584" w:right="1584" w:top="1296"/>
      <w:cols w:space="720"/>
      <w:docGrid w:linePitch="36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b w:val="0"/>
        <w:i w:val="0"/>
        <w:color w:val="555555"/>
        <w:sz w:val="19"/>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6">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40" w:before="0" w:line="276" w:lineRule="auto"/>
    </w:pPr>
    <w:rPr>
      <w:rFonts w:ascii="Garamond" w:cs="Garamond" w:hAnsi="Garamond"/>
      <w:b w:val="0"/>
      <w:i w:val="0"/>
      <w:color w:val="1A1A1A"/>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520" w:line="264" w:lineRule="auto"/>
      <w:outlineLvl w:val="0"/>
    </w:pPr>
    <w:rPr>
      <w:rFonts w:ascii="Garamond" w:asciiTheme="majorHAnsi" w:cs="Garamond" w:cstheme="majorBidi" w:eastAsiaTheme="majorEastAsia" w:hAnsi="Garamond" w:hAnsiTheme="majorHAnsi"/>
      <w:b/>
      <w:bCs/>
      <w:i w:val="0"/>
      <w:color w:val="161B22"/>
      <w:sz w:val="34"/>
      <w:szCs w:val="28"/>
    </w:rPr>
  </w:style>
  <w:style w:styleId="Heading2" w:type="paragraph">
    <w:name w:val="heading 2"/>
    <w:basedOn w:val="Normal"/>
    <w:next w:val="Normal"/>
    <w:link w:val="Heading2Char"/>
    <w:uiPriority w:val="9"/>
    <w:unhideWhenUsed/>
    <w:qFormat/>
    <w:rsid w:val="00FC693F"/>
    <w:pPr>
      <w:keepNext/>
      <w:keepLines/>
      <w:spacing w:after="140" w:before="480" w:line="264" w:lineRule="auto"/>
      <w:outlineLvl w:val="1"/>
    </w:pPr>
    <w:rPr>
      <w:rFonts w:ascii="Garamond" w:asciiTheme="majorHAnsi" w:cs="Garamond" w:cstheme="majorBidi" w:eastAsiaTheme="majorEastAsia" w:hAnsi="Garamond" w:hAnsiTheme="majorHAnsi"/>
      <w:b/>
      <w:bCs/>
      <w:i w:val="0"/>
      <w:color w:val="161B22"/>
      <w:sz w:val="28"/>
      <w:szCs w:val="26"/>
    </w:rPr>
  </w:style>
  <w:style w:styleId="Heading3" w:type="paragraph">
    <w:name w:val="heading 3"/>
    <w:basedOn w:val="Normal"/>
    <w:next w:val="Normal"/>
    <w:link w:val="Heading3Char"/>
    <w:uiPriority w:val="9"/>
    <w:unhideWhenUsed/>
    <w:qFormat/>
    <w:rsid w:val="00FC693F"/>
    <w:pPr>
      <w:keepNext/>
      <w:keepLines/>
      <w:spacing w:after="80" w:before="320" w:line="264" w:lineRule="auto"/>
      <w:outlineLvl w:val="2"/>
    </w:pPr>
    <w:rPr>
      <w:rFonts w:ascii="Garamond" w:asciiTheme="majorHAnsi" w:cs="Garamond" w:cstheme="majorBidi" w:eastAsiaTheme="majorEastAsia" w:hAnsi="Garamond" w:hAnsiTheme="majorHAnsi"/>
      <w:b/>
      <w:bCs/>
      <w:i w:val="0"/>
      <w:color w:val="161B22"/>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before="0" w:line="240" w:lineRule="auto"/>
      <w:contextualSpacing/>
    </w:pPr>
    <w:rPr>
      <w:rFonts w:ascii="Garamond" w:asciiTheme="majorHAnsi" w:cs="Garamond" w:cstheme="majorBidi" w:eastAsiaTheme="majorEastAsia" w:hAnsi="Garamond" w:hAnsiTheme="majorHAnsi"/>
      <w:b/>
      <w:i w:val="0"/>
      <w:color w:val="1B3A6B"/>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keepNext w:val="0"/>
      <w:spacing w:after="400" w:before="40" w:line="264" w:lineRule="auto"/>
    </w:pPr>
    <w:rPr>
      <w:rFonts w:ascii="Garamond" w:cs="Garamond" w:hAnsi="Garamond"/>
      <w:b w:val="0"/>
      <w:bCs/>
      <w:i/>
      <w:color w:val="555555"/>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HTRTable" w:type="table">
    <w:name w:val="HTR Table"/>
    <w:basedOn w:val="TableNormal"/>
    <w:rPr>
      <w:rFonts w:ascii="Garamond" w:hAnsi="Garamond"/>
      <w:sz w:val="20"/>
    </w:rPr>
    <w:tblPr>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CellMar>
        <w:top w:type="dxa" w:w="60"/>
        <w:left w:type="dxa" w:w="100"/>
        <w:bottom w:type="dxa" w:w="60"/>
        <w:right w:type="dxa" w:w="100"/>
      </w:tblCellMar>
    </w:tblPr>
    <w:tblStylePr w:type="firstRow">
      <w:rPr>
        <w:b/>
        <w:color w:val="FFFFFF"/>
      </w:rPr>
      <w:tcPr>
        <w:shd w:color="auto" w:fill="1B3A6B" w:val="clear"/>
      </w:tcPr>
    </w:tblStylePr>
    <w:tblStylePr w:type="band1Horz">
      <w:tcPr>
        <w:shd w:color="auto" w:fill="F4F6F9" w:val="clear"/>
      </w:tcPr>
    </w:tblStylePr>
  </w:style>
  <w:style w:customStyle="1" w:styleId="CalloutWorked" w:type="paragraph">
    <w:name w:val="CalloutWorked"/>
    <w:pPr>
      <w:spacing w:after="80" w:before="0" w:line="288" w:lineRule="auto"/>
    </w:pPr>
    <w:rPr>
      <w:rFonts w:ascii="Garamond" w:cs="Garamond" w:hAnsi="Garamond"/>
      <w:b w:val="0"/>
      <w:i w:val="0"/>
      <w:color w:val="1A1A1A"/>
      <w:sz w:val="20"/>
    </w:rPr>
  </w:style>
  <w:style w:customStyle="1" w:styleId="CalloutBeyond" w:type="paragraph">
    <w:name w:val="CalloutBeyond"/>
    <w:pPr>
      <w:spacing w:after="80" w:before="0" w:line="288" w:lineRule="auto"/>
    </w:pPr>
    <w:rPr>
      <w:rFonts w:ascii="Garamond" w:cs="Garamond" w:hAnsi="Garamond"/>
      <w:b w:val="0"/>
      <w:i w:val="0"/>
      <w:color w:val="1A1A1A"/>
      <w:sz w:val="20"/>
    </w:rPr>
  </w:style>
  <w:style w:customStyle="1" w:styleId="CalloutTry" w:type="paragraph">
    <w:name w:val="CalloutTry"/>
    <w:pPr>
      <w:spacing w:after="80" w:before="0" w:line="288" w:lineRule="auto"/>
    </w:pPr>
    <w:rPr>
      <w:rFonts w:ascii="Garamond" w:cs="Garamond" w:hAnsi="Garamond"/>
      <w:b w:val="0"/>
      <w:i w:val="0"/>
      <w:color w:val="1A1A1A"/>
      <w:sz w:val="20"/>
    </w:rPr>
  </w:style>
  <w:style w:customStyle="1" w:styleId="CalloutKey" w:type="paragraph">
    <w:name w:val="CalloutKey"/>
    <w:pPr>
      <w:spacing w:after="80" w:before="0" w:line="288" w:lineRule="auto"/>
    </w:pPr>
    <w:rPr>
      <w:rFonts w:ascii="Garamond" w:cs="Garamond" w:hAnsi="Garamond"/>
      <w:b w:val="0"/>
      <w:i w:val="0"/>
      <w:color w:val="1A1A1A"/>
      <w:sz w:val="20"/>
    </w:rPr>
  </w:style>
  <w:style w:customStyle="1" w:styleId="CalloutVT" w:type="paragraph">
    <w:name w:val="CalloutVT"/>
    <w:pPr>
      <w:spacing w:after="80" w:before="0" w:line="288" w:lineRule="auto"/>
    </w:pPr>
    <w:rPr>
      <w:rFonts w:ascii="Garamond" w:cs="Garamond" w:hAnsi="Garamond"/>
      <w:b w:val="0"/>
      <w:i w:val="0"/>
      <w:color w:val="1A1A1A"/>
      <w:sz w:val="20"/>
    </w:rPr>
  </w:style>
  <w:style w:customStyle="1" w:styleId="StatStrip" w:type="paragraph">
    <w:name w:val="StatStrip"/>
    <w:pPr>
      <w:spacing w:after="80" w:before="0" w:line="288" w:lineRule="auto"/>
    </w:pPr>
    <w:rPr>
      <w:rFonts w:ascii="Garamond" w:cs="Garamond" w:hAnsi="Garamond"/>
      <w:b w:val="0"/>
      <w:i w:val="0"/>
      <w:color w:val="1A1A1A"/>
      <w:sz w:val="20"/>
    </w:rPr>
  </w:style>
  <w:style w:customStyle="1" w:styleId="PullQuote" w:type="paragraph">
    <w:name w:val="PullQuote"/>
    <w:pPr>
      <w:spacing w:after="80" w:before="0" w:line="288" w:lineRule="auto"/>
    </w:pPr>
    <w:rPr>
      <w:rFonts w:ascii="Garamond" w:cs="Garamond" w:hAnsi="Garamond"/>
      <w:b w:val="0"/>
      <w:i w:val="0"/>
      <w:color w:val="1A1A1A"/>
      <w:sz w:val="20"/>
    </w:rPr>
  </w:style>
  <w:style w:customStyle="1" w:styleId="QuoteAttr" w:type="paragraph">
    <w:name w:val="QuoteAttr"/>
    <w:pPr>
      <w:spacing w:after="80" w:before="0" w:line="288" w:lineRule="auto"/>
    </w:pPr>
    <w:rPr>
      <w:rFonts w:ascii="Garamond" w:cs="Garamond" w:hAnsi="Garamond"/>
      <w:b w:val="0"/>
      <w:i w:val="0"/>
      <w:color w:val="1A1A1A"/>
      <w:sz w:val="20"/>
    </w:rPr>
  </w:style>
  <w:style w:customStyle="1" w:styleId="Banner" w:type="paragraph">
    <w:name w:val="Banner"/>
    <w:pPr>
      <w:spacing w:after="80" w:before="0" w:line="288" w:lineRule="auto"/>
    </w:pPr>
    <w:rPr>
      <w:rFonts w:ascii="Garamond" w:cs="Garamond" w:hAnsi="Garamond"/>
      <w:b w:val="0"/>
      <w:i w:val="0"/>
      <w:color w:val="1A1A1A"/>
      <w:sz w:val="20"/>
    </w:rPr>
  </w:style>
  <w:style w:customStyle="1" w:styleId="DepMap" w:type="paragraph">
    <w:name w:val="DepMap"/>
    <w:pPr>
      <w:spacing w:after="80" w:before="0" w:line="288" w:lineRule="auto"/>
    </w:pPr>
    <w:rPr>
      <w:rFonts w:ascii="Garamond" w:cs="Garamond" w:hAnsi="Garamond"/>
      <w:b w:val="0"/>
      <w:i w:val="0"/>
      <w:color w:val="1A1A1A"/>
      <w:sz w:val="20"/>
    </w:rPr>
  </w:style>
  <w:style w:customStyle="1" w:styleId="PartDivider" w:type="paragraph">
    <w:name w:val="PartDivider"/>
    <w:pPr>
      <w:spacing w:after="80" w:before="0" w:line="288" w:lineRule="auto"/>
    </w:pPr>
    <w:rPr>
      <w:rFonts w:ascii="Garamond" w:cs="Garamond" w:hAnsi="Garamond"/>
      <w:b w:val="0"/>
      <w:i w:val="0"/>
      <w:color w:val="1A1A1A"/>
      <w:sz w:val="20"/>
    </w:rPr>
  </w:style>
  <w:style w:customStyle="1" w:styleId="Epigraph" w:type="paragraph">
    <w:name w:val="Epigraph"/>
    <w:pPr>
      <w:spacing w:after="280" w:before="200" w:line="312" w:lineRule="auto"/>
      <w:ind w:left="720" w:right="720"/>
    </w:pPr>
    <w:rPr>
      <w:rFonts w:ascii="Garamond" w:cs="Garamond" w:hAnsi="Garamond"/>
      <w:b w:val="0"/>
      <w:i/>
      <w:color w:val="3B4A5E"/>
      <w:sz w:val="22"/>
    </w:rPr>
  </w:style>
  <w:style w:customStyle="1" w:styleId="TOC1" w:type="paragraph">
    <w:name w:val="TOC 1"/>
    <w:pPr>
      <w:tabs>
        <w:tab w:leader="dot" w:pos="9360" w:val="right"/>
      </w:tabs>
      <w:spacing w:after="40" w:before="160" w:line="252" w:lineRule="auto"/>
      <w:ind w:left="0"/>
    </w:pPr>
    <w:rPr>
      <w:rFonts w:ascii="Garamond" w:cs="Garamond" w:hAnsi="Garamond"/>
      <w:b/>
      <w:i w:val="0"/>
      <w:color w:val="1A1A1A"/>
      <w:sz w:val="23"/>
    </w:rPr>
  </w:style>
  <w:style w:customStyle="1" w:styleId="TOC2" w:type="paragraph">
    <w:name w:val="TOC 2"/>
    <w:pPr>
      <w:tabs>
        <w:tab w:leader="dot" w:pos="9360" w:val="right"/>
      </w:tabs>
      <w:spacing w:after="40" w:before="0" w:line="252" w:lineRule="auto"/>
      <w:ind w:left="504"/>
    </w:pPr>
    <w:rPr>
      <w:rFonts w:ascii="Garamond" w:cs="Garamond" w:hAnsi="Garamond"/>
      <w:b w:val="0"/>
      <w:i w:val="0"/>
      <w:color w:val="1A1A1A"/>
      <w:sz w:val="22"/>
    </w:rPr>
  </w:style>
  <w:style w:customStyle="1" w:styleId="TOC3" w:type="paragraph">
    <w:name w:val="TOC 3"/>
    <w:pPr>
      <w:tabs>
        <w:tab w:leader="dot" w:pos="9360" w:val="right"/>
      </w:tabs>
      <w:spacing w:after="40" w:before="0" w:line="252" w:lineRule="auto"/>
      <w:ind w:left="1008"/>
    </w:pPr>
    <w:rPr>
      <w:rFonts w:ascii="Garamond" w:cs="Garamond" w:hAnsi="Garamond"/>
      <w:b w:val="0"/>
      <w:i w:val="0"/>
      <w:color w:val="1A1A1A"/>
      <w:sz w:val="2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hyperlink" Target="https://healthtransformationreview.org" TargetMode="External"/><Relationship Id="rId479" Type="http://schemas.openxmlformats.org/officeDocument/2006/relationships/hyperlink" Target="https://healthtransformationreview.org/about/framework" TargetMode="External"/><Relationship Id="rId22"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0"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26" Type="http://schemas.openxmlformats.org/officeDocument/2006/relationships/hyperlink" Target="https://healthtransformationreview.org/hti-dashboard" TargetMode="External"/><Relationship Id="rId43" Type="http://schemas.openxmlformats.org/officeDocument/2006/relationships/hyperlink" Target="https://healthtransformationreview.org/htr-simulator" TargetMode="External"/><Relationship Id="rId462" Type="http://schemas.openxmlformats.org/officeDocument/2006/relationships/hyperlink" Target="https://healthtransformationreview.org/investment-tracker" TargetMode="External"/><Relationship Id="rId23" Type="http://schemas.openxmlformats.org/officeDocument/2006/relationships/hyperlink" Target="https://healthtransformationreview.org/research-lab" TargetMode="External"/><Relationship Id="rId407" Type="http://schemas.openxmlformats.org/officeDocument/2006/relationships/hyperlink" Target="https://healthtransformationreview.org/research-lab/knowledge-workspace?tab=evidence" TargetMode="External"/><Relationship Id="rId427" Type="http://schemas.openxmlformats.org/officeDocument/2006/relationships/hyperlink" Target="https://healthtransformationreview.org/research-lab/knowledge-workspace?tab=leaderboard" TargetMode="External"/><Relationship Id="rId408" Type="http://schemas.openxmlformats.org/officeDocument/2006/relationships/hyperlink" Target="https://healthtransformationreview.org/research-lab/knowledge-workspace?tab=workspace"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428" Type="http://schemas.openxmlformats.org/officeDocument/2006/relationships/hyperlink" Target="https://healthtransformationreview.org/the-wire"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 Id="rId9" Type="http://schemas.openxmlformats.org/officeDocument/2006/relationships/image" Target="media/image1.png"/><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21" Type="http://schemas.openxmlformats.org/officeDocument/2006/relationships/hyperlink" Target="https://healthtransformationreview.org" TargetMode="External"/><Relationship Id="rId479" Type="http://schemas.openxmlformats.org/officeDocument/2006/relationships/hyperlink" Target="https://healthtransformationreview.org/about/framework" TargetMode="External"/><Relationship Id="rId22"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0"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26" Type="http://schemas.openxmlformats.org/officeDocument/2006/relationships/hyperlink" Target="https://healthtransformationreview.org/hti-dashboard" TargetMode="External"/><Relationship Id="rId43" Type="http://schemas.openxmlformats.org/officeDocument/2006/relationships/hyperlink" Target="https://healthtransformationreview.org/htr-simulator" TargetMode="External"/><Relationship Id="rId462" Type="http://schemas.openxmlformats.org/officeDocument/2006/relationships/hyperlink" Target="https://healthtransformationreview.org/investment-tracker" TargetMode="External"/><Relationship Id="rId23" Type="http://schemas.openxmlformats.org/officeDocument/2006/relationships/hyperlink" Target="https://healthtransformationreview.org/research-lab" TargetMode="External"/><Relationship Id="rId407" Type="http://schemas.openxmlformats.org/officeDocument/2006/relationships/hyperlink" Target="https://healthtransformationreview.org/research-lab/knowledge-workspace?tab=evidence" TargetMode="External"/><Relationship Id="rId427" Type="http://schemas.openxmlformats.org/officeDocument/2006/relationships/hyperlink" Target="https://healthtransformationreview.org/research-lab/knowledge-workspace?tab=leaderboard" TargetMode="External"/><Relationship Id="rId408" Type="http://schemas.openxmlformats.org/officeDocument/2006/relationships/hyperlink" Target="https://healthtransformationreview.org/research-lab/knowledge-workspace?tab=workspace"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428" Type="http://schemas.openxmlformats.org/officeDocument/2006/relationships/hyperlink" Target="https://healthtransformationreview.org/the-wire"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2026-08-05T18:23:54Z</dcterms:created>
  <dcterms:modified xsi:type="dcterms:W3CDTF">2026-08-05T18:23:54Z</dcterms:modified>
</cp:coreProperties>
</file>

<file path=docProps/custom.xml><?xml version="1.0" encoding="utf-8"?>
<Properties xmlns="http://schemas.openxmlformats.org/officeDocument/2006/custom-properties" xmlns:vt="http://schemas.openxmlformats.org/officeDocument/2006/docPropsVTypes"/>
</file>