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3178522"/>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3178522"/>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 — Equity Measurement</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 — Revenue Cycle and Coding</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Caption"/>
      </w:pPr>
      <w:r>
        <w:rPr>
          <w:i/>
          <w:iCs/>
        </w:rP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7.3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7.4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7.5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7.6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10.7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10.8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10.9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10.10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 — Equity Measurement</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 — Revenue Cycle and Coding</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5.H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Caption"/>
      </w:pPr>
      <w:r>
        <w:t xml:space="preserve">Figure 7.3 — Economics pillar implementation matrix. Sources: HTR Research Lab; Oliver Wyman Act 167 Report; Vermont AHEAD documentation.</w:t>
      </w:r>
    </w:p>
    <w:p>
      <w:pPr>
        <w:pStyle w:val="Caption"/>
      </w:pPr>
      <w:r>
        <w:t xml:space="preserve">Figure 7.4 — APM contract review framework: provisions and key questions. Source: HTR Advisory framework.</w:t>
      </w:r>
    </w:p>
    <w:p>
      <w:pPr>
        <w:pStyle w:val="Caption"/>
      </w:pPr>
      <w:r>
        <w:t xml:space="preserve">Figure 7.5 — Financial metrics transformation: FFS versus global budget environment. Source: HTR’s Economics pillar framework.</w:t>
      </w:r>
    </w:p>
    <w:p>
      <w:pPr>
        <w:pStyle w:val="Caption"/>
      </w:pPr>
      <w:r>
        <w:t xml:space="preserve">Figure 7.6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8.H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9.H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Equity pillar implementation matrix. Sources: Vermont Department of Health Health Equity Data Report (January 2025); Act 68 of 2025.</w:t>
      </w:r>
    </w:p>
    <w:p>
      <w:pPr>
        <w:pStyle w:val="Caption"/>
      </w:pPr>
      <w:r>
        <w:t xml:space="preserve">Figure 10.9 — Five-step disparity closure process with Vermont applications. Source: HTR’s Health Equity Studio methodology.</w:t>
      </w:r>
    </w:p>
    <w:p>
      <w:pPr>
        <w:pStyle w:val="Caption"/>
      </w:pPr>
      <w:r>
        <w:t xml:space="preserve">Figure 10.10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2026-08-04T21:56:22Z</dcterms:created>
  <dcterms:modified xsi:type="dcterms:W3CDTF">2026-08-04T21:56:22Z</dcterms:modified>
</cp:coreProperties>
</file>

<file path=docProps/custom.xml><?xml version="1.0" encoding="utf-8"?>
<Properties xmlns="http://schemas.openxmlformats.org/officeDocument/2006/custom-properties" xmlns:vt="http://schemas.openxmlformats.org/officeDocument/2006/docPropsVTypes"/>
</file>