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Congressional Budget Office analysis found that CMMI’s first decade of models increased net federal spending by $5.4 billion rather than producing savings, and by January 2025 only four of the 70 models CMMI had tested had been expanded nationwide (GAO). Most models were discontinued. CMMI’s more recent designs — ACO REACH (formerly Direct Contracting), AHEAD, the Making Care Primary model — were built around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participation from as early as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from 2022 CMS approved 1115 waivers that use Medicaid funds for health-related social needs services, including housing supports, food assistance, and transportation, for enrollees at risk of institutionalization or with complex social needs. In March 2025 CMS rescinded its HRSN guidance: existing approvals stand, and new requests are considered case by case.</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January 2025 1115 amendment authorizes HRSN housing services — housing supports, medically necessary home remediation, and short-term rent and medical respite for homeless enrollees — so that social-needs screening can connect patients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a January 2025 amendment added HRSN housing services, while CMS and the state were still working on the authority for a Medicaid global budget.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moving before that negotiation is finished: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by voice vote in 2022 but died in the Senate and never became law. CMS achieved much of its substance through rulemaking instead: its 2024 prior authorization rule requires Medicare Advantage, Medicaid, CHIP and federal-exchange plans, from 2026,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its system map links long approval processes to cost-effective contracts that cannot be secured, and its recommendations call for further simplifying prior authorization, the CON process, and Medicaid billing.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(rule in 2027, maximum rates from FY2028);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federal Medicaid cuts over 10 years (CBO estimate).</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for expansion adults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all states; phase-down of existing taxes in expansion states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from FY2028 (October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FY2032</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New payments on enactment; existing payments from 2028</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Any Vermont hospital receiving state-directed supplemental payments faces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Combined Medicaid funding reductions (all provisions above)</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Oliver Wyman had already projected 5-year cumulative deficits for Vermont’s hospitals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generally take effect 30 to 60 days after publication, and proposed rules typically open a 30- to 60-day comment period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applies it within a three-phase engagement (Chapter 12), but its four steps can be applied internally — and are built into the Research Lab’s Policy Impact Assessment Framework:</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 one or more hospitals from hospital FY2028, all by FY2030, to the extent resources are available.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this book proposes (Chapter 16) — before performance accountability begins. Appropriating for them is not optional; it is the enabling condition for the global budgets Act 68 requires.</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independent hospitals and providers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