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4394423" cy="4343399"/>
            <wp:docPr id="67" name="Picture 67"/>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94423" cy="434339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p>
      <w:pPr>
        <w:spacing w:after="120"/>
      </w:pPr>
    </w:p>
    <w:p>
      <w:pPr>
        <w:pStyle w:val="CaptionedFigure"/>
        <w:jc w:val="center"/>
      </w:pPr>
      <w:r>
        <w:drawing>
          <wp:inline>
            <wp:extent cx="4208074" cy="2348692"/>
            <wp:effectExtent b="0" l="0" r="0" t="0"/>
            <wp:docPr descr="The architecture of interdependency: a six-by-six matrix of the fifteen dependency relationships between the pillars, read From-row to To-column." title="" id="65" name="Picture"/>
            <a:graphic>
              <a:graphicData uri="http://schemas.openxmlformats.org/drawingml/2006/picture">
                <pic:pic>
                  <pic:nvPicPr>
                    <pic:cNvPr descr="book-build/figures/fig_1_3_interdependency.png" id="66" name="Picture"/>
                    <pic:cNvPicPr>
                      <a:picLocks noChangeArrowheads="1" noChangeAspect="1"/>
                    </pic:cNvPicPr>
                  </pic:nvPicPr>
                  <pic:blipFill>
                    <a:blip r:embed="rId64"/>
                    <a:stretch>
                      <a:fillRect/>
                    </a:stretch>
                  </pic:blipFill>
                  <pic:spPr bwMode="auto">
                    <a:xfrm>
                      <a:off x="0" y="0"/>
                      <a:ext cx="4208074" cy="2348692"/>
                    </a:xfrm>
                    <a:prstGeom prst="rect">
                      <a:avLst/>
                    </a:prstGeom>
                    <a:noFill/>
                    <a:ln w="9525">
                      <a:noFill/>
                      <a:headEnd/>
                      <a:tailEnd/>
                    </a:ln>
                  </pic:spPr>
                </pic:pic>
              </a:graphicData>
            </a:graphic>
          </wp:inline>
        </w:drawing>
      </w:r>
    </w:p>
    <w:p>
      <w:pPr>
        <w:pStyle w:val="ImageCaption"/>
      </w:pPr>
      <w:r>
        <w:t xml:space="preserve">The architecture of interdependency: a six-by-six matrix of the fifteen dependency relationships between the pillars, read From-row to To-column.</w:t>
      </w:r>
    </w:p>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92">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140" w:type="dxa"/>
          </w:tcPr>
          <w:p>
            <w:pPr>
              <w:pStyle w:val="Compact"/>
              <w:jc w:val="left"/>
            </w:pPr>
            <w:r>
              <w:rPr>
                <w:b/>
                <w:bCs/>
                <w:sz w:val="18"/>
              </w:rPr>
              <w:t xml:space="preserve">Equity</w:t>
            </w:r>
          </w:p>
        </w:tc>
        <w:tc>
          <w:tcPr>
            <w:tcW w:w="1185" w:type="dxa"/>
          </w:tcPr>
          <w:p>
            <w:pPr>
              <w:pStyle w:val="Compact"/>
              <w:jc w:val="left"/>
            </w:pPr>
            <w:r>
              <w:rPr>
                <w:sz w:val="18"/>
              </w:rPr>
              <w:t xml:space="preserve">Throughout (2025–2028)</w:t>
            </w:r>
          </w:p>
        </w:tc>
        <w:tc>
          <w:tcPr>
            <w:tcW w:w="67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15 dependency relationships between the six pillars and see which downstream pillars a given gap disables</w:t>
            </w:r>
          </w:p>
        </w:tc>
        <w:tc>
          <w:tcPr>
            <w:tcW w:w="273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six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92">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five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4.9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6.13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7.7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10.7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10.8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10.9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10.10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10.11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six-pillar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11.8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11.9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11.10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10">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11">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six-pillar status as it moves, rather than at the single April 2026 snapshot this chapter reports</w:t>
            </w:r>
          </w:p>
        </w:tc>
        <w:tc>
          <w:tcPr>
            <w:tcW w:w="2736" w:type="dxa"/>
          </w:tcPr>
          <w:p>
            <w:pPr>
              <w:pStyle w:val="Compact"/>
              <w:jc w:val="left"/>
            </w:pPr>
            <w:hyperlink r:id="rId429">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30">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31">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six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31">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92">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92">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65">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six-pillar status of a transformation move over time rather than at a single reporting date</w:t>
            </w:r>
          </w:p>
        </w:tc>
        <w:tc>
          <w:tcPr>
            <w:tcW w:w="2736" w:type="dxa"/>
          </w:tcPr>
          <w:p>
            <w:pPr>
              <w:pStyle w:val="Compact"/>
              <w:jc w:val="left"/>
            </w:pPr>
            <w:hyperlink r:id="rId429">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six-pillar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92">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six pillars and check for uncovered functions</w:t>
            </w:r>
          </w:p>
        </w:tc>
        <w:tc>
          <w:tcPr>
            <w:tcW w:w="2736" w:type="dxa"/>
          </w:tcPr>
          <w:p>
            <w:pPr>
              <w:pStyle w:val="Compact"/>
              <w:jc w:val="left"/>
            </w:pPr>
            <w:hyperlink r:id="rId482">
              <w:r>
                <w:rPr>
                  <w:rStyle w:val="Hyperlink"/>
                  <w:b/>
                  <w:bCs/>
                </w:rPr>
                <w:t xml:space="preserve">Six-Pillar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9">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16.7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4.9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6.13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7.7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Hands-on platform tools for the Equity Pillar.</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Equity pillar implementation matrix. Sources: Vermont Department of Health Health Equity Data Report (January 2025); Act 68 of 2025.</w:t>
      </w:r>
    </w:p>
    <w:p>
      <w:pPr>
        <w:pStyle w:val="Caption"/>
      </w:pPr>
      <w:r>
        <w:t xml:space="preserve">Figure 10.10 — Five-step disparity closure process with Vermont applications. Source: HTR’s Health Equity Studio methodology.</w:t>
      </w:r>
    </w:p>
    <w:p>
      <w:pPr>
        <w:pStyle w:val="Caption"/>
      </w:pPr>
      <w:r>
        <w:t xml:space="preserve">Figure 10.11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Hands-on platform tools for the Operations Pillar.</w:t>
      </w:r>
    </w:p>
    <w:p>
      <w:pPr>
        <w:pStyle w:val="Caption"/>
      </w:pPr>
      <w:r>
        <w:t xml:space="preserve">Figure 11.9 — Attribution error taxonomy and remediation. Source: HTR’s Operations pillar framework; ACO REACH and MSSP operational guidance.</w:t>
      </w:r>
    </w:p>
    <w:p>
      <w:pPr>
        <w:pStyle w:val="Caption"/>
      </w:pPr>
      <w:r>
        <w:t xml:space="preserve">Figure 11.10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16.7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4" Type="http://schemas.openxmlformats.org/officeDocument/2006/relationships/image" Target="media/rId64.png"/><Relationship Id="rId21" Type="http://schemas.openxmlformats.org/officeDocument/2006/relationships/hyperlink" Target="https://healthtransformationreview.org" TargetMode="External"/><Relationship Id="rId482"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9"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5"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10" Type="http://schemas.openxmlformats.org/officeDocument/2006/relationships/hyperlink" Target="https://healthtransformationreview.org/research-lab/knowledge-workspace?tab=evidence" TargetMode="External"/><Relationship Id="rId430" Type="http://schemas.openxmlformats.org/officeDocument/2006/relationships/hyperlink" Target="https://healthtransformationreview.org/research-lab/knowledge-workspace?tab=leaderboard" TargetMode="External"/><Relationship Id="rId411"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31" Type="http://schemas.openxmlformats.org/officeDocument/2006/relationships/hyperlink" Target="https://healthtransformationreview.org/the-wire" TargetMode="External"/><Relationship Id="rId92"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82"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9"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5"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10" Type="http://schemas.openxmlformats.org/officeDocument/2006/relationships/hyperlink" Target="https://healthtransformationreview.org/research-lab/knowledge-workspace?tab=evidence" TargetMode="External"/><Relationship Id="rId430" Type="http://schemas.openxmlformats.org/officeDocument/2006/relationships/hyperlink" Target="https://healthtransformationreview.org/research-lab/knowledge-workspace?tab=leaderboard" TargetMode="External"/><Relationship Id="rId411"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31" Type="http://schemas.openxmlformats.org/officeDocument/2006/relationships/hyperlink" Target="https://healthtransformationreview.org/the-wire" TargetMode="External"/><Relationship Id="rId92"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2026-08-05T22:09:47Z</dcterms:created>
  <dcterms:modified xsi:type="dcterms:W3CDTF">2026-08-05T22:09:47Z</dcterms:modified>
</cp:coreProperties>
</file>

<file path=docProps/custom.xml><?xml version="1.0" encoding="utf-8"?>
<Properties xmlns="http://schemas.openxmlformats.org/officeDocument/2006/custom-properties" xmlns:vt="http://schemas.openxmlformats.org/officeDocument/2006/docPropsVTypes"/>
</file>