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cantSplit/>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cantSplit/>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cantSplit/>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cantSplit/>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cantSplit/>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cantSplit/>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cantSplit/>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cantSplit/>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cantSplit/>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cantSplit/>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cantSplit/>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cantSplit/>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cantSplit/>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cantSplit/>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cantSplit/>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six pillars of transformation — Policy, Technology, Economics, Clinical, Equity, and Operations — are often presented as simultaneous imperatives. Each is necessary. Each depends on the others. Remove any one and the system fails. This is true. But it obscures the practical question every reform architect must answer before a dollar is spent: in what order do you actually build this?</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cantSplit/>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cantSplit/>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 The choice is not between a smooth voluntary process and a contentious mandatory one. It is between a process that produces structural change — contentiously — and one that produces durable accommodation of the status quo — smoothly. 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 A hospital that redesigns its administrative operations before its payment model is live will optimize for a fee-for-service world that the reform is designed to replace.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cantSplit/>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cantSplit/>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cantSplit/>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cantSplit/>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The six-stage sequence is the</w:t>
      </w:r>
      <w:r>
        <w:t xml:space="preserve"> </w:t>
      </w:r>
      <w:r>
        <w:rPr>
          <w:i/>
          <w:iCs/>
        </w:rPr>
        <w:t xml:space="preserve">what</w:t>
      </w:r>
      <w:r>
        <w:t xml:space="preserve">. Applying it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 </w:t>
      </w:r>
      <w:r>
        <w:t xml:space="preserve">— prerequisites that must be in place before the next investment can be productive. Vermont’s critical-path sequence for AHEAD implementation: the Policy gate closed in June 2025 when Act 68 established mandatory RBP (FY2027) and global budgets (FY2028). All Vermont hospitals are now in the mandatory architecture. The Technology gate — VHCURES analytics, HCC gap closure, attribution modeling — must be operational before the January 2028 AHEAD performance year begins. This is the current critical bottleneck. The Economics gate (global budget contracts set by GMCB for FY2028) opens after the Technology gate is complete. The Clinical gate (clinical programs generating utilization reduction at scale)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being opened (analytics capability deployment, VHCURES integration), parallel work proceeds on Equity design (social risk adjustment methodology for global budgets), Operations capacity building (RHRC hospital transformation planning, AHS PMO establishment), and Clinical infrastructure (Blueprint PCMH expansion, CCBHC certifications). None of this parallel work depends on the Technology gate being open — it can proceed simultaneously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you cannot buy your way past a closed gate.</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cantSplit/>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cantSplit/>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cantSplit/>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w:t>
            </w:r>
          </w:p>
        </w:tc>
      </w:tr>
      <w:tr>
        <w:trPr>
          <w:cantSplit/>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 the Technology gate is partially open but not fully operational.</w:t>
            </w:r>
          </w:p>
        </w:tc>
      </w:tr>
      <w:tr>
        <w:trPr>
          <w:cantSplit/>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cantSplit/>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do not depend on the Technology or Economics gates being open to begin.</w:t>
            </w:r>
          </w:p>
        </w:tc>
      </w:tr>
      <w:tr>
        <w:trPr>
          <w:cantSplit/>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cantSplit/>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does not depend on any upstream gate opening.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2"/>
              </w:numPr>
              <w:spacing w:after="60" w:line="264" w:lineRule="auto"/>
            </w:pPr>
            <w:r>
              <w:rPr>
                <w:sz w:val="20"/>
                <w:szCs w:val="20"/>
              </w:rPr>
              <w:t xml:space="preserve">9 of 14 Vermont hospitals reported operating losses in FY2023, with losses reaching -8.9%</w:t>
            </w:r>
          </w:p>
          <w:p>
            <w:pPr>
              <w:numPr>
                <w:ilvl w:val="0"/>
                <w:numId w:val="1002"/>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2"/>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2"/>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2"/>
              </w:numPr>
              <w:spacing w:after="60" w:line="264" w:lineRule="auto"/>
            </w:pPr>
            <w:r>
              <w:rPr>
                <w:sz w:val="20"/>
                <w:szCs w:val="20"/>
              </w:rPr>
              <w:t xml:space="preserve">UVM Health Network alone faces $1.5B cumulative deficit over 5 years under the high-expense scenario</w:t>
            </w:r>
          </w:p>
          <w:p>
            <w:pPr>
              <w:numPr>
                <w:ilvl w:val="0"/>
                <w:numId w:val="1002"/>
              </w:numPr>
              <w:spacing w:after="60" w:line="264" w:lineRule="auto"/>
            </w:pPr>
            <w:r>
              <w:rPr>
                <w:sz w:val="20"/>
                <w:szCs w:val="20"/>
              </w:rPr>
              <w:t xml:space="preserve">Average silver exchange plan premium reached $985 in 2024 — a 108% increase in 6 years</w:t>
            </w:r>
          </w:p>
          <w:p>
            <w:pPr>
              <w:numPr>
                <w:ilvl w:val="0"/>
                <w:numId w:val="1002"/>
              </w:numPr>
              <w:spacing w:after="60" w:line="264" w:lineRule="auto"/>
            </w:pPr>
            <w:r>
              <w:rPr>
                <w:sz w:val="20"/>
                <w:szCs w:val="20"/>
              </w:rPr>
              <w:t xml:space="preserve">Out-of-pocket maximums more than doubled in 5 years</w:t>
            </w:r>
          </w:p>
          <w:p>
            <w:pPr>
              <w:numPr>
                <w:ilvl w:val="0"/>
                <w:numId w:val="1002"/>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cantSplit/>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cantSplit/>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3"/>
              </w:numPr>
              <w:spacing w:after="60" w:line="264" w:lineRule="auto"/>
            </w:pPr>
            <w:r>
              <w:rPr>
                <w:sz w:val="20"/>
                <w:szCs w:val="20"/>
              </w:rPr>
              <w:t xml:space="preserve">Remove barriers to building affordable housing for Vermont residents and newcomers</w:t>
            </w:r>
          </w:p>
          <w:p>
            <w:pPr>
              <w:numPr>
                <w:ilvl w:val="0"/>
                <w:numId w:val="1003"/>
              </w:numPr>
              <w:spacing w:after="60" w:line="264" w:lineRule="auto"/>
            </w:pPr>
            <w:r>
              <w:rPr>
                <w:sz w:val="20"/>
                <w:szCs w:val="20"/>
              </w:rPr>
              <w:t xml:space="preserve">Approve funding for EMS transformation</w:t>
            </w:r>
          </w:p>
          <w:p>
            <w:pPr>
              <w:numPr>
                <w:ilvl w:val="0"/>
                <w:numId w:val="1003"/>
              </w:numPr>
              <w:spacing w:after="60" w:line="264" w:lineRule="auto"/>
            </w:pPr>
            <w:r>
              <w:rPr>
                <w:sz w:val="20"/>
                <w:szCs w:val="20"/>
              </w:rPr>
              <w:t xml:space="preserve">Expand broadband coverage to rural areas</w:t>
            </w:r>
          </w:p>
          <w:p>
            <w:pPr>
              <w:numPr>
                <w:ilvl w:val="0"/>
                <w:numId w:val="1003"/>
              </w:numPr>
              <w:spacing w:after="60" w:line="264" w:lineRule="auto"/>
            </w:pPr>
            <w:r>
              <w:rPr>
                <w:sz w:val="20"/>
                <w:szCs w:val="20"/>
              </w:rPr>
              <w:t xml:space="preserve">Review existing AHS agency structure and program list to identify overlaps and efficiency opportunities</w:t>
            </w:r>
          </w:p>
          <w:p>
            <w:pPr>
              <w:numPr>
                <w:ilvl w:val="0"/>
                <w:numId w:val="1003"/>
              </w:numPr>
              <w:spacing w:after="60" w:line="264" w:lineRule="auto"/>
            </w:pPr>
            <w:r>
              <w:rPr>
                <w:sz w:val="20"/>
                <w:szCs w:val="20"/>
              </w:rPr>
              <w:t xml:space="preserve">Develop state regulations for Rural Emergency Hospital and free-standing birthing center designations</w:t>
            </w:r>
          </w:p>
          <w:p>
            <w:pPr>
              <w:numPr>
                <w:ilvl w:val="0"/>
                <w:numId w:val="1003"/>
              </w:numPr>
              <w:spacing w:after="60" w:line="264" w:lineRule="auto"/>
            </w:pPr>
            <w:r>
              <w:rPr>
                <w:sz w:val="20"/>
                <w:szCs w:val="20"/>
              </w:rPr>
              <w:t xml:space="preserve">Expand professional licensure and practice scope for nurses, EMTs, and pharmacists</w:t>
            </w:r>
          </w:p>
          <w:p>
            <w:pPr>
              <w:numPr>
                <w:ilvl w:val="0"/>
                <w:numId w:val="1003"/>
              </w:numPr>
              <w:spacing w:after="60" w:line="264" w:lineRule="auto"/>
            </w:pPr>
            <w:r>
              <w:rPr>
                <w:sz w:val="20"/>
                <w:szCs w:val="20"/>
              </w:rPr>
              <w:t xml:space="preserve">Regionalize specialty care services across hospitals</w:t>
            </w:r>
          </w:p>
          <w:p>
            <w:pPr>
              <w:numPr>
                <w:ilvl w:val="0"/>
                <w:numId w:val="1003"/>
              </w:numPr>
              <w:spacing w:after="60" w:line="264" w:lineRule="auto"/>
            </w:pPr>
            <w:r>
              <w:rPr>
                <w:sz w:val="20"/>
                <w:szCs w:val="20"/>
              </w:rPr>
              <w:t xml:space="preserve">Professionalize and regionalize EMS</w:t>
            </w:r>
          </w:p>
          <w:p>
            <w:pPr>
              <w:numPr>
                <w:ilvl w:val="0"/>
                <w:numId w:val="1003"/>
              </w:numPr>
              <w:spacing w:after="60" w:line="264" w:lineRule="auto"/>
            </w:pPr>
            <w:r>
              <w:rPr>
                <w:sz w:val="20"/>
                <w:szCs w:val="20"/>
              </w:rPr>
              <w:t xml:space="preserve">Improve care coordination for heavy utilizers — elderly, mental health, neuro-divergent, and foster care populations</w:t>
            </w:r>
          </w:p>
          <w:p>
            <w:pPr>
              <w:numPr>
                <w:ilvl w:val="0"/>
                <w:numId w:val="1003"/>
              </w:numPr>
              <w:spacing w:after="60" w:line="264" w:lineRule="auto"/>
            </w:pPr>
            <w:r>
              <w:rPr>
                <w:sz w:val="20"/>
                <w:szCs w:val="20"/>
              </w:rPr>
              <w:t xml:space="preserve">Develop dual-eligible targeting, care planning, and coordination</w:t>
            </w:r>
          </w:p>
          <w:p>
            <w:pPr>
              <w:numPr>
                <w:ilvl w:val="0"/>
                <w:numId w:val="1003"/>
              </w:numPr>
              <w:spacing w:after="60" w:line="264" w:lineRule="auto"/>
            </w:pPr>
            <w:r>
              <w:rPr>
                <w:sz w:val="20"/>
                <w:szCs w:val="20"/>
              </w:rPr>
              <w:t xml:space="preserve">Coordinate and optimize statewide electronic medical record systems</w:t>
            </w:r>
          </w:p>
          <w:p>
            <w:pPr>
              <w:numPr>
                <w:ilvl w:val="0"/>
                <w:numId w:val="1003"/>
              </w:numPr>
              <w:spacing w:after="60" w:line="264" w:lineRule="auto"/>
            </w:pPr>
            <w:r>
              <w:rPr>
                <w:sz w:val="20"/>
                <w:szCs w:val="20"/>
              </w:rPr>
              <w:t xml:space="preserve">Permit no further increases in commercial subsidization for hospital financial shortfalls</w:t>
            </w:r>
          </w:p>
          <w:p>
            <w:pPr>
              <w:numPr>
                <w:ilvl w:val="0"/>
                <w:numId w:val="1003"/>
              </w:numPr>
              <w:spacing w:after="60" w:line="264" w:lineRule="auto"/>
            </w:pPr>
            <w:r>
              <w:rPr>
                <w:sz w:val="20"/>
                <w:szCs w:val="20"/>
              </w:rPr>
              <w:t xml:space="preserve">Refrain from licensing any further hospital-based outpatient department units</w:t>
            </w:r>
          </w:p>
          <w:p>
            <w:pPr>
              <w:numPr>
                <w:ilvl w:val="0"/>
                <w:numId w:val="1003"/>
              </w:numPr>
              <w:spacing w:after="60" w:line="264" w:lineRule="auto"/>
            </w:pPr>
            <w:r>
              <w:rPr>
                <w:sz w:val="20"/>
                <w:szCs w:val="20"/>
              </w:rPr>
              <w:t xml:space="preserve">Simplify and shorten the Certificate of Need process</w:t>
            </w:r>
          </w:p>
          <w:p>
            <w:pPr>
              <w:numPr>
                <w:ilvl w:val="0"/>
                <w:numId w:val="1003"/>
              </w:numPr>
              <w:spacing w:after="60" w:line="264" w:lineRule="auto"/>
            </w:pPr>
            <w:r>
              <w:rPr>
                <w:sz w:val="20"/>
                <w:szCs w:val="20"/>
              </w:rPr>
              <w:t xml:space="preserve">Encourage free-standing diagnostic, ambulatory surgical, and birthing centers</w:t>
            </w:r>
          </w:p>
          <w:p>
            <w:pPr>
              <w:numPr>
                <w:ilvl w:val="0"/>
                <w:numId w:val="1003"/>
              </w:numPr>
              <w:spacing w:after="60" w:line="264" w:lineRule="auto"/>
            </w:pPr>
            <w:r>
              <w:rPr>
                <w:sz w:val="20"/>
                <w:szCs w:val="20"/>
              </w:rPr>
              <w:t xml:space="preserve">Begin movement to reference-based pricing, ideally at 200% of Medicare or less for PPS hospitals</w:t>
            </w:r>
          </w:p>
          <w:p>
            <w:pPr>
              <w:numPr>
                <w:ilvl w:val="0"/>
                <w:numId w:val="1003"/>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4"/>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4"/>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4"/>
              </w:numPr>
              <w:spacing w:after="60" w:line="264" w:lineRule="auto"/>
            </w:pPr>
            <w:r>
              <w:rPr>
                <w:sz w:val="20"/>
                <w:szCs w:val="20"/>
              </w:rPr>
              <w:t xml:space="preserve">Reduce costs through synergies — shared services and staff across individual hospitals</w:t>
            </w:r>
          </w:p>
          <w:p>
            <w:pPr>
              <w:numPr>
                <w:ilvl w:val="0"/>
                <w:numId w:val="1004"/>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4"/>
              </w:numPr>
              <w:spacing w:after="60" w:line="264" w:lineRule="auto"/>
            </w:pPr>
            <w:r>
              <w:rPr>
                <w:sz w:val="20"/>
                <w:szCs w:val="20"/>
              </w:rPr>
              <w:t xml:space="preserve">Expand access to primary care settings to manage patient needs, reducing preventable emergency department visits</w:t>
            </w:r>
          </w:p>
          <w:p>
            <w:pPr>
              <w:numPr>
                <w:ilvl w:val="0"/>
                <w:numId w:val="1004"/>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cantSplit/>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cantSplit/>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cantSplit/>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cantSplit/>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cantSplit/>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cantSplit/>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5"/>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5"/>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5"/>
              </w:numPr>
              <w:spacing w:after="60" w:line="264" w:lineRule="auto"/>
            </w:pPr>
            <w:r>
              <w:rPr>
                <w:sz w:val="20"/>
                <w:szCs w:val="20"/>
              </w:rPr>
              <w:t xml:space="preserve">Vermont Medicaid global budget for hospitals begins January 2026 under AHEAD Cohort 2 State Agreement</w:t>
            </w:r>
          </w:p>
          <w:p>
            <w:pPr>
              <w:numPr>
                <w:ilvl w:val="0"/>
                <w:numId w:val="1005"/>
              </w:numPr>
              <w:spacing w:after="60" w:line="264" w:lineRule="auto"/>
            </w:pPr>
            <w:r>
              <w:rPr>
                <w:sz w:val="20"/>
                <w:szCs w:val="20"/>
              </w:rPr>
              <w:t xml:space="preserve">Act 55 outpatient drug cap at 120% of ASP effective April 2025, generating estimated $135M in annual savings</w:t>
            </w:r>
          </w:p>
          <w:p>
            <w:pPr>
              <w:numPr>
                <w:ilvl w:val="0"/>
                <w:numId w:val="1005"/>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5"/>
              </w:numPr>
              <w:spacing w:after="60" w:line="264" w:lineRule="auto"/>
            </w:pPr>
            <w:r>
              <w:rPr>
                <w:sz w:val="20"/>
                <w:szCs w:val="20"/>
              </w:rPr>
              <w:t xml:space="preserve">GMCB publishes hospital price transparency dashboard</w:t>
            </w:r>
          </w:p>
          <w:p>
            <w:pPr>
              <w:numPr>
                <w:ilvl w:val="0"/>
                <w:numId w:val="1005"/>
              </w:numPr>
              <w:spacing w:after="60" w:line="264" w:lineRule="auto"/>
            </w:pPr>
            <w:r>
              <w:rPr>
                <w:sz w:val="20"/>
                <w:szCs w:val="20"/>
              </w:rPr>
              <w:t xml:space="preserve">RBP vendor selection and methodology finalized; rulemaking completed</w:t>
            </w:r>
          </w:p>
          <w:p>
            <w:pPr>
              <w:numPr>
                <w:ilvl w:val="0"/>
                <w:numId w:val="1005"/>
              </w:numPr>
              <w:spacing w:after="60" w:line="264" w:lineRule="auto"/>
            </w:pPr>
            <w:r>
              <w:rPr>
                <w:sz w:val="20"/>
                <w:szCs w:val="20"/>
              </w:rPr>
              <w:t xml:space="preserve">Global hospital budgets established for non-critical access hospitals</w:t>
            </w:r>
          </w:p>
          <w:p>
            <w:pPr>
              <w:numPr>
                <w:ilvl w:val="0"/>
                <w:numId w:val="1005"/>
              </w:numPr>
              <w:spacing w:after="60" w:line="264" w:lineRule="auto"/>
            </w:pPr>
            <w:r>
              <w:rPr>
                <w:sz w:val="20"/>
                <w:szCs w:val="20"/>
              </w:rPr>
              <w:t xml:space="preserve">AHS Statewide Health Care Delivery Strategic Plan delivered to legislature by December 2028</w:t>
            </w:r>
          </w:p>
          <w:p>
            <w:pPr>
              <w:numPr>
                <w:ilvl w:val="0"/>
                <w:numId w:val="1005"/>
              </w:numPr>
              <w:spacing w:after="60" w:line="264" w:lineRule="auto"/>
            </w:pPr>
            <w:r>
              <w:rPr>
                <w:sz w:val="20"/>
                <w:szCs w:val="20"/>
              </w:rPr>
              <w:t xml:space="preserve">AHEAD Model Cohort 2 full operation; Medicare FFS hospital global budgets active</w:t>
            </w:r>
          </w:p>
          <w:p>
            <w:pPr>
              <w:numPr>
                <w:ilvl w:val="0"/>
                <w:numId w:val="1005"/>
              </w:numPr>
              <w:spacing w:after="60" w:line="264" w:lineRule="auto"/>
            </w:pPr>
            <w:r>
              <w:rPr>
                <w:sz w:val="20"/>
                <w:szCs w:val="20"/>
              </w:rPr>
              <w:t xml:space="preserve">CMMI transformation grants of $1.2M available through AHEAD Cooperative Agreement Year 3</w:t>
            </w:r>
          </w:p>
          <w:p>
            <w:pPr>
              <w:numPr>
                <w:ilvl w:val="0"/>
                <w:numId w:val="1005"/>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cantSplit/>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cantSplit/>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cantSplit/>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cantSplit/>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cantSplit/>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cantSplit/>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cantSplit/>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6"/>
        </w:numPr>
        <w:keepLines w:val="true"/>
        <w:keepNext w:val="true"/>
      </w:pPr>
      <w:r>
        <w:t xml:space="preserve">$911 billion in Medicaid cuts over 10 years — the largest reduction in federal health spending in American history.</w:t>
      </w:r>
    </w:p>
    <w:p>
      <w:pPr>
        <w:pStyle w:val="Compact"/>
        <w:numPr>
          <w:ilvl w:val="0"/>
          <w:numId w:val="1006"/>
        </w:numPr>
        <w:keepLines w:val="true"/>
        <w:keepNext w:val="true"/>
      </w:pPr>
      <w:r>
        <w:t xml:space="preserve">10 million additional Americans projected uninsured by 2034 (CBO estimate).</w:t>
      </w:r>
    </w:p>
    <w:p>
      <w:pPr>
        <w:pStyle w:val="Compact"/>
        <w:numPr>
          <w:ilvl w:val="0"/>
          <w:numId w:val="1006"/>
        </w:numPr>
        <w:keepLines w:val="true"/>
        <w:keepNext w:val="true"/>
      </w:pPr>
      <w:r>
        <w:t xml:space="preserve">Work requirements (80 hours/month) for Medicaid expansion enrollees beginning late 2026.</w:t>
      </w:r>
    </w:p>
    <w:p>
      <w:pPr>
        <w:pStyle w:val="Compact"/>
        <w:numPr>
          <w:ilvl w:val="0"/>
          <w:numId w:val="1006"/>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cantSplit/>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cantSplit/>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cantSplit/>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7"/>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7"/>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7"/>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7"/>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8"/>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8"/>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8"/>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cantSplit/>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cantSplit/>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cantSplit/>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cantSplit/>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cantSplit/>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cantSplit/>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09"/>
        </w:numPr>
        <w:keepLines w:val="true"/>
        <w:keepNext w:val="true"/>
      </w:pPr>
      <w:r>
        <w:t xml:space="preserve">Perception: Vermont has a State Health Information Exchange (VITL).</w:t>
      </w:r>
    </w:p>
    <w:p>
      <w:pPr>
        <w:pStyle w:val="Compact"/>
        <w:numPr>
          <w:ilvl w:val="0"/>
          <w:numId w:val="1009"/>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cantSplit/>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cantSplit/>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cantSplit/>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cantSplit/>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cantSplit/>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0"/>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0"/>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0"/>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0"/>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0"/>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1"/>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1"/>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1"/>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1"/>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cantSplit/>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cantSplit/>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2"/>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2"/>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2"/>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2"/>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2"/>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cantSplit/>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3"/>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3"/>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3"/>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3"/>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3"/>
              </w:numPr>
            </w:pPr>
            <w:r>
              <w:rPr>
                <w:sz w:val="18"/>
              </w:rPr>
              <w:t xml:space="preserve">Price transparency dashboard: GMCB public tool;</w:t>
            </w:r>
            <w:r>
              <w:rPr>
                <w:sz w:val="18"/>
              </w:rPr>
              <w:t xml:space="preserve"> </w:t>
            </w:r>
            <w:r>
              <w:rPr>
                <w:sz w:val="18"/>
              </w:rPr>
              <w:t xml:space="preserve">patient-facing comparison via RHT</w:t>
            </w:r>
          </w:p>
        </w:tc>
      </w:tr>
      <w:tr>
        <w:trPr>
          <w:cantSplit/>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4"/>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4"/>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4"/>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4"/>
              </w:numPr>
            </w:pPr>
            <w:r>
              <w:rPr>
                <w:sz w:val="18"/>
              </w:rPr>
              <w:t xml:space="preserve">Care coordination registry: CHT patient registries; CCBHC</w:t>
            </w:r>
            <w:r>
              <w:rPr>
                <w:sz w:val="18"/>
              </w:rPr>
              <w:t xml:space="preserve"> </w:t>
            </w:r>
            <w:r>
              <w:rPr>
                <w:sz w:val="18"/>
              </w:rPr>
              <w:t xml:space="preserve">care-management data</w:t>
            </w:r>
          </w:p>
        </w:tc>
      </w:tr>
      <w:tr>
        <w:trPr>
          <w:cantSplit/>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5"/>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5"/>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5"/>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5"/>
              </w:numPr>
            </w:pPr>
            <w:r>
              <w:rPr>
                <w:sz w:val="18"/>
              </w:rPr>
              <w:t xml:space="preserve">Single patient identity: master patient index across all</w:t>
            </w:r>
            <w:r>
              <w:rPr>
                <w:sz w:val="18"/>
              </w:rPr>
              <w:t xml:space="preserve"> </w:t>
            </w:r>
            <w:r>
              <w:rPr>
                <w:sz w:val="18"/>
              </w:rPr>
              <w:t xml:space="preserve">14 hospitals and community providers</w:t>
            </w:r>
          </w:p>
        </w:tc>
      </w:tr>
      <w:tr>
        <w:trPr>
          <w:cantSplit/>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6"/>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6"/>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6"/>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6"/>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7"/>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7"/>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7"/>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7"/>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7"/>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cantSplit/>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cantSplit/>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cantSplit/>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cantSplit/>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cantSplit/>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cantSplit/>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cantSplit/>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cantSplit/>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cantSplit/>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cantSplit/>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cantSplit/>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cantSplit/>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cantSplit/>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cantSplit/>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cantSplit/>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8"/>
        </w:numPr>
        <w:keepLines w:val="true"/>
        <w:keepNext w:val="true"/>
      </w:pPr>
      <w:r>
        <w:t xml:space="preserve">Mandatory, not voluntary — every hospital, every commercial payer, by FY2027</w:t>
      </w:r>
    </w:p>
    <w:p>
      <w:pPr>
        <w:pStyle w:val="Compact"/>
        <w:numPr>
          <w:ilvl w:val="0"/>
          <w:numId w:val="1018"/>
        </w:numPr>
        <w:keepLines w:val="true"/>
        <w:keepNext w:val="true"/>
      </w:pPr>
      <w:r>
        <w:t xml:space="preserve">Binding ceiling, not advisory guidance — hospitals cannot charge or collect more than the established rate</w:t>
      </w:r>
    </w:p>
    <w:p>
      <w:pPr>
        <w:pStyle w:val="Compact"/>
        <w:numPr>
          <w:ilvl w:val="0"/>
          <w:numId w:val="1018"/>
        </w:numPr>
        <w:keepLines w:val="true"/>
        <w:keepNext w:val="true"/>
      </w:pPr>
      <w:r>
        <w:t xml:space="preserve">Transparent benchmark — Medicare rates provide a nationally comparable, publicly available anchor</w:t>
      </w:r>
    </w:p>
    <w:p>
      <w:pPr>
        <w:pStyle w:val="Compact"/>
        <w:numPr>
          <w:ilvl w:val="0"/>
          <w:numId w:val="1018"/>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cantSplit/>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cantSplit/>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cantSplit/>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19"/>
        </w:numPr>
        <w:keepLines w:val="true"/>
        <w:keepNext w:val="true"/>
      </w:pPr>
      <w:r>
        <w:t xml:space="preserve">Reduce hospital leverage to demand excessive prices from commercial payers</w:t>
      </w:r>
    </w:p>
    <w:p>
      <w:pPr>
        <w:pStyle w:val="Compact"/>
        <w:numPr>
          <w:ilvl w:val="0"/>
          <w:numId w:val="1019"/>
        </w:numPr>
        <w:keepLines w:val="true"/>
        <w:keepNext w:val="true"/>
      </w:pPr>
      <w:r>
        <w:t xml:space="preserve">Narrow unjustified price variation across hospitals for the same service</w:t>
      </w:r>
    </w:p>
    <w:p>
      <w:pPr>
        <w:pStyle w:val="Compact"/>
        <w:numPr>
          <w:ilvl w:val="0"/>
          <w:numId w:val="1019"/>
        </w:numPr>
        <w:keepLines w:val="true"/>
        <w:keepNext w:val="true"/>
      </w:pPr>
      <w:r>
        <w:t xml:space="preserve">Protect patient affordability by establishing binding price ceilings</w:t>
      </w:r>
    </w:p>
    <w:p>
      <w:pPr>
        <w:pStyle w:val="Compact"/>
        <w:numPr>
          <w:ilvl w:val="0"/>
          <w:numId w:val="1019"/>
        </w:numPr>
        <w:keepLines w:val="true"/>
        <w:keepNext w:val="true"/>
      </w:pPr>
      <w:r>
        <w:t xml:space="preserve">Limit monopolistic pricing power in concentrated markets</w:t>
      </w:r>
    </w:p>
    <w:p>
      <w:pPr>
        <w:pStyle w:val="Compact"/>
        <w:numPr>
          <w:ilvl w:val="0"/>
          <w:numId w:val="1019"/>
        </w:numPr>
        <w:keepLines w:val="true"/>
        <w:keepNext w:val="true"/>
      </w:pPr>
      <w:r>
        <w:t xml:space="preserve">Incentivize operational efficiencies over price increases as the margin lever</w:t>
      </w:r>
    </w:p>
    <w:p>
      <w:pPr>
        <w:pStyle w:val="Compact"/>
        <w:numPr>
          <w:ilvl w:val="0"/>
          <w:numId w:val="1019"/>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0"/>
        </w:numPr>
        <w:keepLines w:val="true"/>
        <w:keepNext w:val="true"/>
      </w:pPr>
      <w:r>
        <w:t xml:space="preserve">Control total hospital spending — only the price component, not volume</w:t>
      </w:r>
    </w:p>
    <w:p>
      <w:pPr>
        <w:pStyle w:val="Compact"/>
        <w:numPr>
          <w:ilvl w:val="0"/>
          <w:numId w:val="1020"/>
        </w:numPr>
        <w:keepLines w:val="true"/>
        <w:keepNext w:val="true"/>
      </w:pPr>
      <w:r>
        <w:t xml:space="preserve">Guarantee savings pass-through to consumers without explicit monitoring requirements</w:t>
      </w:r>
    </w:p>
    <w:p>
      <w:pPr>
        <w:pStyle w:val="Compact"/>
        <w:numPr>
          <w:ilvl w:val="0"/>
          <w:numId w:val="1020"/>
        </w:numPr>
        <w:keepLines w:val="true"/>
        <w:keepNext w:val="true"/>
      </w:pPr>
      <w:r>
        <w:t xml:space="preserve">Restructure incentives around prevention or population health</w:t>
      </w:r>
    </w:p>
    <w:p>
      <w:pPr>
        <w:pStyle w:val="Compact"/>
        <w:numPr>
          <w:ilvl w:val="0"/>
          <w:numId w:val="1020"/>
        </w:numPr>
        <w:keepLines w:val="true"/>
        <w:keepNext w:val="true"/>
      </w:pPr>
      <w:r>
        <w:t xml:space="preserve">Guarantee hospital efficiency, sustainability, or quality performance</w:t>
      </w:r>
    </w:p>
    <w:p>
      <w:pPr>
        <w:pStyle w:val="Compact"/>
        <w:numPr>
          <w:ilvl w:val="0"/>
          <w:numId w:val="1020"/>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cantSplit/>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cantSplit/>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cantSplit/>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cantSplit/>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cantSplit/>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cantSplit/>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cantSplit/>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1"/>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1"/>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1"/>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2"/>
        </w:numPr>
        <w:keepLines w:val="true"/>
        <w:keepNext w:val="true"/>
      </w:pPr>
      <w:r>
        <w:t xml:space="preserve">Up to $150 million in additional Medicare funds annually starting in 2027, with inflation adjustments each year</w:t>
      </w:r>
    </w:p>
    <w:p>
      <w:pPr>
        <w:pStyle w:val="Compact"/>
        <w:numPr>
          <w:ilvl w:val="0"/>
          <w:numId w:val="1022"/>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cantSplit/>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cantSplit/>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cantSplit/>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cantSplit/>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cantSplit/>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cantSplit/>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cantSplit/>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cantSplit/>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cantSplit/>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cantSplit/>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cantSplit/>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cantSplit/>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cantSplit/>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cantSplit/>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cantSplit/>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cantSplit/>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cantSplit/>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cantSplit/>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cantSplit/>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cantSplit/>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cantSplit/>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cantSplit/>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3"/>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3"/>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3"/>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3"/>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cantSplit/>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cantSplit/>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cantSplit/>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cantSplit/>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cantSplit/>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cantSplit/>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cantSplit/>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cantSplit/>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cantSplit/>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cantSplit/>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cantSplit/>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cantSplit/>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cantSplit/>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cantSplit/>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cantSplit/>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cantSplit/>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cantSplit/>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cantSplit/>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cantSplit/>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cantSplit/>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cantSplit/>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cantSplit/>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cantSplit/>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cantSplit/>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cantSplit/>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cantSplit/>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cantSplit/>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cantSplit/>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cantSplit/>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cantSplit/>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cantSplit/>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cantSplit/>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cantSplit/>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cantSplit/>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cantSplit/>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cantSplit/>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cantSplit/>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cantSplit/>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cantSplit/>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cantSplit/>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cantSplit/>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cantSplit/>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cantSplit/>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cantSplit/>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cantSplit/>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cantSplit/>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cantSplit/>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cantSplit/>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cantSplit/>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4"/>
        </w:numPr>
        <w:keepLines w:val="true"/>
        <w:keepNext w:val="true"/>
      </w:pPr>
      <w:r>
        <w:t xml:space="preserve">Access Equity (25%) — gap in primary, specialty, and emergency care utilization by subpopulation.</w:t>
      </w:r>
    </w:p>
    <w:p>
      <w:pPr>
        <w:pStyle w:val="Compact"/>
        <w:numPr>
          <w:ilvl w:val="0"/>
          <w:numId w:val="1024"/>
        </w:numPr>
        <w:keepLines w:val="true"/>
        <w:keepNext w:val="true"/>
      </w:pPr>
      <w:r>
        <w:t xml:space="preserve">Quality Equity (25%) — HEDIS performance gap across top 10 chronic disease measures.</w:t>
      </w:r>
    </w:p>
    <w:p>
      <w:pPr>
        <w:pStyle w:val="Compact"/>
        <w:numPr>
          <w:ilvl w:val="0"/>
          <w:numId w:val="1024"/>
        </w:numPr>
        <w:keepLines w:val="true"/>
        <w:keepNext w:val="true"/>
      </w:pPr>
      <w:r>
        <w:t xml:space="preserve">Outcome Equity (25%) — avoidable hospitalizations, ED visits, readmissions by demographic segment.</w:t>
      </w:r>
    </w:p>
    <w:p>
      <w:pPr>
        <w:pStyle w:val="Compact"/>
        <w:numPr>
          <w:ilvl w:val="0"/>
          <w:numId w:val="1024"/>
        </w:numPr>
        <w:keepLines w:val="true"/>
        <w:keepNext w:val="true"/>
      </w:pPr>
      <w:r>
        <w:t xml:space="preserve">SDOH Burden (15%) — HRSN screening completion and community resource referral rates.</w:t>
      </w:r>
    </w:p>
    <w:p>
      <w:pPr>
        <w:pStyle w:val="Compact"/>
        <w:numPr>
          <w:ilvl w:val="0"/>
          <w:numId w:val="1024"/>
        </w:numPr>
        <w:keepLines w:val="true"/>
        <w:keepNext w:val="true"/>
      </w:pPr>
      <w:r>
        <w:t xml:space="preserve">Trust and Engagement (10%) — CAHPS patient experience scores stratified by race and income.</w:t>
      </w:r>
    </w:p>
    <w:p>
      <w:pPr>
        <w:pStyle w:val="Compact"/>
        <w:numPr>
          <w:ilvl w:val="0"/>
          <w:numId w:val="1024"/>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5"/>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5"/>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5"/>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5"/>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5"/>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cantSplit/>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cantSplit/>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cantSplit/>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6"/>
        </w:numPr>
        <w:keepLines w:val="true"/>
        <w:keepNext w:val="true"/>
      </w:pPr>
      <w:r>
        <w:t xml:space="preserve">Attribution equity: Does the attribution methodology systematically exclude high-SDOH patients who lack a qualifying primary care visit?</w:t>
      </w:r>
    </w:p>
    <w:p>
      <w:pPr>
        <w:pStyle w:val="Compact"/>
        <w:numPr>
          <w:ilvl w:val="0"/>
          <w:numId w:val="1026"/>
        </w:numPr>
        <w:keepLines w:val="true"/>
        <w:keepNext w:val="true"/>
      </w:pPr>
      <w:r>
        <w:t xml:space="preserve">Social risk adjustment: Is the benchmark adjusted for the social risk profile of the attributed population?</w:t>
      </w:r>
    </w:p>
    <w:p>
      <w:pPr>
        <w:pStyle w:val="Compact"/>
        <w:numPr>
          <w:ilvl w:val="0"/>
          <w:numId w:val="1026"/>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6"/>
        </w:numPr>
        <w:keepLines w:val="true"/>
      </w:pPr>
      <w:r>
        <w:t xml:space="preserve">SDOH investment incentives: Does the contract provide financial credit for investments in SDOH programs that reduce long-term utilization?</w:t>
      </w:r>
    </w:p>
    <w:p>
      <w:pPr>
        <w:pStyle w:val="Compact"/>
        <w:numPr>
          <w:ilvl w:val="0"/>
          <w:numId w:val="1026"/>
        </w:numPr>
        <w:keepLines w:val="true"/>
      </w:pPr>
      <w:r>
        <w:t xml:space="preserve">Care management intensity: Are care management resources allocated proportionate to SDOH burden and disparity level, not just clinical risk?</w:t>
      </w:r>
    </w:p>
    <w:p>
      <w:pPr>
        <w:pStyle w:val="Compact"/>
        <w:numPr>
          <w:ilvl w:val="0"/>
          <w:numId w:val="1026"/>
        </w:numPr>
        <w:keepLines w:val="true"/>
      </w:pPr>
      <w:r>
        <w:t xml:space="preserve">Beneficiary protections: Are there protections against provider avoidance of high-complexity, high-SDOH patients?</w:t>
      </w:r>
    </w:p>
    <w:p>
      <w:pPr>
        <w:pStyle w:val="Compact"/>
        <w:numPr>
          <w:ilvl w:val="0"/>
          <w:numId w:val="1026"/>
        </w:numPr>
        <w:keepLines w:val="true"/>
      </w:pPr>
      <w:r>
        <w:t xml:space="preserve">Community benefit requirements: For global budgets, are there explicit requirements for community health investment, including SDOH programs?</w:t>
      </w:r>
    </w:p>
    <w:p>
      <w:pPr>
        <w:pStyle w:val="Compact"/>
        <w:numPr>
          <w:ilvl w:val="0"/>
          <w:numId w:val="1026"/>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cantSplit/>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cantSplit/>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cantSplit/>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cantSplit/>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cantSplit/>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7"/>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7"/>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7"/>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7"/>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7"/>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cantSplit/>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cantSplit/>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cantSplit/>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cantSplit/>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cantSplit/>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cantSplit/>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cantSplit/>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cantSplit/>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cantSplit/>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cantSplit/>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cantSplit/>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8"/>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8"/>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8"/>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8"/>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29"/>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29"/>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29"/>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cantSplit/>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cantSplit/>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cantSplit/>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cantSplit/>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0"/>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0"/>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0"/>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0"/>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cantSplit/>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cantSplit/>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1"/>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1"/>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1"/>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cantSplit/>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cantSplit/>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cantSplit/>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cantSplit/>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cantSplit/>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cantSplit/>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cantSplit/>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cantSplit/>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cantSplit/>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cantSplit/>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cantSplit/>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cantSplit/>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cantSplit/>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cantSplit/>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cantSplit/>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cantSplit/>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cantSplit/>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cantSplit/>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cantSplit/>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cantSplit/>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cantSplit/>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cantSplit/>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cantSplit/>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cantSplit/>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cantSplit/>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cantSplit/>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cantSplit/>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cantSplit/>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2"/>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2"/>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2"/>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2"/>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cantSplit/>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cantSplit/>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cantSplit/>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cantSplit/>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cantSplit/>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cantSplit/>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cantSplit/>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3"/>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3"/>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3"/>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3"/>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4"/>
        </w:numPr>
        <w:keepLines w:val="true"/>
        <w:keepNext w:val="true"/>
      </w:pPr>
    </w:p>
    <w:p>
      <w:pPr>
        <w:pStyle w:val="Compact"/>
        <w:numPr>
          <w:ilvl w:val="1"/>
          <w:numId w:val="1035"/>
        </w:numPr>
        <w:keepLines w:val="true"/>
        <w:keepNext w:val="true"/>
      </w:pPr>
      <w:r>
        <w:t xml:space="preserve">Executive Summary (5–8 pp) — the crisis in 2028; what changed since 2022; the five goals and progress; the plan’s central 2028–2031 commitments.</w:t>
      </w:r>
    </w:p>
    <w:p>
      <w:pPr>
        <w:pStyle w:val="Compact"/>
        <w:numPr>
          <w:ilvl w:val="0"/>
          <w:numId w:val="1034"/>
        </w:numPr>
        <w:keepLines w:val="true"/>
      </w:pPr>
    </w:p>
    <w:p>
      <w:pPr>
        <w:pStyle w:val="Compact"/>
        <w:numPr>
          <w:ilvl w:val="1"/>
          <w:numId w:val="1036"/>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4"/>
        </w:numPr>
        <w:keepLines w:val="true"/>
      </w:pPr>
    </w:p>
    <w:p>
      <w:pPr>
        <w:pStyle w:val="Compact"/>
        <w:numPr>
          <w:ilvl w:val="1"/>
          <w:numId w:val="1037"/>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4"/>
        </w:numPr>
        <w:keepLines w:val="true"/>
      </w:pPr>
    </w:p>
    <w:p>
      <w:pPr>
        <w:pStyle w:val="Compact"/>
        <w:numPr>
          <w:ilvl w:val="1"/>
          <w:numId w:val="1038"/>
        </w:numPr>
        <w:keepLines w:val="true"/>
      </w:pPr>
      <w:r>
        <w:t xml:space="preserve">Primary Care and Behavioral Health — Clinical (15–20 pp) — Blueprint enrollment/performance; CCBHC coverage; CoCM status; BH access indicators and 2028–2031 targets.</w:t>
      </w:r>
    </w:p>
    <w:p>
      <w:pPr>
        <w:pStyle w:val="Compact"/>
        <w:numPr>
          <w:ilvl w:val="0"/>
          <w:numId w:val="1034"/>
        </w:numPr>
        <w:keepLines w:val="true"/>
      </w:pPr>
    </w:p>
    <w:p>
      <w:pPr>
        <w:pStyle w:val="Compact"/>
        <w:numPr>
          <w:ilvl w:val="1"/>
          <w:numId w:val="1039"/>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4"/>
        </w:numPr>
        <w:keepLines w:val="true"/>
      </w:pPr>
    </w:p>
    <w:p>
      <w:pPr>
        <w:pStyle w:val="Compact"/>
        <w:numPr>
          <w:ilvl w:val="1"/>
          <w:numId w:val="1040"/>
        </w:numPr>
        <w:keepLines w:val="true"/>
      </w:pPr>
      <w:r>
        <w:t xml:space="preserve">Data and Technology Infrastructure — Technology (10–15 pp) — VHCURES enhancement; HIE connectivity; statewide-EHR decision; analytics capabilities; interoperability.</w:t>
      </w:r>
    </w:p>
    <w:p>
      <w:pPr>
        <w:pStyle w:val="Compact"/>
        <w:numPr>
          <w:ilvl w:val="0"/>
          <w:numId w:val="1034"/>
        </w:numPr>
        <w:keepLines w:val="true"/>
      </w:pPr>
    </w:p>
    <w:p>
      <w:pPr>
        <w:pStyle w:val="Compact"/>
        <w:numPr>
          <w:ilvl w:val="1"/>
          <w:numId w:val="1041"/>
        </w:numPr>
        <w:keepLines w:val="true"/>
      </w:pPr>
      <w:r>
        <w:t xml:space="preserve">Health Equity Strategy — Equity (15–20 pp) — geographic-equity indicators by HSA; disparity measures; SDOH coordination; culturally competent care; 2028–2031 targets.</w:t>
      </w:r>
    </w:p>
    <w:p>
      <w:pPr>
        <w:pStyle w:val="Compact"/>
        <w:numPr>
          <w:ilvl w:val="0"/>
          <w:numId w:val="1034"/>
        </w:numPr>
        <w:keepLines w:val="true"/>
      </w:pPr>
    </w:p>
    <w:p>
      <w:pPr>
        <w:pStyle w:val="Compact"/>
        <w:numPr>
          <w:ilvl w:val="1"/>
          <w:numId w:val="1042"/>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4"/>
        </w:numPr>
        <w:keepLines w:val="true"/>
      </w:pPr>
    </w:p>
    <w:p>
      <w:pPr>
        <w:pStyle w:val="Compact"/>
        <w:numPr>
          <w:ilvl w:val="1"/>
          <w:numId w:val="1043"/>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4"/>
        </w:numPr>
        <w:keepLines w:val="true"/>
      </w:pPr>
    </w:p>
    <w:p>
      <w:pPr>
        <w:pStyle w:val="Compact"/>
        <w:numPr>
          <w:ilvl w:val="1"/>
          <w:numId w:val="1044"/>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4"/>
        </w:numPr>
        <w:keepLines w:val="true"/>
      </w:pPr>
    </w:p>
    <w:p>
      <w:pPr>
        <w:pStyle w:val="Compact"/>
        <w:numPr>
          <w:ilvl w:val="1"/>
          <w:numId w:val="1045"/>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cantSplit/>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cantSplit/>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cantSplit/>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cantSplit/>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cantSplit/>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cantSplit/>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cantSplit/>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cantSplit/>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cantSplit/>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cantSplit/>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cantSplit/>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cantSplit/>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cantSplit/>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cantSplit/>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cantSplit/>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cantSplit/>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cantSplit/>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cantSplit/>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cantSplit/>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cantSplit/>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cantSplit/>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cantSplit/>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cantSplit/>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cantSplit/>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cantSplit/>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cantSplit/>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cantSplit/>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cantSplit/>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cantSplit/>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cantSplit/>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cantSplit/>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cantSplit/>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cantSplit/>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cantSplit/>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cantSplit/>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cantSplit/>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cantSplit/>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cantSplit/>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cantSplit/>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cantSplit/>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cantSplit/>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cantSplit/>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cantSplit/>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2026-07-27T04:19:37Z</dcterms:created>
  <dcterms:modified xsi:type="dcterms:W3CDTF">2026-07-27T04:19:37Z</dcterms:modified>
</cp:coreProperties>
</file>

<file path=docProps/custom.xml><?xml version="1.0" encoding="utf-8"?>
<Properties xmlns="http://schemas.openxmlformats.org/officeDocument/2006/custom-properties" xmlns:vt="http://schemas.openxmlformats.org/officeDocument/2006/docPropsVTypes"/>
</file>