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280"/>
      </w:pPr>
    </w:p>
    <w:p>
      <w:pPr>
        <w:ind w:left="-792" w:right="-792"/>
        <w:jc w:val="center"/>
      </w:pPr>
      <w:r>
        <w:drawing>
          <wp:inline>
            <wp:extent cx="6766560" cy="3385739"/>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6766560" cy="3385739"/>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 — Equity Measurement</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 — Revenue Cycle and Coding</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Figure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Figure 2.2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2.3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Figure 2.4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Figure 3.2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3.3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3.4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Figure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Figure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Figure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Figure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Figure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$15,000</w:t>
            </w:r>
          </w:p>
          <w:p>
            <w:pPr>
              <w:jc w:val="center"/>
              <w:spacing w:after="40"/>
            </w:pPr>
            <w:r>
              <w:rPr>
                <w:rFonts w:ascii="Calibri" w:hAnsi="Calibri"/>
                <w:b/>
                <w:sz w:val="16"/>
                <w:color w:val="1B3A6B"/>
              </w:rPr>
              <w:t>Avg. Inpatient Cost Prevented</w:t>
            </w:r>
          </w:p>
        </w:tc>
        <w:tc>
          <w:tcPr>
            <w:tcW w:w="2268" w:type="dxa"/>
            <w:shd w:val="clear" w:color="auto" w:fill="E8F0FB"/>
            <w:vAlign w:val="center"/>
          </w:tcPr>
          <w:p>
            <w:pPr>
              <w:jc w:val="center"/>
              <w:spacing w:after="20" w:before="40"/>
            </w:pPr>
            <w:r>
              <w:rPr>
                <w:rFonts w:ascii="Calibri" w:hAnsi="Calibri"/>
                <w:b/>
                <w:sz w:val="16"/>
                <w:color w:val="1B3A6B"/>
              </w:rPr>
              <w:t>$1,800</w:t>
            </w:r>
          </w:p>
          <w:p>
            <w:pPr>
              <w:jc w:val="center"/>
              <w:spacing w:after="40"/>
            </w:pPr>
            <w:r>
              <w:rPr>
                <w:rFonts w:ascii="Calibri" w:hAnsi="Calibri"/>
                <w:b/>
                <w:sz w:val="16"/>
                <w:color w:val="1B3A6B"/>
              </w:rPr>
              <w:t>Avg. Preventable ED Visit</w:t>
            </w:r>
          </w:p>
        </w:tc>
        <w:tc>
          <w:tcPr>
            <w:tcW w:w="2268" w:type="dxa"/>
            <w:shd w:val="clear" w:color="auto" w:fill="E8F0FB"/>
            <w:vAlign w:val="center"/>
          </w:tcPr>
          <w:p>
            <w:pPr>
              <w:jc w:val="center"/>
              <w:spacing w:after="20" w:before="40"/>
            </w:pPr>
            <w:r>
              <w:rPr>
                <w:rFonts w:ascii="Calibri" w:hAnsi="Calibri"/>
                <w:b/>
                <w:sz w:val="16"/>
                <w:color w:val="1B3A6B"/>
              </w:rPr>
              <w:t>3–5x</w:t>
            </w:r>
          </w:p>
          <w:p>
            <w:pPr>
              <w:jc w:val="center"/>
              <w:spacing w:after="40"/>
            </w:pPr>
            <w:r>
              <w:rPr>
                <w:rFonts w:ascii="Calibri" w:hAnsi="Calibri"/>
                <w:b/>
                <w:sz w:val="16"/>
                <w:color w:val="1B3A6B"/>
              </w:rPr>
              <w:t>Care Management ROI Range</w:t>
            </w:r>
          </w:p>
        </w:tc>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VT Potentially Avoidable ED Visits</w:t>
            </w:r>
          </w:p>
        </w:tc>
      </w:tr>
    </w:tbl>
    <w:p>
      <w:pPr>
        <w:spacing w:after="120"/>
      </w:pPr>
    </w:p>
    <w:p>
      <w:pPr>
        <w:pStyle w:val="Caption"/>
      </w:pPr>
      <w:r>
        <w:rPr>
          <w:i/>
          <w:iCs/>
        </w:rP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Heading2"/>
        <w:pBdr>
          <w:top w:val="single" w:sz="6" w:space="10" w:color="C9D2DF"/>
        </w:pBdr>
        <w:keepNext w:val="false"/>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7.3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Figure 7.4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7.5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7.6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10.7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Equity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10.8 — Equity pillar implementation matrix. Sources: Vermont Department of Health Health Equity Data Report (January 2025); Act 68 of 2025.</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10.9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10.10 — Vermont equity analytics: current data sources by equity dimension. Sources: GMCB; VDH; Blueprint for Health; DVHA; AHS.</w:t>
      </w:r>
    </w:p>
    <w:p>
      <w:pPr>
        <w:pStyle w:val="Heading2"/>
        <w:pBdr>
          <w:top w:val="single" w:sz="6" w:space="10" w:color="C9D2DF"/>
        </w:pBdr>
      </w:pPr>
      <w:r>
        <w:rPr>
          <w:color w:val="161B22"/>
        </w:rPr>
        <w:t xml:space="preserve">10.19  </w:t>
      </w:r>
      <w:bookmarkStart w:id="1310" w:name="_Toc1309"/>
      <w:r>
        <w:rPr>
          <w:b/>
          <w:bCs/>
          <w:color w:val="161B22"/>
        </w:rPr>
        <w:t xml:space="preserve">Implications for You — Equity Measurement</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11.19  </w:t>
      </w:r>
      <w:bookmarkStart w:id="1354" w:name="_Toc1353"/>
      <w:r>
        <w:rPr>
          <w:b/>
          <w:bCs/>
          <w:color w:val="161B22"/>
        </w:rPr>
        <w:t xml:space="preserve">Implications for You — Revenue Cycle and Coding</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Figure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B.2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Figure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T.1 — Vermont Healthcare Transformation Timeline: 2022–2035. Sources: Vermont Legislature, CMS, AHS, GMCB.</w:t>
      </w:r>
    </w:p>
    <w:p>
      <w:pPr>
        <w:pStyle w:val="Caption"/>
      </w:pPr>
      <w:r>
        <w:t xml:space="preserve">Figure 2.1 — Common perceptions of Vermont’s health system versus the data. Source: Oliver Wyman Act 167 Report; GMCB.</w:t>
      </w:r>
    </w:p>
    <w:p>
      <w:pPr>
        <w:pStyle w:val="Caption"/>
      </w:pPr>
      <w:r>
        <w:t xml:space="preserve">Figure 2.2 — Proposed Centers of Excellence assignments by hospital. Source: Oliver Wyman regionalization blueprint.</w:t>
      </w:r>
    </w:p>
    <w:p>
      <w:pPr>
        <w:pStyle w:val="Caption"/>
      </w:pPr>
      <w:r>
        <w:t xml:space="preserve">Figure 2.3 — Act 68 statutory implementation timeline. Source: Act 68 of 2025.</w:t>
      </w:r>
    </w:p>
    <w:p>
      <w:pPr>
        <w:pStyle w:val="Caption"/>
      </w:pPr>
      <w:r>
        <w:t xml:space="preserve">Figure 2.4 — State reference-based pricing and rate-setting programs compared. Sources: state program documentation; RAND; GMCB.</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CMMI models most relevant to Vermont’s transformation. Source: CMS Innovation Center.</w:t>
      </w:r>
    </w:p>
    <w:p>
      <w:pPr>
        <w:pStyle w:val="Caption"/>
      </w:pPr>
      <w:r>
        <w:t xml:space="preserve">Figure 3.3 — Policy strategy functions for healthcare organizations. Source: HTR Advisory framework.</w:t>
      </w:r>
    </w:p>
    <w:p>
      <w:pPr>
        <w:pStyle w:val="Caption"/>
      </w:pPr>
      <w:r>
        <w:t xml:space="preserve">Figure 3.4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5.H — Hands-on platform tools for the Technology Pillar in practice.</w:t>
      </w:r>
    </w:p>
    <w:p>
      <w:pPr>
        <w:pStyle w:val="Caption"/>
      </w:pPr>
      <w:r>
        <w:t xml:space="preserve">Figure 6.1 — Vermont hospital commercial pricing vs. Medicare and break-even benchmarks. Sources: GMCB Act 68 RBP Update (February 2026); RAND Hospital Price Transparency Study.</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6.3 — Cross-state reference-based pricing and rate regulation: design and outcomes. Sources: GMCB Act 68 Update (February 2026); Health Affairs; Commonwealth Fund; CMS.</w:t>
      </w:r>
    </w:p>
    <w:p>
      <w:pPr>
        <w:pStyle w:val="Caption"/>
      </w:pPr>
      <w:r>
        <w:t xml:space="preserve">Figure 6.4 — Vermont RBP and global budget implementation phases. Source: GMCB Act 68 Update, February 2026.</w:t>
      </w:r>
    </w:p>
    <w:p>
      <w:pPr>
        <w:pStyle w:val="Caption"/>
      </w:pPr>
      <w:r>
        <w:t xml:space="preserve">Figure 6.5 — Five dimensions of global budget design with Vermont’s current direction. Source: GMCB Act 68 Update (February 2026); Act 68 of 2025.</w:t>
      </w:r>
    </w:p>
    <w:p>
      <w:pPr>
        <w:pStyle w:val="Caption"/>
      </w:pPr>
      <w:r>
        <w:t xml:space="preserve">Figure 6.6 — Vermont global budget history: four attempts and the central lesson. Sources: GMCB Act 68 Update (February 2026); Oliver Wyman Act 167 Report.</w:t>
      </w:r>
    </w:p>
    <w:p>
      <w:pPr>
        <w:pStyle w:val="Caption"/>
      </w:pPr>
      <w:r>
        <w:t xml:space="preserve">Figure 6.7 — Maryland All-Payer Global Budget Model results summary. Sources: HSCRC; CMS; Commonwealth Fund; Milbank Memorial Fund.</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The economics of prevention under value-based payment. Inpatient and ED costs are approximate averages and vary by DRG and acuity; the ROI range reflects well-designed ACO care-management programs. Sources: CMS; GMCB; HTR analysis.</w:t>
      </w:r>
    </w:p>
    <w:p>
      <w:pPr>
        <w:pStyle w:val="Caption"/>
      </w:pPr>
      <w:r>
        <w:t xml:space="preserve">Figure 7.3 — Economics pillar implementation matrix. Sources: HTR Research Lab; Oliver Wyman Act 167 Report; Vermont AHEAD documentation.</w:t>
      </w:r>
    </w:p>
    <w:p>
      <w:pPr>
        <w:pStyle w:val="Caption"/>
      </w:pPr>
      <w:r>
        <w:t xml:space="preserve">Figure 7.4 — APM contract review framework: provisions and key questions. Source: HTR Advisory framework.</w:t>
      </w:r>
    </w:p>
    <w:p>
      <w:pPr>
        <w:pStyle w:val="Caption"/>
      </w:pPr>
      <w:r>
        <w:t xml:space="preserve">Figure 7.5 — Financial metrics transformation: FFS versus global budget environment. Source: HTR’s Economics pillar framework.</w:t>
      </w:r>
    </w:p>
    <w:p>
      <w:pPr>
        <w:pStyle w:val="Caption"/>
      </w:pPr>
      <w:r>
        <w:t xml:space="preserve">Figure 7.6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8.H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9.H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Equity pillar implementation matrix. Sources: Vermont Department of Health Health Equity Data Report (January 2025); Act 68 of 2025.</w:t>
      </w:r>
    </w:p>
    <w:p>
      <w:pPr>
        <w:pStyle w:val="Caption"/>
      </w:pPr>
      <w:r>
        <w:t xml:space="preserve">Figure 10.9 — Five-step disparity closure process with Vermont applications. Source: HTR’s Health Equity Studio methodology.</w:t>
      </w:r>
    </w:p>
    <w:p>
      <w:pPr>
        <w:pStyle w:val="Caption"/>
      </w:pPr>
      <w:r>
        <w:t xml:space="preserve">Figure 10.10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Caption"/>
      </w:pPr>
      <w:r>
        <w:t xml:space="preserve">Figure A.1 — Vermont demographic transformation. Sources: Oliver Wyman Act 167 Report (2024); Vermont RHT Program Application; KFF.</w:t>
      </w:r>
    </w:p>
    <w:p>
      <w:pPr>
        <w:pStyle w:val="Caption"/>
      </w:pPr>
      <w:r>
        <w:t xml:space="preserve">Figure A.2 — GMCB regulatory functions. Sources: GMCB Hospital Budget Review Guide; Acts 167 and 68; GMCB Annual Report 2024.</w:t>
      </w:r>
    </w:p>
    <w:p>
      <w:pPr>
        <w:pStyle w:val="Caption"/>
      </w:pPr>
      <w:r>
        <w:t xml:space="preserve">Figure A.3 — Vermont’s 14 hospitals: typology, grant status, focus, and challenges. Sources: AHS Hospital Tracking data (January 2026); individual transformation plans (January 15, 2026); GMCB FY26 Budget Orders.</w:t>
      </w:r>
    </w:p>
    <w:p>
      <w:pPr>
        <w:pStyle w:val="Caption"/>
      </w:pPr>
      <w:r>
        <w:t xml:space="preserve">Figure A.4 — Vermont hospital transformation initiative themes, January 2026 (148 initiatives). Source: AHS Transformation Plans Analysis (January 2026).</w:t>
      </w:r>
    </w:p>
    <w:p>
      <w:pPr>
        <w:pStyle w:val="Caption"/>
      </w:pPr>
      <w:r>
        <w:t xml:space="preserve">Figure B.1 — Act 68 statutory timeline and milestones. Source: Act 68 of 2025.</w:t>
      </w:r>
    </w:p>
    <w:p>
      <w:pPr>
        <w:pStyle w:val="Caption"/>
      </w:pPr>
      <w:r>
        <w:t xml:space="preserve">Figure B.2 — Policy-pillar implementation matrix. Sources: HTR Advisory methodology; Vermont RHT Program Application (2025); GMCB rate-setting documentation.</w:t>
      </w:r>
    </w:p>
    <w:p>
      <w:pPr>
        <w:pStyle w:val="Caption"/>
      </w:pPr>
      <w:r>
        <w:t xml:space="preserve">Figure D.1 — AHEAD State Agreement key terms and Vermont-specific provisions. Source: Vermont AHEAD State Agreement (January 2025).</w:t>
      </w:r>
    </w:p>
    <w:p>
      <w:pPr>
        <w:pStyle w:val="Caption"/>
      </w:pPr>
      <w:r>
        <w:t xml:space="preserve">Figure F.1 — Policy-pillar scorecard. Sources: Act 68 of 2025; Oliver Wyman Act 167 Report; CMS AHEAD documentation; Vermont RHT Program Application.</w:t>
      </w:r>
    </w:p>
    <w:p>
      <w:pPr>
        <w:pStyle w:val="Caption"/>
      </w:pPr>
      <w:r>
        <w:t xml:space="preserve">Figure F.2 — Technology-pillar scorecard. Sources: GMCB VHCURES; VITL; Vermont DOH Health Equity Data Report (January 2025); Vermont RHT Application.</w:t>
      </w:r>
    </w:p>
    <w:p>
      <w:pPr>
        <w:pStyle w:val="Caption"/>
      </w:pPr>
      <w:r>
        <w:t xml:space="preserve">Figure F.3 — Economics-pillar scorecard. Sources: Oliver Wyman Act 167 Report; AHS November 2025 Report; GMCB price-transparency data; CMS AHEAD.</w:t>
      </w:r>
    </w:p>
    <w:p>
      <w:pPr>
        <w:pStyle w:val="Caption"/>
      </w:pPr>
      <w:r>
        <w:t xml:space="preserve">Figure F.4 — Clinical-pillar scorecard. Sources: Vermont Blueprint Annual Report 2024; Vermont AHS; GMCB quality reporting; Oliver Wyman workforce analysis.</w:t>
      </w:r>
    </w:p>
    <w:p>
      <w:pPr>
        <w:pStyle w:val="Caption"/>
      </w:pPr>
      <w:r>
        <w:t xml:space="preserve">Figure F.5 — Equity-pillar scorecard. Sources: Vermont DOH Health Equity Data Report (January 2025); Act 68; GMCB equity reporting; HTR HEROI framework.</w:t>
      </w:r>
    </w:p>
    <w:p>
      <w:pPr>
        <w:pStyle w:val="Caption"/>
      </w:pPr>
      <w:r>
        <w:t xml:space="preserve">Figure F.6 — Operations-pillar scorecard. Sources: AHS Transformation Reports (August, November 2025); RHRC; Vermont RHT Program Application; Act 68.</w:t>
      </w:r>
    </w:p>
    <w:p>
      <w:pPr>
        <w:pStyle w:val="Caption"/>
      </w:pPr>
      <w:r>
        <w:t xml:space="preserve">Figure I.1 — The HTR Lab Workbook maps each of the six pillars to a working platform tool, in the book’s execution sequence.</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2026-08-04T23:07:50Z</dcterms:created>
  <dcterms:modified xsi:type="dcterms:W3CDTF">2026-08-04T23:07:50Z</dcterms:modified>
</cp:coreProperties>
</file>

<file path=docProps/custom.xml><?xml version="1.0" encoding="utf-8"?>
<Properties xmlns="http://schemas.openxmlformats.org/officeDocument/2006/custom-properties" xmlns:vt="http://schemas.openxmlformats.org/officeDocument/2006/docPropsVTypes"/>
</file>