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2018–2024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 the one lever state law can pull, since federal law cannot compel insurers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pattern—auditor-documented 36% higher ED visits and 18% lower primary care visits than national peer ACOs.</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is mandatory for all Vermont hospitals beginning FY2027, and global budgets are mandatory beginning FY2028.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beginning in FY2028, to set prospective annual hospital global budgets based on historical spending adjusted for population risk.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racial and ethnic gaps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(4 of 5 planned new entities certified July 1,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at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for the first mandatory all-payer price cap in modern Vermont history;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realistic assumptions (10% labor, 7-8%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 the more than $100 million in direct savings projected from administrative consolidation and shared services.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savings sources break down as follows:</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non-Critical Access Hospitals</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four of which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the Oliver Wyman benchmark GMCB is working from is 200% of Medicare or less.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order standing.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8D">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70+ models since 2010;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813">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The Maryland regulator quoted at the opening of this chapter described the result plainly: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released March 2027 for FY2028 rates; Act 68 hospital global budgets take effect FY2028</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non-CAH hospitals; Statewide Strategic Plan delivered January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global budgets take effect in FY2028.</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non-CAH global budgets take effect in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to be set by GMCB rule in March 2027, with 200% of Medicare the benchmark most often modeled — is the most specific mandatory statewide price ceiling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mandate is designed to achieve this across commercial payers and Medicaid by FY2028-2030, with Medicare alignment now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and North Country Hospital are among the facilities whose futures require further discussion as part of Vermont’s regionalization planning.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AI-scribe grants funded;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The ~$4–6.4M cost of a staffed PMO over four to five years is less than 2% of a single year of the value it protects — $195M a year in RHT funds and $300M+ a year in projected RBP savings.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$195M/yr in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one year’s value managed: $195M/yr RHT + $300M+/yr projected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