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9">
        <w:r>
          <w:t xml:space="preserve">The Vermont Clinically Integrated Network — A New Technology Institution</w:t>
        </w:r>
      </w:hyperlink>
      <w:r>
        <w:tab/>
      </w:r>
      <w:r>
        <w:fldChar w:fldCharType="begin"/>
      </w:r>
      <w:r>
        <w:instrText xml:space="preserve"> PAGEREF _Toc1129 \h </w:instrText>
      </w:r>
      <w:r>
        <w:fldChar w:fldCharType="separate"/>
      </w:r>
      <w:r>
        <w:t>1</w:t>
      </w:r>
      <w:r>
        <w:fldChar w:fldCharType="end"/>
      </w:r>
    </w:p>
    <w:p>
      <w:pPr>
        <w:pStyle w:val="TOC2"/>
      </w:pPr>
      <w:hyperlink w:anchor="_Toc1132">
        <w:r>
          <w:t xml:space="preserve">FHIR Interoperability — The National Standard and Vermont’s Compliance Path</w:t>
        </w:r>
      </w:hyperlink>
      <w:r>
        <w:tab/>
      </w:r>
      <w:r>
        <w:fldChar w:fldCharType="begin"/>
      </w:r>
      <w:r>
        <w:instrText xml:space="preserve"> PAGEREF _Toc1132 \h </w:instrText>
      </w:r>
      <w:r>
        <w:fldChar w:fldCharType="separate"/>
      </w:r>
      <w:r>
        <w:t>1</w:t>
      </w:r>
      <w:r>
        <w:fldChar w:fldCharType="end"/>
      </w:r>
    </w:p>
    <w:p>
      <w:pPr>
        <w:pStyle w:val="TOC2"/>
      </w:pPr>
      <w:hyperlink w:anchor="_Toc1135">
        <w:r>
          <w:t xml:space="preserve">AI and Digital Health Technologies — Vermont’s Targeted Investment Strategy</w:t>
        </w:r>
      </w:hyperlink>
      <w:r>
        <w:tab/>
      </w:r>
      <w:r>
        <w:fldChar w:fldCharType="begin"/>
      </w:r>
      <w:r>
        <w:instrText xml:space="preserve"> PAGEREF _Toc1135 \h </w:instrText>
      </w:r>
      <w:r>
        <w:fldChar w:fldCharType="separate"/>
      </w:r>
      <w:r>
        <w:t>1</w:t>
      </w:r>
      <w:r>
        <w:fldChar w:fldCharType="end"/>
      </w:r>
    </w:p>
    <w:p>
      <w:pPr>
        <w:pStyle w:val="TOC2"/>
      </w:pPr>
      <w:hyperlink w:anchor="_Toc1141">
        <w:r>
          <w:t xml:space="preserve">AI Governance — Vermont’s Responsibility Before the Risk Arrives</w:t>
        </w:r>
      </w:hyperlink>
      <w:r>
        <w:tab/>
      </w:r>
      <w:r>
        <w:fldChar w:fldCharType="begin"/>
      </w:r>
      <w:r>
        <w:instrText xml:space="preserve"> PAGEREF _Toc1141 \h </w:instrText>
      </w:r>
      <w:r>
        <w:fldChar w:fldCharType="separate"/>
      </w:r>
      <w:r>
        <w:t>1</w:t>
      </w:r>
      <w:r>
        <w:fldChar w:fldCharType="end"/>
      </w:r>
    </w:p>
    <w:p>
      <w:pPr>
        <w:pStyle w:val="TOC2"/>
      </w:pPr>
      <w:hyperlink w:anchor="_Toc1143">
        <w:r>
          <w:t xml:space="preserve">Vermont’s Target Technology Architecture — A Framework for the Strategic Plan</w:t>
        </w:r>
      </w:hyperlink>
      <w:r>
        <w:tab/>
      </w:r>
      <w:r>
        <w:fldChar w:fldCharType="begin"/>
      </w:r>
      <w:r>
        <w:instrText xml:space="preserve"> PAGEREF _Toc1143 \h </w:instrText>
      </w:r>
      <w:r>
        <w:fldChar w:fldCharType="separate"/>
      </w:r>
      <w:r>
        <w:t>1</w:t>
      </w:r>
      <w:r>
        <w:fldChar w:fldCharType="end"/>
      </w:r>
    </w:p>
    <w:p>
      <w:pPr>
        <w:pStyle w:val="TOC2"/>
      </w:pPr>
      <w:hyperlink w:anchor="_Toc1144">
        <w:r>
          <w:t xml:space="preserve">Work This Chapter on the Platform</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Implications for You</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Key Concepts in This Chapter</w:t>
        </w:r>
      </w:hyperlink>
      <w:r>
        <w:tab/>
      </w:r>
      <w:r>
        <w:fldChar w:fldCharType="begin"/>
      </w:r>
      <w:r>
        <w:instrText xml:space="preserve"> PAGEREF _Toc1146 \h </w:instrText>
      </w:r>
      <w:r>
        <w:fldChar w:fldCharType="separate"/>
      </w:r>
      <w:r>
        <w:t>1</w:t>
      </w:r>
      <w:r>
        <w:fldChar w:fldCharType="end"/>
      </w:r>
    </w:p>
    <w:p>
      <w:pPr>
        <w:pStyle w:val="TOC1"/>
      </w:pPr>
      <w:hyperlink w:anchor="_Toc1147">
        <w:r>
          <w:t xml:space="preserve">Chapter 5: The Technology Pillar in Practice — FHIR, AI Governance, and Clinical Decision Support</w:t>
        </w:r>
      </w:hyperlink>
      <w:r>
        <w:tab/>
      </w:r>
      <w:r>
        <w:fldChar w:fldCharType="begin"/>
      </w:r>
      <w:r>
        <w:instrText xml:space="preserve"> PAGEREF _Toc1147 \h </w:instrText>
      </w:r>
      <w:r>
        <w:fldChar w:fldCharType="separate"/>
      </w:r>
      <w:r>
        <w:t>1</w:t>
      </w:r>
      <w:r>
        <w:fldChar w:fldCharType="end"/>
      </w:r>
    </w:p>
    <w:p>
      <w:pPr>
        <w:pStyle w:val="TOC2"/>
      </w:pPr>
      <w:hyperlink w:anchor="_Toc1148">
        <w:r>
          <w:t xml:space="preserve">From Architecture to Implementation</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FHIR Implementation — From Standard to Working System</w:t>
        </w:r>
      </w:hyperlink>
      <w:r>
        <w:tab/>
      </w:r>
      <w:r>
        <w:fldChar w:fldCharType="begin"/>
      </w:r>
      <w:r>
        <w:instrText xml:space="preserve"> PAGEREF _Toc1149 \h </w:instrText>
      </w:r>
      <w:r>
        <w:fldChar w:fldCharType="separate"/>
      </w:r>
      <w:r>
        <w:t>1</w:t>
      </w:r>
      <w:r>
        <w:fldChar w:fldCharType="end"/>
      </w:r>
    </w:p>
    <w:p>
      <w:pPr>
        <w:pStyle w:val="TOC2"/>
      </w:pPr>
      <w:hyperlink w:anchor="_Toc1153">
        <w:r>
          <w:t xml:space="preserve">AI Clinical Governance — The Complete Framework</w:t>
        </w:r>
      </w:hyperlink>
      <w:r>
        <w:tab/>
      </w:r>
      <w:r>
        <w:fldChar w:fldCharType="begin"/>
      </w:r>
      <w:r>
        <w:instrText xml:space="preserve"> PAGEREF _Toc1153 \h </w:instrText>
      </w:r>
      <w:r>
        <w:fldChar w:fldCharType="separate"/>
      </w:r>
      <w:r>
        <w:t>1</w:t>
      </w:r>
      <w:r>
        <w:fldChar w:fldCharType="end"/>
      </w:r>
    </w:p>
    <w:p>
      <w:pPr>
        <w:pStyle w:val="TOC2"/>
      </w:pPr>
      <w:hyperlink w:anchor="_Toc1160">
        <w:r>
          <w:t xml:space="preserve">Clinical Decision Support — From Alerts to Intelligence</w:t>
        </w:r>
      </w:hyperlink>
      <w:r>
        <w:tab/>
      </w:r>
      <w:r>
        <w:fldChar w:fldCharType="begin"/>
      </w:r>
      <w:r>
        <w:instrText xml:space="preserve"> PAGEREF _Toc1160 \h </w:instrText>
      </w:r>
      <w:r>
        <w:fldChar w:fldCharType="separate"/>
      </w:r>
      <w:r>
        <w:t>1</w:t>
      </w:r>
      <w:r>
        <w:fldChar w:fldCharType="end"/>
      </w:r>
    </w:p>
    <w:p>
      <w:pPr>
        <w:pStyle w:val="TOC2"/>
      </w:pPr>
      <w:hyperlink w:anchor="_Toc1163">
        <w:r>
          <w:t xml:space="preserve">Cybersecurity in Rural Health Infrastructure</w:t>
        </w:r>
      </w:hyperlink>
      <w:r>
        <w:tab/>
      </w:r>
      <w:r>
        <w:fldChar w:fldCharType="begin"/>
      </w:r>
      <w:r>
        <w:instrText xml:space="preserve"> PAGEREF _Toc1163 \h </w:instrText>
      </w:r>
      <w:r>
        <w:fldChar w:fldCharType="separate"/>
      </w:r>
      <w:r>
        <w:t>1</w:t>
      </w:r>
      <w:r>
        <w:fldChar w:fldCharType="end"/>
      </w:r>
    </w:p>
    <w:p>
      <w:pPr>
        <w:pStyle w:val="TOC2"/>
      </w:pPr>
      <w:hyperlink w:anchor="_Toc1165">
        <w:r>
          <w:t xml:space="preserve">Technology Pillar Implementation Matrix</w:t>
        </w:r>
      </w:hyperlink>
      <w:r>
        <w:tab/>
      </w:r>
      <w:r>
        <w:fldChar w:fldCharType="begin"/>
      </w:r>
      <w:r>
        <w:instrText xml:space="preserve"> PAGEREF _Toc1165 \h </w:instrText>
      </w:r>
      <w:r>
        <w:fldChar w:fldCharType="separate"/>
      </w:r>
      <w:r>
        <w:t>1</w:t>
      </w:r>
      <w:r>
        <w:fldChar w:fldCharType="end"/>
      </w:r>
    </w:p>
    <w:p>
      <w:pPr>
        <w:pStyle w:val="TOC2"/>
      </w:pPr>
      <w:hyperlink w:anchor="_Toc1166">
        <w:r>
          <w:t xml:space="preserve">Work This Chapter on the Platform</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Implications for You</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Key Concepts in This Chapter</w:t>
        </w:r>
      </w:hyperlink>
      <w:r>
        <w:tab/>
      </w:r>
      <w:r>
        <w:fldChar w:fldCharType="begin"/>
      </w:r>
      <w:r>
        <w:instrText xml:space="preserve"> PAGEREF _Toc1168 \h </w:instrText>
      </w:r>
      <w:r>
        <w:fldChar w:fldCharType="separate"/>
      </w:r>
      <w:r>
        <w:t>1</w:t>
      </w:r>
      <w:r>
        <w:fldChar w:fldCharType="end"/>
      </w:r>
    </w:p>
    <w:p>
      <w:pPr>
        <w:pStyle w:val="TOC1"/>
      </w:pPr>
      <w:hyperlink w:anchor="_Toc1169">
        <w:r>
          <w:t xml:space="preserve">Chapter 6: The Economics Pillar — Global Budgets, Reference-Based Pricing, and Financial Reform</w:t>
        </w:r>
      </w:hyperlink>
      <w:r>
        <w:tab/>
      </w:r>
      <w:r>
        <w:fldChar w:fldCharType="begin"/>
      </w:r>
      <w:r>
        <w:instrText xml:space="preserve"> PAGEREF _Toc1169 \h </w:instrText>
      </w:r>
      <w:r>
        <w:fldChar w:fldCharType="separate"/>
      </w:r>
      <w:r>
        <w:t>1</w:t>
      </w:r>
      <w:r>
        <w:fldChar w:fldCharType="end"/>
      </w:r>
    </w:p>
    <w:p>
      <w:pPr>
        <w:pStyle w:val="TOC2"/>
      </w:pPr>
      <w:hyperlink w:anchor="_Toc1170">
        <w:r>
          <w:t xml:space="preserve">The Economics Pillar: Why Payment Reform Is the Master Variable</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Fee-for-Service Trap — Why the Current System Fails</w:t>
        </w:r>
      </w:hyperlink>
      <w:r>
        <w:tab/>
      </w:r>
      <w:r>
        <w:fldChar w:fldCharType="begin"/>
      </w:r>
      <w:r>
        <w:instrText xml:space="preserve"> PAGEREF _Toc1171 \h </w:instrText>
      </w:r>
      <w:r>
        <w:fldChar w:fldCharType="separate"/>
      </w:r>
      <w:r>
        <w:t>1</w:t>
      </w:r>
      <w:r>
        <w:fldChar w:fldCharType="end"/>
      </w:r>
    </w:p>
    <w:p>
      <w:pPr>
        <w:pStyle w:val="TOC2"/>
      </w:pPr>
      <w:hyperlink w:anchor="_Toc1175">
        <w:r>
          <w:t xml:space="preserve">Reference-Based Pricing — Mechanics, Evidence, and Vermont’s Design</w:t>
        </w:r>
      </w:hyperlink>
      <w:r>
        <w:tab/>
      </w:r>
      <w:r>
        <w:fldChar w:fldCharType="begin"/>
      </w:r>
      <w:r>
        <w:instrText xml:space="preserve"> PAGEREF _Toc1175 \h </w:instrText>
      </w:r>
      <w:r>
        <w:fldChar w:fldCharType="separate"/>
      </w:r>
      <w:r>
        <w:t>1</w:t>
      </w:r>
      <w:r>
        <w:fldChar w:fldCharType="end"/>
      </w:r>
    </w:p>
    <w:p>
      <w:pPr>
        <w:pStyle w:val="TOC2"/>
      </w:pPr>
      <w:hyperlink w:anchor="_Toc1180">
        <w:r>
          <w:t xml:space="preserve">Hospital Global Budgets — Architecture, History, and Vermont’s Mandate</w:t>
        </w:r>
      </w:hyperlink>
      <w:r>
        <w:tab/>
      </w:r>
      <w:r>
        <w:fldChar w:fldCharType="begin"/>
      </w:r>
      <w:r>
        <w:instrText xml:space="preserve"> PAGEREF _Toc1180 \h </w:instrText>
      </w:r>
      <w:r>
        <w:fldChar w:fldCharType="separate"/>
      </w:r>
      <w:r>
        <w:t>1</w:t>
      </w:r>
      <w:r>
        <w:fldChar w:fldCharType="end"/>
      </w:r>
    </w:p>
    <w:p>
      <w:pPr>
        <w:pStyle w:val="TOC2"/>
      </w:pPr>
      <w:hyperlink w:anchor="_Toc1184">
        <w:r>
          <w:t xml:space="preserve">Maryland — A Decade of Global Budget Evidence</w:t>
        </w:r>
      </w:hyperlink>
      <w:r>
        <w:tab/>
      </w:r>
      <w:r>
        <w:fldChar w:fldCharType="begin"/>
      </w:r>
      <w:r>
        <w:instrText xml:space="preserve"> PAGEREF _Toc1184 \h </w:instrText>
      </w:r>
      <w:r>
        <w:fldChar w:fldCharType="separate"/>
      </w:r>
      <w:r>
        <w:t>1</w:t>
      </w:r>
      <w:r>
        <w:fldChar w:fldCharType="end"/>
      </w:r>
    </w:p>
    <w:p>
      <w:pPr>
        <w:pStyle w:val="TOC2"/>
      </w:pPr>
      <w:hyperlink w:anchor="_Toc1189">
        <w:r>
          <w:t xml:space="preserve">The AHEAD Model — Medicare’s Entry into Vermont’s Reform</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Hospital Financial Modeling — Reading the Numbers That Matter</w:t>
        </w:r>
      </w:hyperlink>
      <w:r>
        <w:tab/>
      </w:r>
      <w:r>
        <w:fldChar w:fldCharType="begin"/>
      </w:r>
      <w:r>
        <w:instrText xml:space="preserve"> PAGEREF _Toc1192 \h </w:instrText>
      </w:r>
      <w:r>
        <w:fldChar w:fldCharType="separate"/>
      </w:r>
      <w:r>
        <w:t>1</w:t>
      </w:r>
      <w:r>
        <w:fldChar w:fldCharType="end"/>
      </w:r>
    </w:p>
    <w:p>
      <w:pPr>
        <w:pStyle w:val="TOC2"/>
      </w:pPr>
      <w:hyperlink w:anchor="_Toc1196">
        <w:r>
          <w:t xml:space="preserve">APM Transition Strategy for Vermont Healthcare Organizations</w:t>
        </w:r>
      </w:hyperlink>
      <w:r>
        <w:tab/>
      </w:r>
      <w:r>
        <w:fldChar w:fldCharType="begin"/>
      </w:r>
      <w:r>
        <w:instrText xml:space="preserve"> PAGEREF _Toc1196 \h </w:instrText>
      </w:r>
      <w:r>
        <w:fldChar w:fldCharType="separate"/>
      </w:r>
      <w:r>
        <w:t>1</w:t>
      </w:r>
      <w:r>
        <w:fldChar w:fldCharType="end"/>
      </w:r>
    </w:p>
    <w:p>
      <w:pPr>
        <w:pStyle w:val="TOC2"/>
      </w:pPr>
      <w:hyperlink w:anchor="_Toc1199">
        <w:r>
          <w:t xml:space="preserve">Work This Chapter on the Platform</w:t>
        </w:r>
      </w:hyperlink>
      <w:r>
        <w:tab/>
      </w:r>
      <w:r>
        <w:fldChar w:fldCharType="begin"/>
      </w:r>
      <w:r>
        <w:instrText xml:space="preserve"> PAGEREF _Toc1199 \h </w:instrText>
      </w:r>
      <w:r>
        <w:fldChar w:fldCharType="separate"/>
      </w:r>
      <w:r>
        <w:t>1</w:t>
      </w:r>
      <w:r>
        <w:fldChar w:fldCharType="end"/>
      </w:r>
    </w:p>
    <w:p>
      <w:pPr>
        <w:pStyle w:val="TOC2"/>
      </w:pPr>
      <w:hyperlink w:anchor="_Toc1200">
        <w:r>
          <w:t xml:space="preserve">Implications for You</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Key Concepts in This Chapter</w:t>
        </w:r>
      </w:hyperlink>
      <w:r>
        <w:tab/>
      </w:r>
      <w:r>
        <w:fldChar w:fldCharType="begin"/>
      </w:r>
      <w:r>
        <w:instrText xml:space="preserve"> PAGEREF _Toc1201 \h </w:instrText>
      </w:r>
      <w:r>
        <w:fldChar w:fldCharType="separate"/>
      </w:r>
      <w:r>
        <w:t>1</w:t>
      </w:r>
      <w:r>
        <w:fldChar w:fldCharType="end"/>
      </w:r>
    </w:p>
    <w:p>
      <w:pPr>
        <w:pStyle w:val="TOC1"/>
      </w:pPr>
      <w:hyperlink w:anchor="_Toc1202">
        <w:r>
          <w:t xml:space="preserve">Chapter 7: The Economics Pillar in Practice — VBC Financial Modeling and APM Readiness</w:t>
        </w:r>
      </w:hyperlink>
      <w:r>
        <w:tab/>
      </w:r>
      <w:r>
        <w:fldChar w:fldCharType="begin"/>
      </w:r>
      <w:r>
        <w:instrText xml:space="preserve"> PAGEREF _Toc1202 \h </w:instrText>
      </w:r>
      <w:r>
        <w:fldChar w:fldCharType="separate"/>
      </w:r>
      <w:r>
        <w:t>1</w:t>
      </w:r>
      <w:r>
        <w:fldChar w:fldCharType="end"/>
      </w:r>
    </w:p>
    <w:p>
      <w:pPr>
        <w:pStyle w:val="TOC2"/>
      </w:pPr>
      <w:hyperlink w:anchor="_Toc1203">
        <w:r>
          <w:t xml:space="preserve">From Payment Architecture to Financial Practice</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The APM Financial Modeling Framework</w:t>
        </w:r>
      </w:hyperlink>
      <w:r>
        <w:tab/>
      </w:r>
      <w:r>
        <w:fldChar w:fldCharType="begin"/>
      </w:r>
      <w:r>
        <w:instrText xml:space="preserve"> PAGEREF _Toc1204 \h </w:instrText>
      </w:r>
      <w:r>
        <w:fldChar w:fldCharType="separate"/>
      </w:r>
      <w:r>
        <w:t>1</w:t>
      </w:r>
      <w:r>
        <w:fldChar w:fldCharType="end"/>
      </w:r>
    </w:p>
    <w:p>
      <w:pPr>
        <w:pStyle w:val="TOC2"/>
      </w:pPr>
      <w:hyperlink w:anchor="_Toc1212">
        <w:r>
          <w:t xml:space="preserve">Economics Pillar Implementation Matrix</w:t>
        </w:r>
      </w:hyperlink>
      <w:r>
        <w:tab/>
      </w:r>
      <w:r>
        <w:fldChar w:fldCharType="begin"/>
      </w:r>
      <w:r>
        <w:instrText xml:space="preserve"> PAGEREF _Toc1212 \h </w:instrText>
      </w:r>
      <w:r>
        <w:fldChar w:fldCharType="separate"/>
      </w:r>
      <w:r>
        <w:t>1</w:t>
      </w:r>
      <w:r>
        <w:fldChar w:fldCharType="end"/>
      </w:r>
    </w:p>
    <w:p>
      <w:pPr>
        <w:pStyle w:val="TOC2"/>
      </w:pPr>
      <w:hyperlink w:anchor="_Toc1213">
        <w:r>
          <w:t xml:space="preserve">APM Readiness Assessment — The 30-Dimension Framework</w:t>
        </w:r>
      </w:hyperlink>
      <w:r>
        <w:tab/>
      </w:r>
      <w:r>
        <w:fldChar w:fldCharType="begin"/>
      </w:r>
      <w:r>
        <w:instrText xml:space="preserve"> PAGEREF _Toc1213 \h </w:instrText>
      </w:r>
      <w:r>
        <w:fldChar w:fldCharType="separate"/>
      </w:r>
      <w:r>
        <w:t>1</w:t>
      </w:r>
      <w:r>
        <w:fldChar w:fldCharType="end"/>
      </w:r>
    </w:p>
    <w:p>
      <w:pPr>
        <w:pStyle w:val="TOC2"/>
      </w:pPr>
      <w:hyperlink w:anchor="_Toc1216">
        <w:r>
          <w:t xml:space="preserve">Contract Analysis — Reading an APM Contract for Financial Risk</w:t>
        </w:r>
      </w:hyperlink>
      <w:r>
        <w:tab/>
      </w:r>
      <w:r>
        <w:fldChar w:fldCharType="begin"/>
      </w:r>
      <w:r>
        <w:instrText xml:space="preserve"> PAGEREF _Toc1216 \h </w:instrText>
      </w:r>
      <w:r>
        <w:fldChar w:fldCharType="separate"/>
      </w:r>
      <w:r>
        <w:t>1</w:t>
      </w:r>
      <w:r>
        <w:fldChar w:fldCharType="end"/>
      </w:r>
    </w:p>
    <w:p>
      <w:pPr>
        <w:pStyle w:val="TOC2"/>
      </w:pPr>
      <w:hyperlink w:anchor="_Toc1218">
        <w:r>
          <w:t xml:space="preserve">Hospital Financial Modeling Under Global Budgets — The Vermont Framework</w:t>
        </w:r>
      </w:hyperlink>
      <w:r>
        <w:tab/>
      </w:r>
      <w:r>
        <w:fldChar w:fldCharType="begin"/>
      </w:r>
      <w:r>
        <w:instrText xml:space="preserve"> PAGEREF _Toc1218 \h </w:instrText>
      </w:r>
      <w:r>
        <w:fldChar w:fldCharType="separate"/>
      </w:r>
      <w:r>
        <w:t>1</w:t>
      </w:r>
      <w:r>
        <w:fldChar w:fldCharType="end"/>
      </w:r>
    </w:p>
    <w:p>
      <w:pPr>
        <w:pStyle w:val="TOC2"/>
      </w:pPr>
      <w:hyperlink w:anchor="_Toc1221">
        <w:r>
          <w:t xml:space="preserve">The ROI of Transformation — Building the Financial Case</w:t>
        </w:r>
      </w:hyperlink>
      <w:r>
        <w:tab/>
      </w:r>
      <w:r>
        <w:fldChar w:fldCharType="begin"/>
      </w:r>
      <w:r>
        <w:instrText xml:space="preserve"> PAGEREF _Toc1221 \h </w:instrText>
      </w:r>
      <w:r>
        <w:fldChar w:fldCharType="separate"/>
      </w:r>
      <w:r>
        <w:t>1</w:t>
      </w:r>
      <w:r>
        <w:fldChar w:fldCharType="end"/>
      </w:r>
    </w:p>
    <w:p>
      <w:pPr>
        <w:pStyle w:val="TOC2"/>
      </w:pPr>
      <w:hyperlink w:anchor="_Toc1223">
        <w:r>
          <w:t xml:space="preserve">Making Care Primary — Vermont’s Primary Care Economics</w:t>
        </w:r>
      </w:hyperlink>
      <w:r>
        <w:tab/>
      </w:r>
      <w:r>
        <w:fldChar w:fldCharType="begin"/>
      </w:r>
      <w:r>
        <w:instrText xml:space="preserve"> PAGEREF _Toc1223 \h </w:instrText>
      </w:r>
      <w:r>
        <w:fldChar w:fldCharType="separate"/>
      </w:r>
      <w:r>
        <w:t>1</w:t>
      </w:r>
      <w:r>
        <w:fldChar w:fldCharType="end"/>
      </w:r>
    </w:p>
    <w:p>
      <w:pPr>
        <w:pStyle w:val="TOC2"/>
      </w:pPr>
      <w:hyperlink w:anchor="_Toc1224">
        <w:r>
          <w:t xml:space="preserve">Work This Chapter on the Platform</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Implications for You</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Key Concepts in This Chapter</w:t>
        </w:r>
      </w:hyperlink>
      <w:r>
        <w:tab/>
      </w:r>
      <w:r>
        <w:fldChar w:fldCharType="begin"/>
      </w:r>
      <w:r>
        <w:instrText xml:space="preserve"> PAGEREF _Toc1226 \h </w:instrText>
      </w:r>
      <w:r>
        <w:fldChar w:fldCharType="separate"/>
      </w:r>
      <w:r>
        <w:t>1</w:t>
      </w:r>
      <w:r>
        <w:fldChar w:fldCharType="end"/>
      </w:r>
    </w:p>
    <w:p>
      <w:pPr>
        <w:pStyle w:val="TOC1"/>
      </w:pPr>
      <w:hyperlink w:anchor="_Toc1227">
        <w:r>
          <w:t xml:space="preserve">Chapter 8: The Clinical Pillar — Redesigning Care Delivery for a Transformed System</w:t>
        </w:r>
      </w:hyperlink>
      <w:r>
        <w:tab/>
      </w:r>
      <w:r>
        <w:fldChar w:fldCharType="begin"/>
      </w:r>
      <w:r>
        <w:instrText xml:space="preserve"> PAGEREF _Toc1227 \h </w:instrText>
      </w:r>
      <w:r>
        <w:fldChar w:fldCharType="separate"/>
      </w:r>
      <w:r>
        <w:t>1</w:t>
      </w:r>
      <w:r>
        <w:fldChar w:fldCharType="end"/>
      </w:r>
    </w:p>
    <w:p>
      <w:pPr>
        <w:pStyle w:val="TOC2"/>
      </w:pPr>
      <w:hyperlink w:anchor="_Toc1228">
        <w:r>
          <w:t xml:space="preserve">The Clinical Pillar: What It Is and Why It Is Not the Same as Clinical Quality</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Vermont Blueprint for Health — Two Decades of Primary Care Transformation</w:t>
        </w:r>
      </w:hyperlink>
      <w:r>
        <w:tab/>
      </w:r>
      <w:r>
        <w:fldChar w:fldCharType="begin"/>
      </w:r>
      <w:r>
        <w:instrText xml:space="preserve"> PAGEREF _Toc1229 \h </w:instrText>
      </w:r>
      <w:r>
        <w:fldChar w:fldCharType="separate"/>
      </w:r>
      <w:r>
        <w:t>1</w:t>
      </w:r>
      <w:r>
        <w:fldChar w:fldCharType="end"/>
      </w:r>
    </w:p>
    <w:p>
      <w:pPr>
        <w:pStyle w:val="TOC2"/>
      </w:pPr>
      <w:hyperlink w:anchor="_Toc1233">
        <w:r>
          <w:t xml:space="preserve">The Behavioral Health Crisis — Vermont’s Most Urgent Clinical Challenge</w:t>
        </w:r>
      </w:hyperlink>
      <w:r>
        <w:tab/>
      </w:r>
      <w:r>
        <w:fldChar w:fldCharType="begin"/>
      </w:r>
      <w:r>
        <w:instrText xml:space="preserve"> PAGEREF _Toc1233 \h </w:instrText>
      </w:r>
      <w:r>
        <w:fldChar w:fldCharType="separate"/>
      </w:r>
      <w:r>
        <w:t>1</w:t>
      </w:r>
      <w:r>
        <w:fldChar w:fldCharType="end"/>
      </w:r>
    </w:p>
    <w:p>
      <w:pPr>
        <w:pStyle w:val="TOC2"/>
      </w:pPr>
      <w:hyperlink w:anchor="_Toc1237">
        <w:r>
          <w:t xml:space="preserve">Primary Care Redesign — Vermont’s Strategy for the Front Door</w:t>
        </w:r>
      </w:hyperlink>
      <w:r>
        <w:tab/>
      </w:r>
      <w:r>
        <w:fldChar w:fldCharType="begin"/>
      </w:r>
      <w:r>
        <w:instrText xml:space="preserve"> PAGEREF _Toc1237 \h </w:instrText>
      </w:r>
      <w:r>
        <w:fldChar w:fldCharType="separate"/>
      </w:r>
      <w:r>
        <w:t>1</w:t>
      </w:r>
      <w:r>
        <w:fldChar w:fldCharType="end"/>
      </w:r>
    </w:p>
    <w:p>
      <w:pPr>
        <w:pStyle w:val="TOC2"/>
      </w:pPr>
      <w:hyperlink w:anchor="_Toc1240">
        <w:r>
          <w:t xml:space="preserve">Vermont’s Clinical Quality Architecture — Measuring What Matters</w:t>
        </w:r>
      </w:hyperlink>
      <w:r>
        <w:tab/>
      </w:r>
      <w:r>
        <w:fldChar w:fldCharType="begin"/>
      </w:r>
      <w:r>
        <w:instrText xml:space="preserve"> PAGEREF _Toc1240 \h </w:instrText>
      </w:r>
      <w:r>
        <w:fldChar w:fldCharType="separate"/>
      </w:r>
      <w:r>
        <w:t>1</w:t>
      </w:r>
      <w:r>
        <w:fldChar w:fldCharType="end"/>
      </w:r>
    </w:p>
    <w:p>
      <w:pPr>
        <w:pStyle w:val="TOC2"/>
      </w:pPr>
      <w:hyperlink w:anchor="_Toc1242">
        <w:r>
          <w:t xml:space="preserve">Care for Vermont’s Aging Population — The Clinical Imperative</w:t>
        </w:r>
      </w:hyperlink>
      <w:r>
        <w:tab/>
      </w:r>
      <w:r>
        <w:fldChar w:fldCharType="begin"/>
      </w:r>
      <w:r>
        <w:instrText xml:space="preserve"> PAGEREF _Toc1242 \h </w:instrText>
      </w:r>
      <w:r>
        <w:fldChar w:fldCharType="separate"/>
      </w:r>
      <w:r>
        <w:t>1</w:t>
      </w:r>
      <w:r>
        <w:fldChar w:fldCharType="end"/>
      </w:r>
    </w:p>
    <w:p>
      <w:pPr>
        <w:pStyle w:val="TOC2"/>
      </w:pPr>
      <w:hyperlink w:anchor="_Toc1245">
        <w:r>
          <w:t xml:space="preserve">Clinical Pillar Implications for AHS’s Statewide Strategic Plan</w:t>
        </w:r>
      </w:hyperlink>
      <w:r>
        <w:tab/>
      </w:r>
      <w:r>
        <w:fldChar w:fldCharType="begin"/>
      </w:r>
      <w:r>
        <w:instrText xml:space="preserve"> PAGEREF _Toc1245 \h </w:instrText>
      </w:r>
      <w:r>
        <w:fldChar w:fldCharType="separate"/>
      </w:r>
      <w:r>
        <w:t>1</w:t>
      </w:r>
      <w:r>
        <w:fldChar w:fldCharType="end"/>
      </w:r>
    </w:p>
    <w:p>
      <w:pPr>
        <w:pStyle w:val="TOC2"/>
      </w:pPr>
      <w:hyperlink w:anchor="_Toc1246">
        <w:r>
          <w:t xml:space="preserve">Work This Chapter on the Platform</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Implications for You</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Key Concepts in This Chapter</w:t>
        </w:r>
      </w:hyperlink>
      <w:r>
        <w:tab/>
      </w:r>
      <w:r>
        <w:fldChar w:fldCharType="begin"/>
      </w:r>
      <w:r>
        <w:instrText xml:space="preserve"> PAGEREF _Toc1248 \h </w:instrText>
      </w:r>
      <w:r>
        <w:fldChar w:fldCharType="separate"/>
      </w:r>
      <w:r>
        <w:t>1</w:t>
      </w:r>
      <w:r>
        <w:fldChar w:fldCharType="end"/>
      </w:r>
    </w:p>
    <w:p>
      <w:pPr>
        <w:pStyle w:val="TOC1"/>
      </w:pPr>
      <w:hyperlink w:anchor="_Toc1249">
        <w:r>
          <w:t xml:space="preserve">Chapter 9: The Clinical Pillar in Practice — Care Model Implementation, Quality Mechanics, and the Vermont Clinical Transformation Toolkit</w:t>
        </w:r>
      </w:hyperlink>
      <w:r>
        <w:tab/>
      </w:r>
      <w:r>
        <w:fldChar w:fldCharType="begin"/>
      </w:r>
      <w:r>
        <w:instrText xml:space="preserve"> PAGEREF _Toc1249 \h </w:instrText>
      </w:r>
      <w:r>
        <w:fldChar w:fldCharType="separate"/>
      </w:r>
      <w:r>
        <w:t>1</w:t>
      </w:r>
      <w:r>
        <w:fldChar w:fldCharType="end"/>
      </w:r>
    </w:p>
    <w:p>
      <w:pPr>
        <w:pStyle w:val="TOC2"/>
      </w:pPr>
      <w:hyperlink w:anchor="_Toc1250">
        <w:r>
          <w:t xml:space="preserve">From Clinical Architecture to Clinical Practice</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PCMH Transformation — The Blueprint Practice Implementation Playbook</w:t>
        </w:r>
      </w:hyperlink>
      <w:r>
        <w:tab/>
      </w:r>
      <w:r>
        <w:fldChar w:fldCharType="begin"/>
      </w:r>
      <w:r>
        <w:instrText xml:space="preserve"> PAGEREF _Toc1251 \h </w:instrText>
      </w:r>
      <w:r>
        <w:fldChar w:fldCharType="separate"/>
      </w:r>
      <w:r>
        <w:t>1</w:t>
      </w:r>
      <w:r>
        <w:fldChar w:fldCharType="end"/>
      </w:r>
    </w:p>
    <w:p>
      <w:pPr>
        <w:pStyle w:val="TOC2"/>
      </w:pPr>
      <w:hyperlink w:anchor="_Toc1255">
        <w:r>
          <w:t xml:space="preserve">Deploying the Collaborative Care Model — Operational Requirements</w:t>
        </w:r>
      </w:hyperlink>
      <w:r>
        <w:tab/>
      </w:r>
      <w:r>
        <w:fldChar w:fldCharType="begin"/>
      </w:r>
      <w:r>
        <w:instrText xml:space="preserve"> PAGEREF _Toc1255 \h </w:instrText>
      </w:r>
      <w:r>
        <w:fldChar w:fldCharType="separate"/>
      </w:r>
      <w:r>
        <w:t>1</w:t>
      </w:r>
      <w:r>
        <w:fldChar w:fldCharType="end"/>
      </w:r>
    </w:p>
    <w:p>
      <w:pPr>
        <w:pStyle w:val="TOC2"/>
      </w:pPr>
      <w:hyperlink w:anchor="_Toc1259">
        <w:r>
          <w:t xml:space="preserve">HEDIS Improvement Methodology — Vermont Context</w:t>
        </w:r>
      </w:hyperlink>
      <w:r>
        <w:tab/>
      </w:r>
      <w:r>
        <w:fldChar w:fldCharType="begin"/>
      </w:r>
      <w:r>
        <w:instrText xml:space="preserve"> PAGEREF _Toc1259 \h </w:instrText>
      </w:r>
      <w:r>
        <w:fldChar w:fldCharType="separate"/>
      </w:r>
      <w:r>
        <w:t>1</w:t>
      </w:r>
      <w:r>
        <w:fldChar w:fldCharType="end"/>
      </w:r>
    </w:p>
    <w:p>
      <w:pPr>
        <w:pStyle w:val="TOC2"/>
      </w:pPr>
      <w:hyperlink w:anchor="_Toc1262">
        <w:r>
          <w:t xml:space="preserve">The Clinical Data Infrastructure — Connecting Care to Population Health Management</w:t>
        </w:r>
      </w:hyperlink>
      <w:r>
        <w:tab/>
      </w:r>
      <w:r>
        <w:fldChar w:fldCharType="begin"/>
      </w:r>
      <w:r>
        <w:instrText xml:space="preserve"> PAGEREF _Toc1262 \h </w:instrText>
      </w:r>
      <w:r>
        <w:fldChar w:fldCharType="separate"/>
      </w:r>
      <w:r>
        <w:t>1</w:t>
      </w:r>
      <w:r>
        <w:fldChar w:fldCharType="end"/>
      </w:r>
    </w:p>
    <w:p>
      <w:pPr>
        <w:pStyle w:val="TOC2"/>
      </w:pPr>
      <w:hyperlink w:anchor="_Toc1265">
        <w:r>
          <w:t xml:space="preserve">The Care Transition Protocol — Closing the Loop Between Hospital and Community</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Clinical Leadership in Transformation — The Under-Resourced Pillar</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Pillar Implementation Commitments for AHS’s Statewide Strategic Plan</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Matrix</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Work This Chapter on the Platform</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Implications for You</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Key Concepts in This Chapter</w:t>
        </w:r>
      </w:hyperlink>
      <w:r>
        <w:tab/>
      </w:r>
      <w:r>
        <w:fldChar w:fldCharType="begin"/>
      </w:r>
      <w:r>
        <w:instrText xml:space="preserve"> PAGEREF _Toc1271 \h </w:instrText>
      </w:r>
      <w:r>
        <w:fldChar w:fldCharType="separate"/>
      </w:r>
      <w:r>
        <w:t>1</w:t>
      </w:r>
      <w:r>
        <w:fldChar w:fldCharType="end"/>
      </w:r>
    </w:p>
    <w:p>
      <w:pPr>
        <w:pStyle w:val="TOC1"/>
      </w:pPr>
      <w:hyperlink w:anchor="_Toc1272">
        <w:r>
          <w:t xml:space="preserve">Chapter 10: The Equity Pillar — Closing Gaps, Not Just Averaging Them</w:t>
        </w:r>
      </w:hyperlink>
      <w:r>
        <w:tab/>
      </w:r>
      <w:r>
        <w:fldChar w:fldCharType="begin"/>
      </w:r>
      <w:r>
        <w:instrText xml:space="preserve"> PAGEREF _Toc1272 \h </w:instrText>
      </w:r>
      <w:r>
        <w:fldChar w:fldCharType="separate"/>
      </w:r>
      <w:r>
        <w:t>1</w:t>
      </w:r>
      <w:r>
        <w:fldChar w:fldCharType="end"/>
      </w:r>
    </w:p>
    <w:p>
      <w:pPr>
        <w:pStyle w:val="TOC2"/>
      </w:pPr>
      <w:hyperlink w:anchor="_Toc1273">
        <w:r>
          <w:t xml:space="preserve">The Equity Pillar: Why Average Outcomes Are the Wrong Target</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Vermont’s Equity Landscape — What the Data Shows</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The Disparity Root Cause Taxonomy — Why Vermont’s Equity Gaps Exist</w:t>
        </w:r>
      </w:hyperlink>
      <w:r>
        <w:tab/>
      </w:r>
      <w:r>
        <w:fldChar w:fldCharType="begin"/>
      </w:r>
      <w:r>
        <w:instrText xml:space="preserve"> PAGEREF _Toc1278 \h </w:instrText>
      </w:r>
      <w:r>
        <w:fldChar w:fldCharType="separate"/>
      </w:r>
      <w:r>
        <w:t>1</w:t>
      </w:r>
      <w:r>
        <w:fldChar w:fldCharType="end"/>
      </w:r>
    </w:p>
    <w:p>
      <w:pPr>
        <w:pStyle w:val="TOC2"/>
      </w:pPr>
      <w:hyperlink w:anchor="_Toc1279">
        <w:r>
          <w:t xml:space="preserve">Rural Equity — Vermont’s Defining Challenge</w:t>
        </w:r>
      </w:hyperlink>
      <w:r>
        <w:tab/>
      </w:r>
      <w:r>
        <w:fldChar w:fldCharType="begin"/>
      </w:r>
      <w:r>
        <w:instrText xml:space="preserve"> PAGEREF _Toc1279 \h </w:instrText>
      </w:r>
      <w:r>
        <w:fldChar w:fldCharType="separate"/>
      </w:r>
      <w:r>
        <w:t>1</w:t>
      </w:r>
      <w:r>
        <w:fldChar w:fldCharType="end"/>
      </w:r>
    </w:p>
    <w:p>
      <w:pPr>
        <w:pStyle w:val="TOC2"/>
      </w:pPr>
      <w:hyperlink w:anchor="_Toc1281">
        <w:r>
          <w:t xml:space="preserve">The GLP-1 Access Crisis — The Most Important New Equity Issue</w:t>
        </w:r>
      </w:hyperlink>
      <w:r>
        <w:tab/>
      </w:r>
      <w:r>
        <w:fldChar w:fldCharType="begin"/>
      </w:r>
      <w:r>
        <w:instrText xml:space="preserve"> PAGEREF _Toc1281 \h </w:instrText>
      </w:r>
      <w:r>
        <w:fldChar w:fldCharType="separate"/>
      </w:r>
      <w:r>
        <w:t>1</w:t>
      </w:r>
      <w:r>
        <w:fldChar w:fldCharType="end"/>
      </w:r>
    </w:p>
    <w:p>
      <w:pPr>
        <w:pStyle w:val="TOC2"/>
      </w:pPr>
      <w:hyperlink w:anchor="_Toc1285">
        <w:r>
          <w:t xml:space="preserve">Vermont’s Equity Architecture — What Is Already Built and What Remains</w:t>
        </w:r>
      </w:hyperlink>
      <w:r>
        <w:tab/>
      </w:r>
      <w:r>
        <w:fldChar w:fldCharType="begin"/>
      </w:r>
      <w:r>
        <w:instrText xml:space="preserve"> PAGEREF _Toc1285 \h </w:instrText>
      </w:r>
      <w:r>
        <w:fldChar w:fldCharType="separate"/>
      </w:r>
      <w:r>
        <w:t>1</w:t>
      </w:r>
      <w:r>
        <w:fldChar w:fldCharType="end"/>
      </w:r>
    </w:p>
    <w:p>
      <w:pPr>
        <w:pStyle w:val="TOC2"/>
      </w:pPr>
      <w:hyperlink w:anchor="_Toc1288">
        <w:r>
          <w:t xml:space="preserve">Equity and the Six-Pillar Framework — How Every Pillar Has an Equity Dimension</w:t>
        </w:r>
      </w:hyperlink>
      <w:r>
        <w:tab/>
      </w:r>
      <w:r>
        <w:fldChar w:fldCharType="begin"/>
      </w:r>
      <w:r>
        <w:instrText xml:space="preserve"> PAGEREF _Toc1288 \h </w:instrText>
      </w:r>
      <w:r>
        <w:fldChar w:fldCharType="separate"/>
      </w:r>
      <w:r>
        <w:t>1</w:t>
      </w:r>
      <w:r>
        <w:fldChar w:fldCharType="end"/>
      </w:r>
    </w:p>
    <w:p>
      <w:pPr>
        <w:pStyle w:val="TOC2"/>
      </w:pPr>
      <w:hyperlink w:anchor="_Toc1289">
        <w:r>
          <w:t xml:space="preserve">Vermont’s Equity Accountability Framework</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Work This Chapter on the Platform</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Implications for You</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Measuring Equity: HEROI, HEDIS Stratification, and VBC Safeguards</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From Identifying Disparities to Eliminating Them</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Stratified HEDIS Measurement — The Foundation of Equity Analytics</w:t>
        </w:r>
      </w:hyperlink>
      <w:r>
        <w:tab/>
      </w:r>
      <w:r>
        <w:fldChar w:fldCharType="begin"/>
      </w:r>
      <w:r>
        <w:instrText xml:space="preserve"> PAGEREF _Toc1294 \h </w:instrText>
      </w:r>
      <w:r>
        <w:fldChar w:fldCharType="separate"/>
      </w:r>
      <w:r>
        <w:t>1</w:t>
      </w:r>
      <w:r>
        <w:fldChar w:fldCharType="end"/>
      </w:r>
    </w:p>
    <w:p>
      <w:pPr>
        <w:pStyle w:val="TOC2"/>
      </w:pPr>
      <w:hyperlink w:anchor="_Toc1296">
        <w:r>
          <w:t xml:space="preserve">Equity Pillar Implementation Matrix</w:t>
        </w:r>
      </w:hyperlink>
      <w:r>
        <w:tab/>
      </w:r>
      <w:r>
        <w:fldChar w:fldCharType="begin"/>
      </w:r>
      <w:r>
        <w:instrText xml:space="preserve"> PAGEREF _Toc1296 \h </w:instrText>
      </w:r>
      <w:r>
        <w:fldChar w:fldCharType="separate"/>
      </w:r>
      <w:r>
        <w:t>1</w:t>
      </w:r>
      <w:r>
        <w:fldChar w:fldCharType="end"/>
      </w:r>
    </w:p>
    <w:p>
      <w:pPr>
        <w:pStyle w:val="TOC2"/>
      </w:pPr>
      <w:hyperlink w:anchor="_Toc1298">
        <w:r>
          <w:t xml:space="preserve">The HEROI Framework — A Composite Equity Score</w:t>
        </w:r>
      </w:hyperlink>
      <w:r>
        <w:tab/>
      </w:r>
      <w:r>
        <w:fldChar w:fldCharType="begin"/>
      </w:r>
      <w:r>
        <w:instrText xml:space="preserve"> PAGEREF _Toc1298 \h </w:instrText>
      </w:r>
      <w:r>
        <w:fldChar w:fldCharType="separate"/>
      </w:r>
      <w:r>
        <w:t>1</w:t>
      </w:r>
      <w:r>
        <w:fldChar w:fldCharType="end"/>
      </w:r>
    </w:p>
    <w:p>
      <w:pPr>
        <w:pStyle w:val="TOC2"/>
      </w:pPr>
      <w:hyperlink w:anchor="_Toc1301">
        <w:r>
          <w:t xml:space="preserve">Root Cause Analytics — Matching Interventions to Causes</w:t>
        </w:r>
      </w:hyperlink>
      <w:r>
        <w:tab/>
      </w:r>
      <w:r>
        <w:fldChar w:fldCharType="begin"/>
      </w:r>
      <w:r>
        <w:instrText xml:space="preserve"> PAGEREF _Toc1301 \h </w:instrText>
      </w:r>
      <w:r>
        <w:fldChar w:fldCharType="separate"/>
      </w:r>
      <w:r>
        <w:t>1</w:t>
      </w:r>
      <w:r>
        <w:fldChar w:fldCharType="end"/>
      </w:r>
    </w:p>
    <w:p>
      <w:pPr>
        <w:pStyle w:val="TOC2"/>
      </w:pPr>
      <w:hyperlink w:anchor="_Toc1304">
        <w:r>
          <w:t xml:space="preserve">Equity in VBC Contracting — Protecting Against Unintended Consequences</w:t>
        </w:r>
      </w:hyperlink>
      <w:r>
        <w:tab/>
      </w:r>
      <w:r>
        <w:fldChar w:fldCharType="begin"/>
      </w:r>
      <w:r>
        <w:instrText xml:space="preserve"> PAGEREF _Toc1304 \h </w:instrText>
      </w:r>
      <w:r>
        <w:fldChar w:fldCharType="separate"/>
      </w:r>
      <w:r>
        <w:t>1</w:t>
      </w:r>
      <w:r>
        <w:fldChar w:fldCharType="end"/>
      </w:r>
    </w:p>
    <w:p>
      <w:pPr>
        <w:pStyle w:val="TOC2"/>
      </w:pPr>
      <w:hyperlink w:anchor="_Toc1307">
        <w:r>
          <w:t xml:space="preserve">Vermont’s Population Health Equity Analytics Architecture</w:t>
        </w:r>
      </w:hyperlink>
      <w:r>
        <w:tab/>
      </w:r>
      <w:r>
        <w:fldChar w:fldCharType="begin"/>
      </w:r>
      <w:r>
        <w:instrText xml:space="preserve"> PAGEREF _Toc1307 \h </w:instrText>
      </w:r>
      <w:r>
        <w:fldChar w:fldCharType="separate"/>
      </w:r>
      <w:r>
        <w:t>1</w:t>
      </w:r>
      <w:r>
        <w:fldChar w:fldCharType="end"/>
      </w:r>
    </w:p>
    <w:p>
      <w:pPr>
        <w:pStyle w:val="TOC2"/>
      </w:pPr>
      <w:hyperlink w:anchor="_Toc1308">
        <w:r>
          <w:t xml:space="preserve">Implications for You</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Key Concepts in This Chapter</w:t>
        </w:r>
      </w:hyperlink>
      <w:r>
        <w:tab/>
      </w:r>
      <w:r>
        <w:fldChar w:fldCharType="begin"/>
      </w:r>
      <w:r>
        <w:instrText xml:space="preserve"> PAGEREF _Toc1309 \h </w:instrText>
      </w:r>
      <w:r>
        <w:fldChar w:fldCharType="separate"/>
      </w:r>
      <w:r>
        <w:t>1</w:t>
      </w:r>
      <w:r>
        <w:fldChar w:fldCharType="end"/>
      </w:r>
    </w:p>
    <w:p>
      <w:pPr>
        <w:pStyle w:val="TOC1"/>
      </w:pPr>
      <w:hyperlink w:anchor="_Toc1310">
        <w:r>
          <w:t xml:space="preserve">Chapter 11: The Operations Pillar — Executing Hospital System Transformation</w:t>
        </w:r>
      </w:hyperlink>
      <w:r>
        <w:tab/>
      </w:r>
      <w:r>
        <w:fldChar w:fldCharType="begin"/>
      </w:r>
      <w:r>
        <w:instrText xml:space="preserve"> PAGEREF _Toc1310 \h </w:instrText>
      </w:r>
      <w:r>
        <w:fldChar w:fldCharType="separate"/>
      </w:r>
      <w:r>
        <w:t>1</w:t>
      </w:r>
      <w:r>
        <w:fldChar w:fldCharType="end"/>
      </w:r>
    </w:p>
    <w:p>
      <w:pPr>
        <w:pStyle w:val="TOC2"/>
      </w:pPr>
      <w:hyperlink w:anchor="_Toc1311">
        <w:r>
          <w:t xml:space="preserve">The Operations Pillar: Where Strategy Meets Reality</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Vermont Transformation Operating Model</w:t>
        </w:r>
      </w:hyperlink>
      <w:r>
        <w:tab/>
      </w:r>
      <w:r>
        <w:fldChar w:fldCharType="begin"/>
      </w:r>
      <w:r>
        <w:instrText xml:space="preserve"> PAGEREF _Toc1312 \h </w:instrText>
      </w:r>
      <w:r>
        <w:fldChar w:fldCharType="separate"/>
      </w:r>
      <w:r>
        <w:t>1</w:t>
      </w:r>
      <w:r>
        <w:fldChar w:fldCharType="end"/>
      </w:r>
    </w:p>
    <w:p>
      <w:pPr>
        <w:pStyle w:val="TOC2"/>
      </w:pPr>
      <w:hyperlink w:anchor="_Toc1315">
        <w:r>
          <w:t xml:space="preserve">The RHRC Methodology — Technical Assistance for Rural Hospital Transformation</w:t>
        </w:r>
      </w:hyperlink>
      <w:r>
        <w:tab/>
      </w:r>
      <w:r>
        <w:fldChar w:fldCharType="begin"/>
      </w:r>
      <w:r>
        <w:instrText xml:space="preserve"> PAGEREF _Toc1315 \h </w:instrText>
      </w:r>
      <w:r>
        <w:fldChar w:fldCharType="separate"/>
      </w:r>
      <w:r>
        <w:t>1</w:t>
      </w:r>
      <w:r>
        <w:fldChar w:fldCharType="end"/>
      </w:r>
    </w:p>
    <w:p>
      <w:pPr>
        <w:pStyle w:val="TOC2"/>
      </w:pPr>
      <w:hyperlink w:anchor="_Toc1319">
        <w:r>
          <w:t xml:space="preserve">The Vermont Hospital Performance Dashboard — Where Each Hospital Stands</w:t>
        </w:r>
      </w:hyperlink>
      <w:r>
        <w:tab/>
      </w:r>
      <w:r>
        <w:fldChar w:fldCharType="begin"/>
      </w:r>
      <w:r>
        <w:instrText xml:space="preserve"> PAGEREF _Toc1319 \h </w:instrText>
      </w:r>
      <w:r>
        <w:fldChar w:fldCharType="separate"/>
      </w:r>
      <w:r>
        <w:t>1</w:t>
      </w:r>
      <w:r>
        <w:fldChar w:fldCharType="end"/>
      </w:r>
    </w:p>
    <w:p>
      <w:pPr>
        <w:pStyle w:val="TOC2"/>
      </w:pPr>
      <w:hyperlink w:anchor="_Toc1320">
        <w:r>
          <w:t xml:space="preserve">Regionalization — The Operational Logic of Right-Sizing a 14-Hospital System</w:t>
        </w:r>
      </w:hyperlink>
      <w:r>
        <w:tab/>
      </w:r>
      <w:r>
        <w:fldChar w:fldCharType="begin"/>
      </w:r>
      <w:r>
        <w:instrText xml:space="preserve"> PAGEREF _Toc1320 \h </w:instrText>
      </w:r>
      <w:r>
        <w:fldChar w:fldCharType="separate"/>
      </w:r>
      <w:r>
        <w:t>1</w:t>
      </w:r>
      <w:r>
        <w:fldChar w:fldCharType="end"/>
      </w:r>
    </w:p>
    <w:p>
      <w:pPr>
        <w:pStyle w:val="TOC2"/>
      </w:pPr>
      <w:hyperlink w:anchor="_Toc1323">
        <w:r>
          <w:t xml:space="preserve">The Workforce Crisis — Vermont’s Most Binding Operational Constraint</w:t>
        </w:r>
      </w:hyperlink>
      <w:r>
        <w:tab/>
      </w:r>
      <w:r>
        <w:fldChar w:fldCharType="begin"/>
      </w:r>
      <w:r>
        <w:instrText xml:space="preserve"> PAGEREF _Toc1323 \h </w:instrText>
      </w:r>
      <w:r>
        <w:fldChar w:fldCharType="separate"/>
      </w:r>
      <w:r>
        <w:t>1</w:t>
      </w:r>
      <w:r>
        <w:fldChar w:fldCharType="end"/>
      </w:r>
    </w:p>
    <w:p>
      <w:pPr>
        <w:pStyle w:val="TOC2"/>
      </w:pPr>
      <w:hyperlink w:anchor="_Toc1327">
        <w:r>
          <w:t xml:space="preserve">The Operations Metrics Framework — What AHS Must Track</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AHS as System Operator — Organizational Design for the 2028 Mandate</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Work This Chapter on the Platform</w:t>
        </w:r>
      </w:hyperlink>
      <w:r>
        <w:tab/>
      </w:r>
      <w:r>
        <w:fldChar w:fldCharType="begin"/>
      </w:r>
      <w:r>
        <w:instrText xml:space="preserve"> PAGEREF _Toc1331 \h </w:instrText>
      </w:r>
      <w:r>
        <w:fldChar w:fldCharType="separate"/>
      </w:r>
      <w:r>
        <w:t>1</w:t>
      </w:r>
      <w:r>
        <w:fldChar w:fldCharType="end"/>
      </w:r>
    </w:p>
    <w:p>
      <w:pPr>
        <w:pStyle w:val="TOC2"/>
      </w:pPr>
      <w:hyperlink w:anchor="_Toc1332">
        <w:r>
          <w:t xml:space="preserve">Implications for You</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Revenue Cycle, HCC Coding, Credentialing, and Administrative Simplification</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Operations Where Money Actually Lives</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Revenue Cycle Transformation — From FFS Optimization to VBC Management</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HCC Coding Excellence — The Risk Adjustment Foundation</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Credentialing Efficiency — The Hidden Operations Bottleneck</w:t>
        </w:r>
      </w:hyperlink>
      <w:r>
        <w:tab/>
      </w:r>
      <w:r>
        <w:fldChar w:fldCharType="begin"/>
      </w:r>
      <w:r>
        <w:instrText xml:space="preserve"> PAGEREF _Toc1342 \h </w:instrText>
      </w:r>
      <w:r>
        <w:fldChar w:fldCharType="separate"/>
      </w:r>
      <w:r>
        <w:t>1</w:t>
      </w:r>
      <w:r>
        <w:fldChar w:fldCharType="end"/>
      </w:r>
    </w:p>
    <w:p>
      <w:pPr>
        <w:pStyle w:val="TOC2"/>
      </w:pPr>
      <w:hyperlink w:anchor="_Toc1345">
        <w:r>
          <w:t xml:space="preserve">Workforce Operations — Managing the Care Team in a Transformed System</w:t>
        </w:r>
      </w:hyperlink>
      <w:r>
        <w:tab/>
      </w:r>
      <w:r>
        <w:fldChar w:fldCharType="begin"/>
      </w:r>
      <w:r>
        <w:instrText xml:space="preserve"> PAGEREF _Toc1345 \h </w:instrText>
      </w:r>
      <w:r>
        <w:fldChar w:fldCharType="separate"/>
      </w:r>
      <w:r>
        <w:t>1</w:t>
      </w:r>
      <w:r>
        <w:fldChar w:fldCharType="end"/>
      </w:r>
    </w:p>
    <w:p>
      <w:pPr>
        <w:pStyle w:val="TOC2"/>
      </w:pPr>
      <w:hyperlink w:anchor="_Toc1349">
        <w:r>
          <w:t xml:space="preserve">Administrative Simplification — The Vermont Agenda</w:t>
        </w:r>
      </w:hyperlink>
      <w:r>
        <w:tab/>
      </w:r>
      <w:r>
        <w:fldChar w:fldCharType="begin"/>
      </w:r>
      <w:r>
        <w:instrText xml:space="preserve"> PAGEREF _Toc1349 \h </w:instrText>
      </w:r>
      <w:r>
        <w:fldChar w:fldCharType="separate"/>
      </w:r>
      <w:r>
        <w:t>1</w:t>
      </w:r>
      <w:r>
        <w:fldChar w:fldCharType="end"/>
      </w:r>
    </w:p>
    <w:p>
      <w:pPr>
        <w:pStyle w:val="TOC2"/>
      </w:pPr>
      <w:hyperlink w:anchor="_Toc1351">
        <w:r>
          <w:t xml:space="preserve">Operations Pillar Implementation Matrix</w:t>
        </w:r>
      </w:hyperlink>
      <w:r>
        <w:tab/>
      </w:r>
      <w:r>
        <w:fldChar w:fldCharType="begin"/>
      </w:r>
      <w:r>
        <w:instrText xml:space="preserve"> PAGEREF _Toc1351 \h </w:instrText>
      </w:r>
      <w:r>
        <w:fldChar w:fldCharType="separate"/>
      </w:r>
      <w:r>
        <w:t>1</w:t>
      </w:r>
      <w:r>
        <w:fldChar w:fldCharType="end"/>
      </w:r>
    </w:p>
    <w:p>
      <w:pPr>
        <w:pStyle w:val="TOC2"/>
      </w:pPr>
      <w:hyperlink w:anchor="_Toc1352">
        <w:r>
          <w:t xml:space="preserve">Implications for You</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Key Concepts in This Chapter</w:t>
        </w:r>
      </w:hyperlink>
      <w:r>
        <w:tab/>
      </w:r>
      <w:r>
        <w:fldChar w:fldCharType="begin"/>
      </w:r>
      <w:r>
        <w:instrText xml:space="preserve"> PAGEREF _Toc1353 \h </w:instrText>
      </w:r>
      <w:r>
        <w:fldChar w:fldCharType="separate"/>
      </w:r>
      <w:r>
        <w:t>1</w:t>
      </w:r>
      <w:r>
        <w:fldChar w:fldCharType="end"/>
      </w:r>
    </w:p>
    <w:p>
      <w:pPr>
        <w:pStyle w:val="TOC1"/>
      </w:pPr>
      <w:hyperlink w:anchor="_Toc1354">
        <w:r>
          <w:t xml:space="preserve">Chapter 12: Infrastructure for Knowledge Transfer and Implementation</w:t>
        </w:r>
      </w:hyperlink>
      <w:r>
        <w:tab/>
      </w:r>
      <w:r>
        <w:fldChar w:fldCharType="begin"/>
      </w:r>
      <w:r>
        <w:instrText xml:space="preserve"> PAGEREF _Toc1354 \h </w:instrText>
      </w:r>
      <w:r>
        <w:fldChar w:fldCharType="separate"/>
      </w:r>
      <w:r>
        <w:t>1</w:t>
      </w:r>
      <w:r>
        <w:fldChar w:fldCharType="end"/>
      </w:r>
    </w:p>
    <w:p>
      <w:pPr>
        <w:pStyle w:val="TOC2"/>
      </w:pPr>
      <w:hyperlink w:anchor="_Toc1355">
        <w:r>
          <w:t xml:space="preserve">The Gap Between Understanding and Doing</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Knowledge and Implementation Infrastructure</w:t>
        </w:r>
      </w:hyperlink>
      <w:r>
        <w:tab/>
      </w:r>
      <w:r>
        <w:fldChar w:fldCharType="begin"/>
      </w:r>
      <w:r>
        <w:instrText xml:space="preserve"> PAGEREF _Toc1356 \h </w:instrText>
      </w:r>
      <w:r>
        <w:fldChar w:fldCharType="separate"/>
      </w:r>
      <w:r>
        <w:t>1</w:t>
      </w:r>
      <w:r>
        <w:fldChar w:fldCharType="end"/>
      </w:r>
    </w:p>
    <w:p>
      <w:pPr>
        <w:pStyle w:val="TOC2"/>
      </w:pPr>
      <w:hyperlink w:anchor="_Toc1359">
        <w:r>
          <w:t xml:space="preserve">The Transformation Advisory Domains — Structured for the Six Pillars</w:t>
        </w:r>
      </w:hyperlink>
      <w:r>
        <w:tab/>
      </w:r>
      <w:r>
        <w:fldChar w:fldCharType="begin"/>
      </w:r>
      <w:r>
        <w:instrText xml:space="preserve"> PAGEREF _Toc1359 \h </w:instrText>
      </w:r>
      <w:r>
        <w:fldChar w:fldCharType="separate"/>
      </w:r>
      <w:r>
        <w:t>1</w:t>
      </w:r>
      <w:r>
        <w:fldChar w:fldCharType="end"/>
      </w:r>
    </w:p>
    <w:p>
      <w:pPr>
        <w:pStyle w:val="TOC2"/>
      </w:pPr>
      <w:hyperlink w:anchor="_Toc1365">
        <w:r>
          <w:t xml:space="preserve">The Change Management Science Behind Healthcare Transformation</w:t>
        </w:r>
      </w:hyperlink>
      <w:r>
        <w:tab/>
      </w:r>
      <w:r>
        <w:fldChar w:fldCharType="begin"/>
      </w:r>
      <w:r>
        <w:instrText xml:space="preserve"> PAGEREF _Toc1365 \h </w:instrText>
      </w:r>
      <w:r>
        <w:fldChar w:fldCharType="separate"/>
      </w:r>
      <w:r>
        <w:t>1</w:t>
      </w:r>
      <w:r>
        <w:fldChar w:fldCharType="end"/>
      </w:r>
    </w:p>
    <w:p>
      <w:pPr>
        <w:pStyle w:val="TOC2"/>
      </w:pPr>
      <w:hyperlink w:anchor="_Toc1368">
        <w:r>
          <w:t xml:space="preserve">The HTR Implementation Toolkit</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A Framework for Selecting Advisory Support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The Role of External Technical Assistance in State-Level Transformation</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Work This Chapter on the Platform</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Implications for You</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Key Concepts in This Chapter</w:t>
        </w:r>
      </w:hyperlink>
      <w:r>
        <w:tab/>
      </w:r>
      <w:r>
        <w:fldChar w:fldCharType="begin"/>
      </w:r>
      <w:r>
        <w:instrText xml:space="preserve"> PAGEREF _Toc1373 \h </w:instrText>
      </w:r>
      <w:r>
        <w:fldChar w:fldCharType="separate"/>
      </w:r>
      <w:r>
        <w:t>1</w:t>
      </w:r>
      <w:r>
        <w:fldChar w:fldCharType="end"/>
      </w:r>
    </w:p>
    <w:p>
      <w:pPr>
        <w:pStyle w:val="TOC1"/>
      </w:pPr>
      <w:hyperlink w:anchor="_Toc1374">
        <w:r>
          <w:t xml:space="preserve">Chapter 13 — The Future of Healthcare Transformation: 2026, What Vermont Proves, and What Remains</w:t>
        </w:r>
      </w:hyperlink>
      <w:r>
        <w:tab/>
      </w:r>
      <w:r>
        <w:fldChar w:fldCharType="begin"/>
      </w:r>
      <w:r>
        <w:instrText xml:space="preserve"> PAGEREF _Toc1374 \h </w:instrText>
      </w:r>
      <w:r>
        <w:fldChar w:fldCharType="separate"/>
      </w:r>
      <w:r>
        <w:t>1</w:t>
      </w:r>
      <w:r>
        <w:fldChar w:fldCharType="end"/>
      </w:r>
    </w:p>
    <w:p>
      <w:pPr>
        <w:pStyle w:val="TOC2"/>
      </w:pPr>
      <w:hyperlink w:anchor="_Toc1375">
        <w:r>
          <w:t xml:space="preserve">Vermont Transformation Scorecard: Six-Pillar Status, April 2026</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Where the System Stands in April 2026 — A Necessary Update</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Five Forces Shaping the Next Decade</w:t>
        </w:r>
      </w:hyperlink>
      <w:r>
        <w:tab/>
      </w:r>
      <w:r>
        <w:fldChar w:fldCharType="begin"/>
      </w:r>
      <w:r>
        <w:instrText xml:space="preserve"> PAGEREF _Toc1377 \h </w:instrText>
      </w:r>
      <w:r>
        <w:fldChar w:fldCharType="separate"/>
      </w:r>
      <w:r>
        <w:t>1</w:t>
      </w:r>
      <w:r>
        <w:fldChar w:fldCharType="end"/>
      </w:r>
    </w:p>
    <w:p>
      <w:pPr>
        <w:pStyle w:val="TOC2"/>
      </w:pPr>
      <w:hyperlink w:anchor="_Toc1383">
        <w:r>
          <w:t xml:space="preserve">The Six-Pillar Forecast: 2026–2035</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Vermont’s Ten-Year Trajectory: Two Scenarios</w:t>
        </w:r>
      </w:hyperlink>
      <w:r>
        <w:tab/>
      </w:r>
      <w:r>
        <w:fldChar w:fldCharType="begin"/>
      </w:r>
      <w:r>
        <w:instrText xml:space="preserve"> PAGEREF _Toc1384 \h </w:instrText>
      </w:r>
      <w:r>
        <w:fldChar w:fldCharType="separate"/>
      </w:r>
      <w:r>
        <w:t>1</w:t>
      </w:r>
      <w:r>
        <w:fldChar w:fldCharType="end"/>
      </w:r>
    </w:p>
    <w:p>
      <w:pPr>
        <w:pStyle w:val="TOC2"/>
      </w:pPr>
      <w:hyperlink w:anchor="_Toc1387">
        <w:r>
          <w:t xml:space="preserve">Vermont as National Template — The Decisions That Will Determine Outcomes</w:t>
        </w:r>
      </w:hyperlink>
      <w:r>
        <w:tab/>
      </w:r>
      <w:r>
        <w:fldChar w:fldCharType="begin"/>
      </w:r>
      <w:r>
        <w:instrText xml:space="preserve"> PAGEREF _Toc1387 \h </w:instrText>
      </w:r>
      <w:r>
        <w:fldChar w:fldCharType="separate"/>
      </w:r>
      <w:r>
        <w:t>1</w:t>
      </w:r>
      <w:r>
        <w:fldChar w:fldCharType="end"/>
      </w:r>
    </w:p>
    <w:p>
      <w:pPr>
        <w:pStyle w:val="TOC2"/>
      </w:pPr>
      <w:hyperlink w:anchor="_Toc1388">
        <w:r>
          <w:t xml:space="preserve">Work This Chapter on the Platform</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Implications for You</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Key Concepts in This Chapter</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A Closing Note: What This Book Is Betting On</w:t>
        </w:r>
      </w:hyperlink>
      <w:r>
        <w:tab/>
      </w:r>
      <w:r>
        <w:fldChar w:fldCharType="begin"/>
      </w:r>
      <w:r>
        <w:instrText xml:space="preserve"> PAGEREF _Toc1391 \h </w:instrText>
      </w:r>
      <w:r>
        <w:fldChar w:fldCharType="separate"/>
      </w:r>
      <w:r>
        <w:t>1</w:t>
      </w:r>
      <w:r>
        <w:fldChar w:fldCharType="end"/>
      </w:r>
    </w:p>
    <w:p>
      <w:pPr>
        <w:pStyle w:val="TOC1"/>
      </w:pPr>
      <w:hyperlink w:anchor="_Toc1392">
        <w:r>
          <w:t xml:space="preserve">Chapter 14 — Political Sustainability: Protecting Transformation Across Election Cycles</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Why Political Sustainability Is an Analytical Problem, Not Only a Political One</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The Structural Durability of Vermont’s Reform Architecture</w:t>
        </w:r>
      </w:hyperlink>
      <w:r>
        <w:tab/>
      </w:r>
      <w:r>
        <w:fldChar w:fldCharType="begin"/>
      </w:r>
      <w:r>
        <w:instrText xml:space="preserve"> PAGEREF _Toc1394 \h </w:instrText>
      </w:r>
      <w:r>
        <w:fldChar w:fldCharType="separate"/>
      </w:r>
      <w:r>
        <w:t>1</w:t>
      </w:r>
      <w:r>
        <w:fldChar w:fldCharType="end"/>
      </w:r>
    </w:p>
    <w:p>
      <w:pPr>
        <w:pStyle w:val="TOC2"/>
      </w:pPr>
      <w:hyperlink w:anchor="_Toc1397">
        <w:r>
          <w:t xml:space="preserve">Early-Warning Signals of Political Risk</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Organizational Strategies for Political Risk Management</w:t>
        </w:r>
      </w:hyperlink>
      <w:r>
        <w:tab/>
      </w:r>
      <w:r>
        <w:fldChar w:fldCharType="begin"/>
      </w:r>
      <w:r>
        <w:instrText xml:space="preserve"> PAGEREF _Toc1398 \h </w:instrText>
      </w:r>
      <w:r>
        <w:fldChar w:fldCharType="separate"/>
      </w:r>
      <w:r>
        <w:t>1</w:t>
      </w:r>
      <w:r>
        <w:fldChar w:fldCharType="end"/>
      </w:r>
    </w:p>
    <w:p>
      <w:pPr>
        <w:pStyle w:val="TOC2"/>
      </w:pPr>
      <w:hyperlink w:anchor="_Toc1403">
        <w:r>
          <w:t xml:space="preserve">Vermont’s Reform Cascade as Political-Sustainability Architecture</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Work This Chapter on the Platform</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Implications for You</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Key Concepts in This Chapter</w:t>
        </w:r>
      </w:hyperlink>
      <w:r>
        <w:tab/>
      </w:r>
      <w:r>
        <w:fldChar w:fldCharType="begin"/>
      </w:r>
      <w:r>
        <w:instrText xml:space="preserve"> PAGEREF _Toc1406 \h </w:instrText>
      </w:r>
      <w:r>
        <w:fldChar w:fldCharType="separate"/>
      </w:r>
      <w:r>
        <w:t>1</w:t>
      </w:r>
      <w:r>
        <w:fldChar w:fldCharType="end"/>
      </w:r>
    </w:p>
    <w:p>
      <w:pPr>
        <w:pStyle w:val="TOC1"/>
      </w:pPr>
      <w:hyperlink w:anchor="_Toc1407">
        <w:r>
          <w:t xml:space="preserve">Chapter 15 — Healthcare Transformation as Portfolio Management: Applying PMI Standards to Six-Pillar Reform</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The Project-Management Gap in Healthcare Transformation</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Project, Program, and Portfolio: Getting the Levels Right</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Vermont’s Transformation Portfolio: 19 Components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Case for a Portfolio Manager</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Pillar-Level Project Managers: Six Roles, One Framework</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Governance Architecture and the Ten Knowledge Areas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Portfolio Sequence Is Dependency Sequence</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Predictive vs. Adaptive Approaches</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The Portfolio Risk Register</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Benefits Realization: Connecting the PMO to Act 167’s Five Goals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Business Case</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Implementation Roadmap</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Answering the Four Objections</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Work This Chapter on the Platform</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Implications for You</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Key Concepts in This Chapter</w:t>
        </w:r>
      </w:hyperlink>
      <w:r>
        <w:tab/>
      </w:r>
      <w:r>
        <w:fldChar w:fldCharType="begin"/>
      </w:r>
      <w:r>
        <w:instrText xml:space="preserve"> PAGEREF _Toc1423 \h </w:instrText>
      </w:r>
      <w:r>
        <w:fldChar w:fldCharType="separate"/>
      </w:r>
      <w:r>
        <w:t>1</w:t>
      </w:r>
      <w:r>
        <w:fldChar w:fldCharType="end"/>
      </w:r>
    </w:p>
    <w:p>
      <w:pPr>
        <w:pStyle w:val="TOC1"/>
      </w:pPr>
      <w:hyperlink w:anchor="_Toc1424">
        <w:r>
          <w:t xml:space="preserve">Chapter 16 — The AHS Restructuring Roadmap: A Six-Pillar Framework for System Architects</w:t>
        </w:r>
      </w:hyperlink>
      <w:r>
        <w:tab/>
      </w:r>
      <w:r>
        <w:fldChar w:fldCharType="begin"/>
      </w:r>
      <w:r>
        <w:instrText xml:space="preserve"> PAGEREF _Toc1424 \h </w:instrText>
      </w:r>
      <w:r>
        <w:fldChar w:fldCharType="separate"/>
      </w:r>
      <w:r>
        <w:t>1</w:t>
      </w:r>
      <w:r>
        <w:fldChar w:fldCharType="end"/>
      </w:r>
    </w:p>
    <w:p>
      <w:pPr>
        <w:pStyle w:val="TOC2"/>
      </w:pPr>
      <w:hyperlink w:anchor="_Toc1425">
        <w:r>
          <w:t xml:space="preserve">The Statutory Mandate — What Act 68 Actually Requires AHS to Do</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Organizational Diagnosis — Why AHS Must Restructure, Not Just Plan</w:t>
        </w:r>
      </w:hyperlink>
      <w:r>
        <w:tab/>
      </w:r>
      <w:r>
        <w:fldChar w:fldCharType="begin"/>
      </w:r>
      <w:r>
        <w:instrText xml:space="preserve"> PAGEREF _Toc1426 \h </w:instrText>
      </w:r>
      <w:r>
        <w:fldChar w:fldCharType="separate"/>
      </w:r>
      <w:r>
        <w:t>1</w:t>
      </w:r>
      <w:r>
        <w:fldChar w:fldCharType="end"/>
      </w:r>
    </w:p>
    <w:p>
      <w:pPr>
        <w:pStyle w:val="TOC2"/>
      </w:pPr>
      <w:hyperlink w:anchor="_Toc1428">
        <w:r>
          <w:t xml:space="preserve">The Redesigned AHS Operating Model — A Population Health System Operator</w:t>
        </w:r>
      </w:hyperlink>
      <w:r>
        <w:tab/>
      </w:r>
      <w:r>
        <w:fldChar w:fldCharType="begin"/>
      </w:r>
      <w:r>
        <w:instrText xml:space="preserve"> PAGEREF _Toc1428 \h </w:instrText>
      </w:r>
      <w:r>
        <w:fldChar w:fldCharType="separate"/>
      </w:r>
      <w:r>
        <w:t>1</w:t>
      </w:r>
      <w:r>
        <w:fldChar w:fldCharType="end"/>
      </w:r>
    </w:p>
    <w:p>
      <w:pPr>
        <w:pStyle w:val="TOC2"/>
      </w:pPr>
      <w:hyperlink w:anchor="_Toc1432">
        <w:r>
          <w:t xml:space="preserve">The Six-Pillar Framework Applied to AHS’s Mandate</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The AHS Restructuring Implementation Timeline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 Framework for the 2028 Statewide Strategic Plan</w:t>
        </w:r>
      </w:hyperlink>
      <w:r>
        <w:tab/>
      </w:r>
      <w:r>
        <w:fldChar w:fldCharType="begin"/>
      </w:r>
      <w:r>
        <w:instrText xml:space="preserve"> PAGEREF _Toc1434 \h </w:instrText>
      </w:r>
      <w:r>
        <w:fldChar w:fldCharType="separate"/>
      </w:r>
      <w:r>
        <w:t>1</w:t>
      </w:r>
      <w:r>
        <w:fldChar w:fldCharType="end"/>
      </w:r>
    </w:p>
    <w:p>
      <w:pPr>
        <w:pStyle w:val="TOC2"/>
      </w:pPr>
      <w:hyperlink w:anchor="_Toc1436">
        <w:r>
          <w:t xml:space="preserve">Vermont as National Template — Why This Restructuring Matters Beyond Vermont</w:t>
        </w:r>
      </w:hyperlink>
      <w:r>
        <w:tab/>
      </w:r>
      <w:r>
        <w:fldChar w:fldCharType="begin"/>
      </w:r>
      <w:r>
        <w:instrText xml:space="preserve"> PAGEREF _Toc1436 \h </w:instrText>
      </w:r>
      <w:r>
        <w:fldChar w:fldCharType="separate"/>
      </w:r>
      <w:r>
        <w:t>1</w:t>
      </w:r>
      <w:r>
        <w:fldChar w:fldCharType="end"/>
      </w:r>
    </w:p>
    <w:p>
      <w:pPr>
        <w:pStyle w:val="TOC2"/>
      </w:pPr>
      <w:hyperlink w:anchor="_Toc1437">
        <w:r>
          <w:t xml:space="preserve">Work This Chapter on the Platform</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Implications for You</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Key Concepts in This Chapter</w:t>
        </w:r>
      </w:hyperlink>
      <w:r>
        <w:tab/>
      </w:r>
      <w:r>
        <w:fldChar w:fldCharType="begin"/>
      </w:r>
      <w:r>
        <w:instrText xml:space="preserve"> PAGEREF _Toc1439 \h </w:instrText>
      </w:r>
      <w:r>
        <w:fldChar w:fldCharType="separate"/>
      </w:r>
      <w:r>
        <w:t>1</w:t>
      </w:r>
      <w:r>
        <w:fldChar w:fldCharType="end"/>
      </w:r>
    </w:p>
    <w:p>
      <w:pPr>
        <w:pStyle w:val="TOC1"/>
      </w:pPr>
      <w:hyperlink w:anchor="_Toc1440">
        <w:r>
          <w:t xml:space="preserve">Conclusion — What Vermont Proves, and What Remains to Be Proven</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What Failure Actually Looks Like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The Three Decisions That Are Not Yet Made</w:t>
        </w:r>
      </w:hyperlink>
      <w:r>
        <w:tab/>
      </w:r>
      <w:r>
        <w:fldChar w:fldCharType="begin"/>
      </w:r>
      <w:r>
        <w:instrText xml:space="preserve"> PAGEREF _Toc1442 \h </w:instrText>
      </w:r>
      <w:r>
        <w:fldChar w:fldCharType="separate"/>
      </w:r>
      <w:r>
        <w:t>1</w:t>
      </w:r>
      <w:r>
        <w:fldChar w:fldCharType="end"/>
      </w:r>
    </w:p>
    <w:p>
      <w:pPr>
        <w:pStyle w:val="TOC2"/>
      </w:pPr>
      <w:hyperlink w:anchor="_Toc1446">
        <w:r>
          <w:t xml:space="preserve">What Vermont Has Proved — As of April 2026</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The People This Book Cannot Reach</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Call</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Key Concepts in This Chapter</w:t>
        </w:r>
      </w:hyperlink>
      <w:r>
        <w:tab/>
      </w:r>
      <w:r>
        <w:fldChar w:fldCharType="begin"/>
      </w:r>
      <w:r>
        <w:instrText xml:space="preserve"> PAGEREF _Toc1449 \h </w:instrText>
      </w:r>
      <w:r>
        <w:fldChar w:fldCharType="separate"/>
      </w:r>
      <w:r>
        <w:t>1</w:t>
      </w:r>
      <w:r>
        <w:fldChar w:fldCharType="end"/>
      </w:r>
    </w:p>
    <w:p>
      <w:pPr>
        <w:pStyle w:val="TOC1"/>
      </w:pPr>
      <w:hyperlink w:anchor="_Toc1450">
        <w:r>
          <w:t xml:space="preserve">Appendix A — Vermont System Portrait</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A.1 Vermont: The State</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A.2 Demographics and Population Projections</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A.3 Regulatory Architecture: The Green Mountain Care Board</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A.4 The Hospital System</w:t>
        </w:r>
      </w:hyperlink>
      <w:r>
        <w:tab/>
      </w:r>
      <w:r>
        <w:fldChar w:fldCharType="begin"/>
      </w:r>
      <w:r>
        <w:instrText xml:space="preserve"> PAGEREF _Toc1454 \h </w:instrText>
      </w:r>
      <w:r>
        <w:fldChar w:fldCharType="separate"/>
      </w:r>
      <w:r>
        <w:t>1</w:t>
      </w:r>
      <w:r>
        <w:fldChar w:fldCharType="end"/>
      </w:r>
    </w:p>
    <w:p>
      <w:pPr>
        <w:pStyle w:val="TOC2"/>
      </w:pPr>
      <w:hyperlink w:anchor="_Toc1457">
        <w:r>
          <w:t xml:space="preserve">A.5 The Transformation Plans: A System in Motion</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A.6 The Insurance and Premium Crisis</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A.7 Healthcare Workforce</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A.8 Clinical Quality Indicators</w:t>
        </w:r>
      </w:hyperlink>
      <w:r>
        <w:tab/>
      </w:r>
      <w:r>
        <w:fldChar w:fldCharType="begin"/>
      </w:r>
      <w:r>
        <w:instrText xml:space="preserve"> PAGEREF _Toc1460 \h </w:instrText>
      </w:r>
      <w:r>
        <w:fldChar w:fldCharType="separate"/>
      </w:r>
      <w:r>
        <w:t>1</w:t>
      </w:r>
      <w:r>
        <w:fldChar w:fldCharType="end"/>
      </w:r>
    </w:p>
    <w:p>
      <w:pPr>
        <w:pStyle w:val="TOC1"/>
      </w:pPr>
      <w:hyperlink w:anchor="_Toc1461">
        <w:r>
          <w:t xml:space="preserve">Appendix B — Act 68 Statutory Timeline and Milestones</w:t>
        </w:r>
      </w:hyperlink>
      <w:r>
        <w:tab/>
      </w:r>
      <w:r>
        <w:fldChar w:fldCharType="begin"/>
      </w:r>
      <w:r>
        <w:instrText xml:space="preserve"> PAGEREF _Toc1461 \h </w:instrText>
      </w:r>
      <w:r>
        <w:fldChar w:fldCharType="separate"/>
      </w:r>
      <w:r>
        <w:t>1</w:t>
      </w:r>
      <w:r>
        <w:fldChar w:fldCharType="end"/>
      </w:r>
    </w:p>
    <w:p>
      <w:pPr>
        <w:pStyle w:val="TOC1"/>
      </w:pPr>
      <w:hyperlink w:anchor="_Toc1463">
        <w:r>
          <w:t xml:space="preserve">Appendix C — The 14-Hospital Centers of Excellence Assignment Framework</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D — AHEAD State Agreement: Key Terms and Provisions</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E — HTR Platform Tools and Methodology Overview</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F — Vermont Transformation Scorecard: 2022 Baseline, 2026 Status, 2028 Target</w:t>
        </w:r>
      </w:hyperlink>
      <w:r>
        <w:tab/>
      </w:r>
      <w:r>
        <w:fldChar w:fldCharType="begin"/>
      </w:r>
      <w:r>
        <w:instrText xml:space="preserve"> PAGEREF _Toc1466 \h </w:instrText>
      </w:r>
      <w:r>
        <w:fldChar w:fldCharType="separate"/>
      </w:r>
      <w:r>
        <w:t>1</w:t>
      </w:r>
      <w:r>
        <w:fldChar w:fldCharType="end"/>
      </w:r>
    </w:p>
    <w:p>
      <w:pPr>
        <w:pStyle w:val="TOC1"/>
      </w:pPr>
      <w:hyperlink w:anchor="_Toc1473">
        <w:r>
          <w:t xml:space="preserve">Appendix G — A Reader’s Guide to the Health Transformation Review Platform</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What This Platform Is</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Navigating the Platform</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The Six Pillars of Intelligence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Academy</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Research Lab</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States &amp; Programs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Advisory &amp; Services and the AI Analyst</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Reader Profiles and Recommended Paths</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Appendix H — Adapting and Stress-Testing the Framework</w:t>
        </w:r>
      </w:hyperlink>
      <w:r>
        <w:tab/>
      </w:r>
      <w:r>
        <w:fldChar w:fldCharType="begin"/>
      </w:r>
      <w:r>
        <w:instrText xml:space="preserve"> PAGEREF _Toc1482 \h </w:instrText>
      </w:r>
      <w:r>
        <w:fldChar w:fldCharType="separate"/>
      </w:r>
      <w:r>
        <w:t>1</w:t>
      </w:r>
      <w:r>
        <w:fldChar w:fldCharType="end"/>
      </w:r>
    </w:p>
    <w:p>
      <w:pPr>
        <w:pStyle w:val="TOC2"/>
      </w:pPr>
      <w:hyperlink w:anchor="_Toc1483">
        <w:r>
          <w:t xml:space="preserve">H.1 Glossary of Vermont-Specific Acronyms and Institutions</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H.2 Worksheet — Adapt This Framework to Your State</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H.3 The Transition Window — Financing FY2027–2030</w:t>
        </w:r>
      </w:hyperlink>
      <w:r>
        <w:tab/>
      </w:r>
      <w:r>
        <w:fldChar w:fldCharType="begin"/>
      </w:r>
      <w:r>
        <w:instrText xml:space="preserve"> PAGEREF _Toc1485 \h </w:instrText>
      </w:r>
      <w:r>
        <w:fldChar w:fldCharType="separate"/>
      </w:r>
      <w:r>
        <w:t>1</w:t>
      </w:r>
      <w:r>
        <w:fldChar w:fldCharType="end"/>
      </w:r>
    </w:p>
    <w:p>
      <w:pPr>
        <w:pStyle w:val="TOC2"/>
      </w:pPr>
      <w:hyperlink w:anchor="_Toc1488">
        <w:r>
          <w:t xml:space="preserve">H.4 Two Clocks — Reconciling Act 68 and AHEAD Cohort 2 Timelines</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H.5 Enforcement Mechanics — What “Mandatory” Means in Practice</w:t>
        </w:r>
      </w:hyperlink>
      <w:r>
        <w:tab/>
      </w:r>
      <w:r>
        <w:fldChar w:fldCharType="begin"/>
      </w:r>
      <w:r>
        <w:instrText xml:space="preserve"> PAGEREF _Toc1489 \h </w:instrText>
      </w:r>
      <w:r>
        <w:fldChar w:fldCharType="separate"/>
      </w:r>
      <w:r>
        <w:t>1</w:t>
      </w:r>
      <w:r>
        <w:fldChar w:fldCharType="end"/>
      </w:r>
    </w:p>
    <w:p>
      <w:pPr>
        <w:pStyle w:val="TOC1"/>
      </w:pPr>
      <w:hyperlink w:anchor="_Toc1492">
        <w:r>
          <w:t xml:space="preserve">Appendix I — The HTR Lab Workbook: A Six-Pillar Practicum</w:t>
        </w:r>
      </w:hyperlink>
      <w:r>
        <w:tab/>
      </w:r>
      <w:r>
        <w:fldChar w:fldCharType="begin"/>
      </w:r>
      <w:r>
        <w:instrText xml:space="preserve"> PAGEREF _Toc1492 \h </w:instrText>
      </w:r>
      <w:r>
        <w:fldChar w:fldCharType="separate"/>
      </w:r>
      <w:r>
        <w:t>1</w:t>
      </w:r>
      <w:r>
        <w:fldChar w:fldCharType="end"/>
      </w:r>
    </w:p>
    <w:p>
      <w:pPr>
        <w:pStyle w:val="TOC2"/>
      </w:pPr>
      <w:hyperlink w:anchor="_Toc1493">
        <w:r>
          <w:t xml:space="preserve">How to Use This Workbook</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Stage 1 — Policy: Establish the Mandate</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2 — Technology: Build the Substrate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3 — Economics: Put Incentives on a Visible System</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4 — Clinical: Redesign Care on Aligned Incentives</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5 — Equity: Calibrate for the Gap, Not the Average</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6 — Operations: Close the Execution Gap</w:t>
        </w:r>
      </w:hyperlink>
      <w:r>
        <w:tab/>
      </w:r>
      <w:r>
        <w:fldChar w:fldCharType="begin"/>
      </w:r>
      <w:r>
        <w:instrText xml:space="preserve"> PAGEREF _Toc1499 \h </w:instrText>
      </w:r>
      <w:r>
        <w:fldChar w:fldCharType="separate"/>
      </w:r>
      <w:r>
        <w:t>1</w:t>
      </w:r>
      <w:r>
        <w:fldChar w:fldCharType="end"/>
      </w:r>
    </w:p>
    <w:p>
      <w:pPr>
        <w:pStyle w:val="TOC1"/>
      </w:pPr>
      <w:hyperlink w:anchor="_Toc1500">
        <w:r>
          <w:t xml:space="preserve">Figure Index</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Bibliography and Source Notes</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Index (Selected)</w:t>
        </w:r>
      </w:hyperlink>
      <w:r>
        <w:tab/>
      </w:r>
      <w:r>
        <w:fldChar w:fldCharType="begin"/>
      </w:r>
      <w:r>
        <w:instrText xml:space="preserve"> PAGEREF _Toc1502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50"/>
        <w:gridCol w:w="2070"/>
        <w:gridCol w:w="2970"/>
        <w:gridCol w:w="2070"/>
      </w:tblGrid>
      <w:tr>
        <w:trPr>
          <w:tblHeader w:val="on"/>
          <w:cantSplit/>
        </w:trPr>
        <w:tc>
          <w:tcPr>
            <w:shd w:val="clear" w:color="auto" w:fill="1B3A6B"/>
            <w:tcW w:w="1950" w:type="dxa"/>
          </w:tcPr>
          <w:p>
            <w:pPr>
              <w:pStyle w:val="Compact"/>
              <w:jc w:val="left"/>
            </w:pPr>
            <w:r>
              <w:rPr>
                <w:b/>
                <w:color w:val="FFFFFF"/>
                <w:sz w:val="18"/>
              </w:rPr>
              <w:t xml:space="preserve">Sequencing error</w:t>
            </w:r>
          </w:p>
        </w:tc>
        <w:tc>
          <w:tcPr>
            <w:shd w:val="clear" w:color="auto" w:fill="1B3A6B"/>
            <w:tcW w:w="2070" w:type="dxa"/>
          </w:tcPr>
          <w:p>
            <w:pPr>
              <w:pStyle w:val="Compact"/>
              <w:jc w:val="left"/>
            </w:pPr>
            <w:r>
              <w:rPr>
                <w:b/>
                <w:color w:val="FFFFFF"/>
                <w:sz w:val="18"/>
              </w:rPr>
              <w:t xml:space="preserve">Early-warning signals</w:t>
            </w:r>
          </w:p>
        </w:tc>
        <w:tc>
          <w:tcPr>
            <w:shd w:val="clear" w:color="auto" w:fill="1B3A6B"/>
            <w:tcW w:w="2970" w:type="dxa"/>
          </w:tcPr>
          <w:p>
            <w:pPr>
              <w:pStyle w:val="Compact"/>
              <w:jc w:val="left"/>
            </w:pPr>
            <w:r>
              <w:rPr>
                <w:b/>
                <w:color w:val="FFFFFF"/>
                <w:sz w:val="18"/>
              </w:rPr>
              <w:t xml:space="preserve">Vermont evidence</w:t>
            </w:r>
          </w:p>
        </w:tc>
        <w:tc>
          <w:tcPr>
            <w:shd w:val="clear" w:color="auto" w:fill="1B3A6B"/>
            <w:tcW w:w="2070" w:type="dxa"/>
          </w:tcPr>
          <w:p>
            <w:pPr>
              <w:pStyle w:val="Compact"/>
              <w:jc w:val="left"/>
            </w:pPr>
            <w:r>
              <w:rPr>
                <w:b/>
                <w:color w:val="FFFFFF"/>
                <w:sz w:val="18"/>
              </w:rPr>
              <w:t xml:space="preserve">Correction</w:t>
            </w:r>
          </w:p>
        </w:tc>
      </w:tr>
      <w:tr>
        <w:trPr>
          <w:cantSplit/>
        </w:trPr>
        <w:tc>
          <w:tcPr>
            <w:tcW w:w="1950"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070" w:type="dxa"/>
          </w:tcPr>
          <w:p>
            <w:pPr>
              <w:pStyle w:val="Compact"/>
              <w:jc w:val="left"/>
            </w:pPr>
            <w:r>
              <w:rPr>
                <w:sz w:val="18"/>
              </w:rPr>
              <w:t xml:space="preserve">Voluntary participation below 80%; highest-cost providers stay out; redesigns driven by adverse selection</w:t>
            </w:r>
          </w:p>
        </w:tc>
        <w:tc>
          <w:tcPr>
            <w:tcW w:w="2970"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070" w:type="dxa"/>
          </w:tcPr>
          <w:p>
            <w:pPr>
              <w:pStyle w:val="Compact"/>
              <w:jc w:val="left"/>
            </w:pPr>
            <w:r>
              <w:rPr>
                <w:sz w:val="18"/>
              </w:rPr>
              <w:t xml:space="preserve">Act 68 mandatory RBP + global budgets</w:t>
            </w:r>
          </w:p>
        </w:tc>
      </w:tr>
      <w:tr>
        <w:trPr/>
        <w:tc>
          <w:tcPr>
            <w:tcW w:w="1950"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070" w:type="dxa"/>
          </w:tcPr>
          <w:p>
            <w:pPr>
              <w:pStyle w:val="Compact"/>
              <w:jc w:val="left"/>
            </w:pPr>
            <w:r>
              <w:rPr>
                <w:sz w:val="18"/>
              </w:rPr>
              <w:t xml:space="preserve">Adoption below 30% six months post-deployment; continued manual processes; staff workarounds</w:t>
            </w:r>
          </w:p>
        </w:tc>
        <w:tc>
          <w:tcPr>
            <w:tcW w:w="2970" w:type="dxa"/>
          </w:tcPr>
          <w:p>
            <w:pPr>
              <w:pStyle w:val="Compact"/>
              <w:jc w:val="left"/>
            </w:pPr>
            <w:r>
              <w:rPr>
                <w:sz w:val="18"/>
              </w:rPr>
              <w:t xml:space="preserve">VITL: sound platform, incomplete adoption among smaller providers for lack of Operations-pillar support to connect and train them</w:t>
            </w:r>
          </w:p>
        </w:tc>
        <w:tc>
          <w:tcPr>
            <w:tcW w:w="2070" w:type="dxa"/>
          </w:tcPr>
          <w:p>
            <w:pPr>
              <w:pStyle w:val="Compact"/>
              <w:jc w:val="left"/>
            </w:pPr>
            <w:r>
              <w:rPr>
                <w:sz w:val="18"/>
              </w:rPr>
              <w:t xml:space="preserve">Vermont CIN shared-services model</w:t>
            </w:r>
          </w:p>
        </w:tc>
      </w:tr>
      <w:tr>
        <w:trPr/>
        <w:tc>
          <w:tcPr>
            <w:tcW w:w="1950"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070" w:type="dxa"/>
          </w:tcPr>
          <w:p>
            <w:pPr>
              <w:pStyle w:val="Compact"/>
              <w:jc w:val="left"/>
            </w:pPr>
            <w:r>
              <w:rPr>
                <w:sz w:val="18"/>
              </w:rPr>
              <w:t xml:space="preserve">Program running at a loss absorbed by cross-subsidy; support contingent on that cross-subsidy; perpetual budget-cut risk</w:t>
            </w:r>
          </w:p>
        </w:tc>
        <w:tc>
          <w:tcPr>
            <w:tcW w:w="2970" w:type="dxa"/>
          </w:tcPr>
          <w:p>
            <w:pPr>
              <w:pStyle w:val="Compact"/>
              <w:jc w:val="left"/>
            </w:pPr>
            <w:r>
              <w:rPr>
                <w:sz w:val="18"/>
              </w:rPr>
              <w:t xml:space="preserve">Blueprint PCMHs produce the 5.8:1 ROI, but under FFS most of it accrues to payers, not the practices generating it</w:t>
            </w:r>
          </w:p>
        </w:tc>
        <w:tc>
          <w:tcPr>
            <w:tcW w:w="2070" w:type="dxa"/>
          </w:tcPr>
          <w:p>
            <w:pPr>
              <w:pStyle w:val="Compact"/>
              <w:jc w:val="left"/>
            </w:pPr>
            <w:r>
              <w:rPr>
                <w:sz w:val="18"/>
              </w:rPr>
              <w:t xml:space="preserve">AHEAD global budgets align incentives with clinical investment</w:t>
            </w:r>
          </w:p>
        </w:tc>
      </w:tr>
      <w:tr>
        <w:trPr/>
        <w:tc>
          <w:tcPr>
            <w:tcW w:w="1950"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070" w:type="dxa"/>
          </w:tcPr>
          <w:p>
            <w:pPr>
              <w:pStyle w:val="Compact"/>
              <w:jc w:val="left"/>
            </w:pPr>
            <w:r>
              <w:rPr>
                <w:sz w:val="18"/>
              </w:rPr>
              <w:t xml:space="preserve">Equity staff flagging the same structural problems in finalized designs; high rate of equity modifications at approval stage</w:t>
            </w:r>
          </w:p>
        </w:tc>
        <w:tc>
          <w:tcPr>
            <w:tcW w:w="2970"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070" w:type="dxa"/>
          </w:tcPr>
          <w:p>
            <w:pPr>
              <w:pStyle w:val="Compact"/>
              <w:jc w:val="left"/>
            </w:pPr>
            <w:r>
              <w:rPr>
                <w:sz w:val="18"/>
              </w:rPr>
              <w:t xml:space="preserve">Health Equity Advisory Commission consulted at design stage, not comment stage</w:t>
            </w:r>
          </w:p>
        </w:tc>
      </w:tr>
      <w:tr>
        <w:trPr>
          <w:cantSplit/>
        </w:trPr>
        <w:tc>
          <w:tcPr>
            <w:tcW w:w="1950"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07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70"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07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No clinical results, only billing records</w:t>
            </w:r>
          </w:p>
        </w:tc>
        <w:tc>
          <w:tcPr>
            <w:tcW w:w="3298" w:type="dxa"/>
          </w:tcPr>
          <w:p>
            <w:pPr>
              <w:pStyle w:val="Compact"/>
              <w:spacing w:before="0" w:after="0" w:line="240" w:lineRule="auto"/>
              <w:jc w:val="left"/>
            </w:pPr>
            <w:r>
              <w:rPr>
                <w:sz w:val="17"/>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3298" w:type="dxa"/>
          </w:tcPr>
          <w:p>
            <w:pPr>
              <w:pStyle w:val="Compact"/>
              <w:spacing w:before="0" w:after="0" w:line="240" w:lineRule="auto"/>
              <w:jc w:val="left"/>
            </w:pPr>
            <w:r>
              <w:rPr>
                <w:sz w:val="17"/>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BodyText"/>
      </w:pPr>
      <w:r>
        <w:rPr>
          <w:b/>
          <w:bCs/>
        </w:rPr>
        <w:t xml:space="preserve">The Health Information Exchange — Perception vs. Reality</w:t>
      </w:r>
    </w:p>
    <w:p>
      <w:pPr>
        <w:pStyle w:val="BodyText"/>
      </w:pPr>
      <w:r>
        <w:t xml:space="preserve">The limitations above are VHCURES’s own. Vermont’s other principal data asset — the Health Information Exchange — has a separate and, in Oliver Wyman’s assessment, more consequential gap between what the state appears to have and what it can actually use.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Exclusive-Operator Problem — Why the Statutory Monopoly Has to End</w:t>
      </w:r>
      <w:bookmarkEnd w:id="1121"/>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4.3.3  </w:t>
      </w:r>
      <w:bookmarkStart w:id="1122" w:name="_Toc1121"/>
      <w:r>
        <w:rPr>
          <w:b/>
          <w:bCs/>
          <w:color w:val="161B22"/>
        </w:rPr>
        <w:t xml:space="preserve">The Integration Mandate: One Health Record Per Person</w:t>
      </w:r>
      <w:bookmarkEnd w:id="1122"/>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4.3.4  </w:t>
      </w:r>
      <w:bookmarkStart w:id="1123" w:name="_Toc1122"/>
      <w:r>
        <w:rPr>
          <w:b/>
          <w:bCs/>
          <w:color w:val="161B22"/>
        </w:rPr>
        <w:t xml:space="preserve">The Unified Health Data Space — The Vehicle for the Integration Mandate</w:t>
      </w:r>
      <w:bookmarkEnd w:id="1123"/>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4.3.5  </w:t>
      </w:r>
      <w:bookmarkStart w:id="1124" w:name="_Toc1123"/>
      <w:r>
        <w:rPr>
          <w:b/>
          <w:bCs/>
          <w:color w:val="161B22"/>
        </w:rPr>
        <w:t xml:space="preserve">The Three-Layer Architecture</w:t>
      </w:r>
      <w:bookmarkEnd w:id="1124"/>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autofit"/>
      </w:tblPr>
      <w:tblGrid>
        <w:gridCol w:w="358"/>
        <w:gridCol w:w="1297"/>
        <w:gridCol w:w="3708"/>
        <w:gridCol w:w="3708"/>
      </w:tblGrid>
      <w:tr>
        <w:trPr>
          <w:tblHeader w:val="on"/>
          <w:cantSplit/>
        </w:trPr>
        <w:tc>
          <w:tcPr>
            <w:shd w:val="clear" w:color="auto" w:fill="1B3A6B"/>
            <w:tcW w:w="358" w:type="dxa"/>
          </w:tcPr>
          <w:p>
            <w:pPr>
              <w:pStyle w:val="Compact"/>
              <w:jc w:val="left"/>
            </w:pPr>
            <w:r>
              <w:rPr>
                <w:b/>
                <w:color w:val="FFFFFF"/>
                <w:sz w:val="18"/>
              </w:rPr>
              <w:t xml:space="preserve">Layer</w:t>
            </w:r>
          </w:p>
        </w:tc>
        <w:tc>
          <w:tcPr>
            <w:shd w:val="clear" w:color="auto" w:fill="1B3A6B"/>
            <w:tcW w:w="1297" w:type="dxa"/>
          </w:tcPr>
          <w:p>
            <w:pPr>
              <w:pStyle w:val="Compact"/>
              <w:jc w:val="left"/>
            </w:pPr>
            <w:r>
              <w:rPr>
                <w:b/>
                <w:color w:val="FFFFFF"/>
                <w:sz w:val="18"/>
              </w:rPr>
              <w:t xml:space="preserve">Name</w:t>
            </w:r>
          </w:p>
        </w:tc>
        <w:tc>
          <w:tcPr>
            <w:shd w:val="clear" w:color="auto" w:fill="1B3A6B"/>
            <w:tcW w:w="3708" w:type="dxa"/>
          </w:tcPr>
          <w:p>
            <w:pPr>
              <w:pStyle w:val="Compact"/>
              <w:jc w:val="left"/>
            </w:pPr>
            <w:r>
              <w:rPr>
                <w:b/>
                <w:color w:val="FFFFFF"/>
                <w:sz w:val="18"/>
              </w:rPr>
              <w:t xml:space="preserve">Components</w:t>
            </w:r>
          </w:p>
        </w:tc>
        <w:tc>
          <w:tcPr>
            <w:shd w:val="clear" w:color="auto" w:fill="1B3A6B"/>
            <w:tcW w:w="3708" w:type="dxa"/>
          </w:tcPr>
          <w:p>
            <w:pPr>
              <w:pStyle w:val="Compact"/>
              <w:jc w:val="left"/>
            </w:pPr>
            <w:r>
              <w:rPr>
                <w:b/>
                <w:color w:val="FFFFFF"/>
                <w:sz w:val="18"/>
              </w:rPr>
              <w:t xml:space="preserve">What it establishes</w:t>
            </w:r>
          </w:p>
        </w:tc>
      </w:tr>
      <w:tr>
        <w:trPr>
          <w:cantSplit/>
        </w:trPr>
        <w:tc>
          <w:tcPr>
            <w:tcW w:w="358" w:type="dxa"/>
          </w:tcPr>
          <w:p>
            <w:pPr>
              <w:pStyle w:val="Compact"/>
              <w:jc w:val="left"/>
            </w:pPr>
            <w:r>
              <w:rPr>
                <w:sz w:val="18"/>
              </w:rPr>
              <w:t xml:space="preserve">3</w:t>
            </w:r>
          </w:p>
        </w:tc>
        <w:tc>
          <w:tcPr>
            <w:tcW w:w="1297" w:type="dxa"/>
          </w:tcPr>
          <w:p>
            <w:pPr>
              <w:pStyle w:val="Compact"/>
              <w:jc w:val="left"/>
            </w:pPr>
            <w:r>
              <w:rPr>
                <w:sz w:val="18"/>
              </w:rPr>
              <w:t xml:space="preserve">End-User Services</w:t>
            </w:r>
          </w:p>
        </w:tc>
        <w:tc>
          <w:tcPr>
            <w:tcW w:w="3708" w:type="dxa"/>
          </w:tcPr>
          <w:p>
            <w:pPr>
              <w:pStyle w:val="Compact"/>
              <w:jc w:val="left"/>
            </w:pPr>
            <w:r>
              <w:rPr>
                <w:sz w:val="18"/>
              </w:rPr>
              <w:t xml:space="preserve">VITLAccess provider portal; real-time ADT event notifications; Advanced Analytics Layer</w:t>
            </w:r>
          </w:p>
        </w:tc>
        <w:tc>
          <w:tcPr>
            <w:tcW w:w="3708" w:type="dxa"/>
          </w:tcPr>
          <w:p>
            <w:pPr>
              <w:pStyle w:val="Compact"/>
              <w:jc w:val="left"/>
            </w:pPr>
            <w:r>
              <w:rPr>
                <w:sz w:val="18"/>
              </w:rPr>
              <w:t xml:space="preserve">What clinicians and state leaders actually touch — including the analytics used for regionalization and global-budget modeling</w:t>
            </w:r>
          </w:p>
        </w:tc>
      </w:tr>
      <w:tr>
        <w:trPr/>
        <w:tc>
          <w:tcPr>
            <w:tcW w:w="358" w:type="dxa"/>
          </w:tcPr>
          <w:p>
            <w:pPr>
              <w:pStyle w:val="Compact"/>
              <w:jc w:val="left"/>
            </w:pPr>
            <w:r>
              <w:rPr>
                <w:sz w:val="18"/>
              </w:rPr>
              <w:t xml:space="preserve">2</w:t>
            </w:r>
          </w:p>
        </w:tc>
        <w:tc>
          <w:tcPr>
            <w:tcW w:w="1297" w:type="dxa"/>
          </w:tcPr>
          <w:p>
            <w:pPr>
              <w:pStyle w:val="Compact"/>
              <w:jc w:val="left"/>
            </w:pPr>
            <w:r>
              <w:rPr>
                <w:sz w:val="18"/>
              </w:rPr>
              <w:t xml:space="preserve">Exchange Services</w:t>
            </w:r>
          </w:p>
        </w:tc>
        <w:tc>
          <w:tcPr>
            <w:tcW w:w="3708" w:type="dxa"/>
          </w:tcPr>
          <w:p>
            <w:pPr>
              <w:pStyle w:val="Compact"/>
              <w:jc w:val="left"/>
            </w:pPr>
            <w:r>
              <w:rPr>
                <w:sz w:val="18"/>
              </w:rPr>
              <w:t xml:space="preserve">FHIR APIs; Clinical Data Repository</w:t>
            </w:r>
          </w:p>
        </w:tc>
        <w:tc>
          <w:tcPr>
            <w:tcW w:w="3708"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358" w:type="dxa"/>
          </w:tcPr>
          <w:p>
            <w:pPr>
              <w:pStyle w:val="Compact"/>
              <w:jc w:val="left"/>
            </w:pPr>
            <w:r>
              <w:rPr>
                <w:sz w:val="18"/>
              </w:rPr>
              <w:t xml:space="preserve">1</w:t>
            </w:r>
          </w:p>
        </w:tc>
        <w:tc>
          <w:tcPr>
            <w:tcW w:w="1297" w:type="dxa"/>
          </w:tcPr>
          <w:p>
            <w:pPr>
              <w:pStyle w:val="Compact"/>
              <w:jc w:val="left"/>
            </w:pPr>
            <w:r>
              <w:rPr>
                <w:sz w:val="18"/>
              </w:rPr>
              <w:t xml:space="preserve">Foundational Services</w:t>
            </w:r>
          </w:p>
        </w:tc>
        <w:tc>
          <w:tcPr>
            <w:tcW w:w="3708" w:type="dxa"/>
          </w:tcPr>
          <w:p>
            <w:pPr>
              <w:pStyle w:val="Compact"/>
              <w:jc w:val="left"/>
            </w:pPr>
            <w:r>
              <w:rPr>
                <w:sz w:val="18"/>
              </w:rPr>
              <w:t xml:space="preserve">Master Patient Index (Verato); Terminology Services (Term Atlas); Rhapsody integration engine</w:t>
            </w:r>
          </w:p>
        </w:tc>
        <w:tc>
          <w:tcPr>
            <w:tcW w:w="3708"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4.3.6  </w:t>
      </w:r>
      <w:bookmarkStart w:id="1125" w:name="_Toc1124"/>
      <w:r>
        <w:rPr>
          <w:b/>
          <w:bCs/>
          <w:color w:val="161B22"/>
        </w:rPr>
        <w:t xml:space="preserve">Why Integration Is the Load-Bearing Element</w:t>
      </w:r>
      <w:bookmarkEnd w:id="1125"/>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4.3.7  </w:t>
      </w:r>
      <w:bookmarkStart w:id="1126" w:name="_Toc1125"/>
      <w:r>
        <w:rPr>
          <w:b/>
          <w:bCs/>
          <w:color w:val="161B22"/>
        </w:rPr>
        <w:t xml:space="preserve">The MDWAS-First Path and Why Multi-Payer Scaling Is Not Optional</w:t>
      </w:r>
      <w:bookmarkEnd w:id="1126"/>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4.3.8  </w:t>
      </w:r>
      <w:bookmarkStart w:id="1127" w:name="_Toc1126"/>
      <w:r>
        <w:rPr>
          <w:b/>
          <w:bCs/>
          <w:color w:val="161B22"/>
        </w:rPr>
        <w:t xml:space="preserve">The Privacy Shield</w:t>
      </w:r>
      <w:bookmarkEnd w:id="1127"/>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4.3.9  </w:t>
      </w:r>
      <w:bookmarkStart w:id="1128" w:name="_Toc1127"/>
      <w:r>
        <w:rPr>
          <w:b/>
          <w:bCs/>
          <w:color w:val="161B22"/>
        </w:rPr>
        <w:t xml:space="preserve">The RHT Dependency</w:t>
      </w:r>
      <w:bookmarkEnd w:id="1128"/>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4.3.10  </w:t>
      </w:r>
      <w:bookmarkStart w:id="1129" w:name="_Toc1128"/>
      <w:r>
        <w:rPr>
          <w:b/>
          <w:bCs/>
          <w:color w:val="161B22"/>
        </w:rPr>
        <w:t xml:space="preserve">The Statewide EHR Question — Vermont’s Active Feasibility Assessment</w:t>
      </w:r>
      <w:bookmarkEnd w:id="1129"/>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0" w:name="_Toc1129"/>
      <w:r>
        <w:rPr>
          <w:b/>
          <w:bCs/>
          <w:color w:val="161B22"/>
        </w:rPr>
        <w:t xml:space="preserve">The Vermont Clinically Integrated Network — A New Technology Institution</w:t>
      </w:r>
      <w:bookmarkEnd w:id="1130"/>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1" w:name="_Toc1130"/>
      <w:r>
        <w:rPr>
          <w:b/>
          <w:bCs/>
          <w:color w:val="161B22"/>
        </w:rPr>
        <w:t xml:space="preserve">What a Clinically Integrated Network Does</w:t>
      </w:r>
      <w:bookmarkEnd w:id="1131"/>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2" w:name="_Toc1131"/>
      <w:r>
        <w:rPr>
          <w:b/>
          <w:bCs/>
          <w:color w:val="161B22"/>
        </w:rPr>
        <w:t xml:space="preserve">What the Vermont CIN Will Provide</w:t>
      </w:r>
      <w:bookmarkEnd w:id="1132"/>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3" w:name="_Toc1132"/>
      <w:r>
        <w:rPr>
          <w:b/>
          <w:bCs/>
          <w:color w:val="161B22"/>
        </w:rPr>
        <w:t xml:space="preserve">FHIR Interoperability — The National Standard and Vermont’s Compliance Path</w:t>
      </w:r>
      <w:bookmarkEnd w:id="1133"/>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4" w:name="_Toc1133"/>
      <w:r>
        <w:rPr>
          <w:b/>
          <w:bCs/>
          <w:color w:val="161B22"/>
        </w:rPr>
        <w:t xml:space="preserve">What FHIR Enables That Vermont Currently Cannot Do</w:t>
      </w:r>
      <w:bookmarkEnd w:id="1134"/>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5" w:name="_Toc1134"/>
      <w:r>
        <w:rPr>
          <w:b/>
          <w:bCs/>
          <w:color w:val="161B22"/>
        </w:rPr>
        <w:t xml:space="preserve">Vermont’s FHIR Compliance Status</w:t>
      </w:r>
      <w:bookmarkEnd w:id="1135"/>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6" w:name="_Toc1135"/>
      <w:r>
        <w:rPr>
          <w:b/>
          <w:bCs/>
          <w:color w:val="161B22"/>
        </w:rPr>
        <w:t xml:space="preserve">AI and Digital Health Technologies — Vermont’s Targeted Investment Strategy</w:t>
      </w:r>
      <w:bookmarkEnd w:id="1136"/>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7" w:name="_Toc1136"/>
      <w:r>
        <w:rPr>
          <w:b/>
          <w:bCs/>
          <w:color w:val="161B22"/>
        </w:rPr>
        <w:t xml:space="preserve">AI Scribe Technology: Addressing the Documentation Burden Crisis</w:t>
      </w:r>
      <w:bookmarkEnd w:id="1137"/>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8" w:name="_Toc1137"/>
      <w:r>
        <w:rPr>
          <w:b/>
          <w:bCs/>
          <w:color w:val="161B22"/>
        </w:rPr>
        <w:t xml:space="preserve">Remote Patient Monitoring: Managing Chronic Disease Outside the Hospital</w:t>
      </w:r>
      <w:bookmarkEnd w:id="1138"/>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9" w:name="_Toc1138"/>
      <w:r>
        <w:rPr>
          <w:b/>
          <w:bCs/>
          <w:color w:val="161B22"/>
        </w:rPr>
        <w:t xml:space="preserve">Telehealth: Specialty Access for Rural Vermont</w:t>
      </w:r>
      <w:bookmarkEnd w:id="1139"/>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0" w:name="_Toc1139"/>
      <w:r>
        <w:rPr>
          <w:b/>
          <w:bCs/>
          <w:color w:val="161B22"/>
        </w:rPr>
        <w:t xml:space="preserve">Diagnostic AI: The Emerging Standard of Care</w:t>
      </w:r>
      <w:bookmarkEnd w:id="1140"/>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1" w:name="_Toc1140"/>
      <w:r>
        <w:rPr>
          <w:b/>
          <w:bCs/>
          <w:color w:val="161B22"/>
        </w:rPr>
        <w:t xml:space="preserve">Price Transparency Technology</w:t>
      </w:r>
      <w:bookmarkEnd w:id="1141"/>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2" w:name="_Toc1141"/>
      <w:r>
        <w:rPr>
          <w:b/>
          <w:bCs/>
          <w:color w:val="161B22"/>
        </w:rPr>
        <w:t xml:space="preserve">AI Governance — Vermont’s Responsibility Before the Risk Arrives</w:t>
      </w:r>
      <w:bookmarkEnd w:id="1142"/>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3" w:name="_Toc1142"/>
      <w:r>
        <w:rPr>
          <w:b/>
          <w:bCs/>
          <w:color w:val="161B22"/>
        </w:rPr>
        <w:t xml:space="preserve">Vermont AI Governance Framework: Minimum Requirements</w:t>
      </w:r>
      <w:bookmarkEnd w:id="1143"/>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4" w:name="_Toc1143"/>
      <w:r>
        <w:rPr>
          <w:b/>
          <w:bCs/>
          <w:color w:val="161B22"/>
        </w:rPr>
        <w:t xml:space="preserve">Vermont’s Target Technology Architecture — A Framework for the Strategic Plan</w:t>
      </w:r>
      <w:bookmarkEnd w:id="1144"/>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5" w:name="_Toc1144"/>
      <w:r>
        <w:rPr>
          <w:b/>
          <w:bCs/>
          <w:color w:val="161B22"/>
        </w:rPr>
        <w:t xml:space="preserve">Work This Chapter on the Platform</w:t>
      </w:r>
      <w:bookmarkEnd w:id="1145"/>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6" w:name="_Toc1145"/>
      <w:r>
        <w:rPr>
          <w:b/>
          <w:bCs/>
          <w:color w:val="161B22"/>
        </w:rPr>
        <w:t xml:space="preserve">Implications for You</w:t>
      </w:r>
      <w:bookmarkEnd w:id="1146"/>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7" w:name="_Toc1146"/>
      <w:r>
        <w:rPr>
          <w:b/>
          <w:bCs/>
          <w:color w:val="161B22"/>
        </w:rPr>
        <w:t xml:space="preserve">Key Concepts in This Chapter</w:t>
      </w:r>
      <w:bookmarkEnd w:id="1147"/>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8" w:name="_Toc1147"/>
      <w:r>
        <w:rPr>
          <w:b/>
          <w:bCs/>
          <w:color w:val="161B22"/>
        </w:rPr>
        <w:t xml:space="preserve">Chapter 5: The Technology Pillar in Practice — FHIR, AI Governance, and Clinical Decision Support</w:t>
      </w:r>
      <w:bookmarkEnd w:id="11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9" w:name="_Toc1148"/>
      <w:r>
        <w:rPr>
          <w:b/>
          <w:bCs/>
          <w:color w:val="161B22"/>
        </w:rPr>
        <w:t xml:space="preserve">From Architecture to Implementation</w:t>
      </w:r>
      <w:bookmarkEnd w:id="1149"/>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0" w:name="_Toc1149"/>
      <w:r>
        <w:rPr>
          <w:b/>
          <w:bCs/>
          <w:color w:val="161B22"/>
        </w:rPr>
        <w:t xml:space="preserve">FHIR Implementation — From Standard to Working System</w:t>
      </w:r>
      <w:bookmarkEnd w:id="1150"/>
    </w:p>
    <w:p>
      <w:pPr>
        <w:pStyle w:val="Heading3"/>
      </w:pPr>
      <w:r>
        <w:rPr>
          <w:color w:val="161B22"/>
        </w:rPr>
        <w:t xml:space="preserve">5.2.1  </w:t>
      </w:r>
      <w:bookmarkStart w:id="1151" w:name="_Toc1150"/>
      <w:r>
        <w:rPr>
          <w:b/>
          <w:bCs/>
          <w:color w:val="161B22"/>
        </w:rPr>
        <w:t xml:space="preserve">The FHIR Implementation Reality</w:t>
      </w:r>
      <w:bookmarkEnd w:id="1151"/>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2" w:name="_Toc1151"/>
      <w:r>
        <w:rPr>
          <w:b/>
          <w:bCs/>
          <w:color w:val="161B22"/>
        </w:rPr>
        <w:t xml:space="preserve">The Three FHIR Use Cases Vermont Needs Most</w:t>
      </w:r>
      <w:bookmarkEnd w:id="1152"/>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3" w:name="_Toc1152"/>
      <w:r>
        <w:rPr>
          <w:b/>
          <w:bCs/>
          <w:color w:val="161B22"/>
        </w:rPr>
        <w:t xml:space="preserve">The Master Patient Index — Vermont’s Identity Management Challenge</w:t>
      </w:r>
      <w:bookmarkEnd w:id="1153"/>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4" w:name="_Toc1153"/>
      <w:r>
        <w:rPr>
          <w:b/>
          <w:bCs/>
          <w:color w:val="161B22"/>
        </w:rPr>
        <w:t xml:space="preserve">AI Clinical Governance — The Complete Framework</w:t>
      </w:r>
      <w:bookmarkEnd w:id="1154"/>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5" w:name="_Toc1154"/>
      <w:r>
        <w:rPr>
          <w:b/>
          <w:bCs/>
          <w:color w:val="161B22"/>
        </w:rPr>
        <w:t xml:space="preserve">The AI Clinical Governance Lifecycle</w:t>
      </w:r>
      <w:bookmarkEnd w:id="1155"/>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6" w:name="_Toc1155"/>
      <w:r>
        <w:rPr>
          <w:b/>
          <w:bCs/>
          <w:color w:val="161B22"/>
        </w:rPr>
        <w:t xml:space="preserve">Stage 1: Pre-Deployment Evaluation</w:t>
      </w:r>
      <w:bookmarkEnd w:id="1156"/>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7" w:name="_Toc1156"/>
      <w:r>
        <w:rPr>
          <w:b/>
          <w:bCs/>
          <w:color w:val="161B22"/>
        </w:rPr>
        <w:t xml:space="preserve">Stage 2: Implementation and Training</w:t>
      </w:r>
      <w:bookmarkEnd w:id="1157"/>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8" w:name="_Toc1157"/>
      <w:r>
        <w:rPr>
          <w:b/>
          <w:bCs/>
          <w:color w:val="161B22"/>
        </w:rPr>
        <w:t xml:space="preserve">Stage 3: Active Monitoring</w:t>
      </w:r>
      <w:bookmarkEnd w:id="1158"/>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9" w:name="_Toc1158"/>
      <w:r>
        <w:rPr>
          <w:b/>
          <w:bCs/>
          <w:color w:val="161B22"/>
        </w:rPr>
        <w:t xml:space="preserve">Stage 4: Vendor Management</w:t>
      </w:r>
      <w:bookmarkEnd w:id="1159"/>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0" w:name="_Toc1159"/>
      <w:r>
        <w:rPr>
          <w:b/>
          <w:bCs/>
          <w:color w:val="161B22"/>
        </w:rPr>
        <w:t xml:space="preserve">AI-Specific Issues for Vermont Rural Hospitals</w:t>
      </w:r>
      <w:bookmarkEnd w:id="1160"/>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1" w:name="_Toc1160"/>
      <w:r>
        <w:rPr>
          <w:b/>
          <w:bCs/>
          <w:color w:val="161B22"/>
        </w:rPr>
        <w:t xml:space="preserve">Clinical Decision Support — From Alerts to Intelligence</w:t>
      </w:r>
      <w:bookmarkEnd w:id="1161"/>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2" w:name="_Toc1161"/>
      <w:r>
        <w:rPr>
          <w:b/>
          <w:bCs/>
          <w:color w:val="161B22"/>
        </w:rPr>
        <w:t xml:space="preserve">Alert Fatigue — The CDS Effectiveness Crisis</w:t>
      </w:r>
      <w:bookmarkEnd w:id="1162"/>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3" w:name="_Toc1162"/>
      <w:r>
        <w:rPr>
          <w:b/>
          <w:bCs/>
          <w:color w:val="161B22"/>
        </w:rPr>
        <w:t xml:space="preserve">Population Health CDS — Vermont’s Priority Application</w:t>
      </w:r>
      <w:bookmarkEnd w:id="1163"/>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4" w:name="_Toc1163"/>
      <w:r>
        <w:rPr>
          <w:b/>
          <w:bCs/>
          <w:color w:val="161B22"/>
        </w:rPr>
        <w:t xml:space="preserve">Cybersecurity in Rural Health Infrastructure</w:t>
      </w:r>
      <w:bookmarkEnd w:id="1164"/>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5" w:name="_Toc1164"/>
      <w:r>
        <w:rPr>
          <w:b/>
          <w:bCs/>
          <w:color w:val="161B22"/>
        </w:rPr>
        <w:t xml:space="preserve">The CIN Cybersecurity Shared Services Model</w:t>
      </w:r>
      <w:bookmarkEnd w:id="1165"/>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6" w:name="_Toc1165"/>
      <w:r>
        <w:rPr>
          <w:b/>
          <w:bCs/>
          <w:color w:val="161B22"/>
        </w:rPr>
        <w:t xml:space="preserve">Technology Pillar Implementation Matrix</w:t>
      </w:r>
      <w:bookmarkEnd w:id="116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7" w:name="_Toc1166"/>
      <w:r>
        <w:rPr>
          <w:b/>
          <w:bCs/>
          <w:color w:val="161B22"/>
        </w:rPr>
        <w:t xml:space="preserve">Work This Chapter on the Platform</w:t>
      </w:r>
      <w:bookmarkEnd w:id="1167"/>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8" w:name="_Toc1167"/>
      <w:r>
        <w:rPr>
          <w:b/>
          <w:bCs/>
          <w:color w:val="161B22"/>
        </w:rPr>
        <w:t xml:space="preserve">Implications for You</w:t>
      </w:r>
      <w:bookmarkEnd w:id="1168"/>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9" w:name="_Toc1168"/>
      <w:r>
        <w:rPr>
          <w:b/>
          <w:bCs/>
          <w:color w:val="161B22"/>
        </w:rPr>
        <w:t xml:space="preserve">Key Concepts in This Chapter</w:t>
      </w:r>
      <w:bookmarkEnd w:id="1169"/>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0" w:name="_Toc1169"/>
      <w:r>
        <w:rPr>
          <w:b/>
          <w:bCs/>
          <w:color w:val="161B22"/>
        </w:rPr>
        <w:t xml:space="preserve">Chapter 6: The Economics Pillar — Global Budgets, Reference-Based Pricing, and Financial Reform</w:t>
      </w:r>
      <w:bookmarkEnd w:id="117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1" w:name="_Toc1170"/>
      <w:r>
        <w:rPr>
          <w:b/>
          <w:bCs/>
          <w:color w:val="161B22"/>
        </w:rPr>
        <w:t xml:space="preserve">The Economics Pillar: Why Payment Reform Is the Master Variable</w:t>
      </w:r>
      <w:bookmarkEnd w:id="1171"/>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2" w:name="_Toc1171"/>
      <w:r>
        <w:rPr>
          <w:b/>
          <w:bCs/>
          <w:color w:val="161B22"/>
        </w:rPr>
        <w:t xml:space="preserve">The Fee-for-Service Trap — Why the Current System Fails</w:t>
      </w:r>
      <w:bookmarkEnd w:id="1172"/>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3" w:name="_Toc1172"/>
      <w:r>
        <w:rPr>
          <w:b/>
          <w:bCs/>
          <w:color w:val="161B22"/>
        </w:rPr>
        <w:t xml:space="preserve">The Volume Incentive Problem</w:t>
      </w:r>
      <w:bookmarkEnd w:id="1173"/>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4" w:name="_Toc1173"/>
      <w:r>
        <w:rPr>
          <w:b/>
          <w:bCs/>
          <w:color w:val="161B22"/>
        </w:rPr>
        <w:t xml:space="preserve">The Price Extraction Problem</w:t>
      </w:r>
      <w:bookmarkEnd w:id="117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5" w:name="_Toc1174"/>
      <w:r>
        <w:rPr>
          <w:b/>
          <w:bCs/>
          <w:color w:val="161B22"/>
        </w:rPr>
        <w:t xml:space="preserve">The Cross-Subsidy Collapse</w:t>
      </w:r>
      <w:bookmarkEnd w:id="1175"/>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6" w:name="_Toc1175"/>
      <w:r>
        <w:rPr>
          <w:b/>
          <w:bCs/>
          <w:color w:val="161B22"/>
        </w:rPr>
        <w:t xml:space="preserve">Reference-Based Pricing — Mechanics, Evidence, and Vermont’s Design</w:t>
      </w:r>
      <w:bookmarkEnd w:id="1176"/>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7" w:name="_Toc1176"/>
      <w:r>
        <w:rPr>
          <w:b/>
          <w:bCs/>
          <w:color w:val="161B22"/>
        </w:rPr>
        <w:t xml:space="preserve">How RBP Works: The Mechanism</w:t>
      </w:r>
      <w:bookmarkEnd w:id="1177"/>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8" w:name="_Toc1177"/>
      <w:r>
        <w:rPr>
          <w:b/>
          <w:bCs/>
          <w:color w:val="161B22"/>
        </w:rPr>
        <w:t xml:space="preserve">The Evidence Base: Cross-State Results</w:t>
      </w:r>
      <w:bookmarkEnd w:id="1178"/>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9" w:name="_Toc1178"/>
      <w:r>
        <w:rPr>
          <w:b/>
          <w:bCs/>
          <w:color w:val="161B22"/>
        </w:rPr>
        <w:t xml:space="preserve">What RBP Does — and What It Does Not Do</w:t>
      </w:r>
      <w:bookmarkEnd w:id="1179"/>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0" w:name="_Toc1179"/>
      <w:r>
        <w:rPr>
          <w:b/>
          <w:bCs/>
          <w:color w:val="161B22"/>
        </w:rPr>
        <w:t xml:space="preserve">Vermont’s Phased Implementation Timeline</w:t>
      </w:r>
      <w:bookmarkEnd w:id="1180"/>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1" w:name="_Toc1180"/>
      <w:r>
        <w:rPr>
          <w:b/>
          <w:bCs/>
          <w:color w:val="161B22"/>
        </w:rPr>
        <w:t xml:space="preserve">Hospital Global Budgets — Architecture, History, and Vermont’s Mandate</w:t>
      </w:r>
      <w:bookmarkEnd w:id="1181"/>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2" w:name="_Toc1181"/>
      <w:r>
        <w:rPr>
          <w:b/>
          <w:bCs/>
          <w:color w:val="161B22"/>
        </w:rPr>
        <w:t xml:space="preserve">The Economic Logic: Flipping the Incentive</w:t>
      </w:r>
      <w:bookmarkEnd w:id="1182"/>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3" w:name="_Toc1182"/>
      <w:r>
        <w:rPr>
          <w:b/>
          <w:bCs/>
          <w:color w:val="161B22"/>
        </w:rPr>
        <w:t xml:space="preserve">Five Design Dimensions Every Global Budget Must Resolve</w:t>
      </w:r>
      <w:bookmarkEnd w:id="1183"/>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4" w:name="_Toc1183"/>
      <w:r>
        <w:rPr>
          <w:b/>
          <w:bCs/>
          <w:color w:val="161B22"/>
        </w:rPr>
        <w:t xml:space="preserve">Vermont’s Global Budget History: Four Attempts, One Lesson</w:t>
      </w:r>
      <w:bookmarkEnd w:id="1184"/>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5" w:name="_Toc1184"/>
      <w:r>
        <w:rPr>
          <w:b/>
          <w:bCs/>
          <w:color w:val="161B22"/>
        </w:rPr>
        <w:t xml:space="preserve">Maryland — A Decade of Global Budget Evidence</w:t>
      </w:r>
      <w:bookmarkEnd w:id="1185"/>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6" w:name="_Toc1185"/>
      <w:r>
        <w:rPr>
          <w:b/>
          <w:bCs/>
          <w:color w:val="161B22"/>
        </w:rPr>
        <w:t xml:space="preserve">Maryland All-Payer Model — A Decade of Evidence</w:t>
      </w:r>
      <w:bookmarkEnd w:id="1186"/>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7" w:name="_Toc1186"/>
      <w:r>
        <w:rPr>
          <w:b/>
          <w:bCs/>
          <w:color w:val="161B22"/>
        </w:rPr>
        <w:t xml:space="preserve">The Maryland Architecture</w:t>
      </w:r>
      <w:bookmarkEnd w:id="1187"/>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8" w:name="_Toc1187"/>
      <w:r>
        <w:rPr>
          <w:b/>
          <w:bCs/>
          <w:color w:val="161B22"/>
        </w:rPr>
        <w:t xml:space="preserve">The Results</w:t>
      </w:r>
      <w:bookmarkEnd w:id="1188"/>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9" w:name="_Toc1188"/>
      <w:r>
        <w:rPr>
          <w:b/>
          <w:bCs/>
          <w:color w:val="161B22"/>
        </w:rPr>
        <w:t xml:space="preserve">The Limitations — What Maryland Teaches About What Global Budgets Cannot Do Alone</w:t>
      </w:r>
      <w:bookmarkEnd w:id="1189"/>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0" w:name="_Toc1189"/>
      <w:r>
        <w:rPr>
          <w:b/>
          <w:bCs/>
          <w:color w:val="161B22"/>
        </w:rPr>
        <w:t xml:space="preserve">The AHEAD Model — Medicare’s Entry into Vermont’s Reform</w:t>
      </w:r>
      <w:bookmarkEnd w:id="1190"/>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1" w:name="_Toc1190"/>
      <w:r>
        <w:rPr>
          <w:b/>
          <w:bCs/>
          <w:color w:val="161B22"/>
        </w:rPr>
        <w:t xml:space="preserve">What AHEAD Actually Is</w:t>
      </w:r>
      <w:bookmarkEnd w:id="1191"/>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2" w:name="_Toc1191"/>
      <w:r>
        <w:rPr>
          <w:b/>
          <w:bCs/>
          <w:color w:val="161B22"/>
        </w:rPr>
        <w:t xml:space="preserve">The AHEAD-Act 68 Integration: Why Both Are Required</w:t>
      </w:r>
      <w:bookmarkEnd w:id="1192"/>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3" w:name="_Toc1192"/>
      <w:r>
        <w:rPr>
          <w:b/>
          <w:bCs/>
          <w:color w:val="161B22"/>
        </w:rPr>
        <w:t xml:space="preserve">Hospital Financial Modeling — Reading the Numbers That Matter</w:t>
      </w:r>
      <w:bookmarkEnd w:id="1193"/>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4" w:name="_Toc1193"/>
      <w:r>
        <w:rPr>
          <w:b/>
          <w:bCs/>
          <w:color w:val="161B22"/>
        </w:rPr>
        <w:t xml:space="preserve">The Oliver Wyman Projection Scenarios</w:t>
      </w:r>
      <w:bookmarkEnd w:id="1194"/>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5" w:name="_Toc1194"/>
      <w:r>
        <w:rPr>
          <w:b/>
          <w:bCs/>
          <w:color w:val="161B22"/>
        </w:rPr>
        <w:t xml:space="preserve">Reading the Metrics That Actually Matter Under Global Budgets</w:t>
      </w:r>
      <w:bookmarkEnd w:id="1195"/>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6" w:name="_Toc1195"/>
      <w:r>
        <w:rPr>
          <w:b/>
          <w:bCs/>
          <w:color w:val="161B22"/>
        </w:rPr>
        <w:t xml:space="preserve">The Savings Roadmap: Where Vermont’s $400M+ Can Come From</w:t>
      </w:r>
      <w:bookmarkEnd w:id="1196"/>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7" w:name="_Toc1196"/>
      <w:r>
        <w:rPr>
          <w:b/>
          <w:bCs/>
          <w:color w:val="161B22"/>
        </w:rPr>
        <w:t xml:space="preserve">APM Transition Strategy for Vermont Healthcare Organizations</w:t>
      </w:r>
      <w:bookmarkEnd w:id="1197"/>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8" w:name="_Toc1197"/>
      <w:r>
        <w:rPr>
          <w:b/>
          <w:bCs/>
          <w:color w:val="161B22"/>
        </w:rPr>
        <w:t xml:space="preserve">The Three-Phase Transition Model</w:t>
      </w:r>
      <w:bookmarkEnd w:id="1198"/>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9" w:name="_Toc1198"/>
      <w:r>
        <w:rPr>
          <w:b/>
          <w:bCs/>
          <w:color w:val="161B22"/>
        </w:rPr>
        <w:t xml:space="preserve">The VBC Readiness Assessment in a Global Budget Context</w:t>
      </w:r>
      <w:bookmarkEnd w:id="1199"/>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0" w:name="_Toc1199"/>
      <w:r>
        <w:rPr>
          <w:b/>
          <w:bCs/>
          <w:color w:val="161B22"/>
        </w:rPr>
        <w:t xml:space="preserve">Work This Chapter on the Platform</w:t>
      </w:r>
      <w:bookmarkEnd w:id="1200"/>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1" w:name="_Toc1200"/>
      <w:r>
        <w:rPr>
          <w:b/>
          <w:bCs/>
          <w:color w:val="161B22"/>
        </w:rPr>
        <w:t xml:space="preserve">Implications for You</w:t>
      </w:r>
      <w:bookmarkEnd w:id="1201"/>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2" w:name="_Toc1201"/>
      <w:r>
        <w:rPr>
          <w:b/>
          <w:bCs/>
          <w:color w:val="161B22"/>
        </w:rPr>
        <w:t xml:space="preserve">Key Concepts in This Chapter</w:t>
      </w:r>
      <w:bookmarkEnd w:id="1202"/>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3" w:name="_Toc1202"/>
      <w:r>
        <w:rPr>
          <w:b/>
          <w:bCs/>
          <w:color w:val="161B22"/>
        </w:rPr>
        <w:t xml:space="preserve">Chapter 7: The Economics Pillar in Practice — VBC Financial Modeling and APM Readiness</w:t>
      </w:r>
      <w:bookmarkEnd w:id="120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4" w:name="_Toc1203"/>
      <w:r>
        <w:rPr>
          <w:b/>
          <w:bCs/>
          <w:color w:val="161B22"/>
        </w:rPr>
        <w:t xml:space="preserve">From Payment Architecture to Financial Practice</w:t>
      </w:r>
      <w:bookmarkEnd w:id="1204"/>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5" w:name="_Toc1204"/>
      <w:r>
        <w:rPr>
          <w:b/>
          <w:bCs/>
          <w:color w:val="161B22"/>
        </w:rPr>
        <w:t xml:space="preserve">The APM Financial Modeling Framework</w:t>
      </w:r>
      <w:bookmarkEnd w:id="1205"/>
    </w:p>
    <w:p>
      <w:pPr>
        <w:pStyle w:val="Heading3"/>
      </w:pPr>
      <w:r>
        <w:rPr>
          <w:color w:val="161B22"/>
        </w:rPr>
        <w:t xml:space="preserve">7.2.1  </w:t>
      </w:r>
      <w:bookmarkStart w:id="1206" w:name="_Toc1205"/>
      <w:r>
        <w:rPr>
          <w:b/>
          <w:bCs/>
          <w:color w:val="161B22"/>
        </w:rPr>
        <w:t xml:space="preserve">Understanding Benchmarks — The Foundation of VBC Economics</w:t>
      </w:r>
      <w:bookmarkEnd w:id="1206"/>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7" w:name="_Toc1206"/>
      <w:r>
        <w:rPr>
          <w:b/>
          <w:bCs/>
          <w:color w:val="161B22"/>
        </w:rPr>
        <w:t xml:space="preserve">Historical Spending Baseline</w:t>
      </w:r>
      <w:bookmarkEnd w:id="1207"/>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8" w:name="_Toc1207"/>
      <w:r>
        <w:rPr>
          <w:b/>
          <w:bCs/>
          <w:color w:val="161B22"/>
        </w:rPr>
        <w:t xml:space="preserve">Regional Benchmark</w:t>
      </w:r>
      <w:bookmarkEnd w:id="1208"/>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9" w:name="_Toc1208"/>
      <w:r>
        <w:rPr>
          <w:b/>
          <w:bCs/>
          <w:color w:val="161B22"/>
        </w:rPr>
        <w:t xml:space="preserve">Prospective Benchmark</w:t>
      </w:r>
      <w:bookmarkEnd w:id="1209"/>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0" w:name="_Toc1209"/>
      <w:r>
        <w:rPr>
          <w:b/>
          <w:bCs/>
          <w:color w:val="161B22"/>
        </w:rPr>
        <w:t xml:space="preserve">The Shared Savings Calculation — A Working Model</w:t>
      </w:r>
      <w:bookmarkEnd w:id="1210"/>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1" w:name="_Toc1210"/>
      <w:r>
        <w:rPr>
          <w:b/>
          <w:bCs/>
          <w:color w:val="161B22"/>
        </w:rPr>
        <w:t xml:space="preserve">Risk Stratification — The Economic Engine of Population Health Management</w:t>
      </w:r>
      <w:bookmarkEnd w:id="1211"/>
    </w:p>
    <w:p>
      <w:pPr>
        <w:pStyle w:val="Heading3"/>
      </w:pPr>
      <w:r>
        <w:rPr>
          <w:color w:val="161B22"/>
        </w:rPr>
        <w:t xml:space="preserve">7.2.7  </w:t>
      </w:r>
      <w:bookmarkStart w:id="1212" w:name="_Toc1211"/>
      <w:r>
        <w:rPr>
          <w:b/>
          <w:bCs/>
          <w:color w:val="161B22"/>
        </w:rPr>
        <w:t xml:space="preserve">The Care Management ROI Calculation</w:t>
      </w:r>
      <w:bookmarkEnd w:id="1212"/>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3" w:name="_Toc1212"/>
      <w:r>
        <w:rPr>
          <w:b/>
          <w:bCs/>
          <w:color w:val="161B22"/>
        </w:rPr>
        <w:t xml:space="preserve">Economics Pillar Implementation Matrix</w:t>
      </w:r>
      <w:bookmarkEnd w:id="121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4" w:name="_Toc1213"/>
      <w:r>
        <w:rPr>
          <w:b/>
          <w:bCs/>
          <w:color w:val="161B22"/>
        </w:rPr>
        <w:t xml:space="preserve">APM Readiness Assessment — The 30-Dimension Framework</w:t>
      </w:r>
      <w:bookmarkEnd w:id="1214"/>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5" w:name="_Toc1214"/>
      <w:r>
        <w:rPr>
          <w:b/>
          <w:bCs/>
          <w:color w:val="161B22"/>
        </w:rPr>
        <w:t xml:space="preserve">The Six Readiness Domains</w:t>
      </w:r>
      <w:bookmarkEnd w:id="1215"/>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6" w:name="_Toc1215"/>
      <w:r>
        <w:rPr>
          <w:b/>
          <w:bCs/>
          <w:color w:val="161B22"/>
        </w:rPr>
        <w:t xml:space="preserve">VBC Readiness Scoring — What the Numbers Mean</w:t>
      </w:r>
      <w:bookmarkEnd w:id="1216"/>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7" w:name="_Toc1216"/>
      <w:r>
        <w:rPr>
          <w:b/>
          <w:bCs/>
          <w:color w:val="161B22"/>
        </w:rPr>
        <w:t xml:space="preserve">Contract Analysis — Reading an APM Contract for Financial Risk</w:t>
      </w:r>
      <w:bookmarkEnd w:id="1217"/>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8" w:name="_Toc1217"/>
      <w:r>
        <w:rPr>
          <w:b/>
          <w:bCs/>
          <w:color w:val="161B22"/>
        </w:rPr>
        <w:t xml:space="preserve">The 65-Item VBC Contract Review Checklist: Key Categories</w:t>
      </w:r>
      <w:bookmarkEnd w:id="1218"/>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9" w:name="_Toc1218"/>
      <w:r>
        <w:rPr>
          <w:b/>
          <w:bCs/>
          <w:color w:val="161B22"/>
        </w:rPr>
        <w:t xml:space="preserve">Hospital Financial Modeling Under Global Budgets — The Vermont Framework</w:t>
      </w:r>
      <w:bookmarkEnd w:id="1219"/>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0" w:name="_Toc1219"/>
      <w:r>
        <w:rPr>
          <w:b/>
          <w:bCs/>
          <w:color w:val="161B22"/>
        </w:rPr>
        <w:t xml:space="preserve">The Global Budget Financial Management Model</w:t>
      </w:r>
      <w:bookmarkEnd w:id="1220"/>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1" w:name="_Toc1220"/>
      <w:r>
        <w:rPr>
          <w:b/>
          <w:bCs/>
          <w:color w:val="161B22"/>
        </w:rPr>
        <w:t xml:space="preserve">The Hospital Financial Stress Test Model</w:t>
      </w:r>
      <w:bookmarkEnd w:id="1221"/>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2" w:name="_Toc1221"/>
      <w:r>
        <w:rPr>
          <w:b/>
          <w:bCs/>
          <w:color w:val="161B22"/>
        </w:rPr>
        <w:t xml:space="preserve">The ROI of Transformation — Building the Financial Case</w:t>
      </w:r>
      <w:bookmarkEnd w:id="1222"/>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3" w:name="_Toc1222"/>
      <w:r>
        <w:rPr>
          <w:b/>
          <w:bCs/>
          <w:color w:val="161B22"/>
        </w:rPr>
        <w:t xml:space="preserve">The Transformation ROI Framework</w:t>
      </w:r>
      <w:bookmarkEnd w:id="1223"/>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4" w:name="_Toc1223"/>
      <w:r>
        <w:rPr>
          <w:b/>
          <w:bCs/>
          <w:color w:val="161B22"/>
        </w:rPr>
        <w:t xml:space="preserve">Making Care Primary — Vermont’s Primary Care Economics</w:t>
      </w:r>
      <w:bookmarkEnd w:id="1224"/>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5" w:name="_Toc1224"/>
      <w:r>
        <w:rPr>
          <w:b/>
          <w:bCs/>
          <w:color w:val="161B22"/>
        </w:rPr>
        <w:t xml:space="preserve">Work This Chapter on the Platform</w:t>
      </w:r>
      <w:bookmarkEnd w:id="1225"/>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6" w:name="_Toc1225"/>
      <w:r>
        <w:rPr>
          <w:b/>
          <w:bCs/>
          <w:color w:val="161B22"/>
        </w:rPr>
        <w:t xml:space="preserve">Implications for You</w:t>
      </w:r>
      <w:bookmarkEnd w:id="1226"/>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7" w:name="_Toc1226"/>
      <w:r>
        <w:rPr>
          <w:b/>
          <w:bCs/>
          <w:color w:val="161B22"/>
        </w:rPr>
        <w:t xml:space="preserve">Key Concepts in This Chapter</w:t>
      </w:r>
      <w:bookmarkEnd w:id="1227"/>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8" w:name="_Toc1227"/>
      <w:r>
        <w:rPr>
          <w:b/>
          <w:bCs/>
          <w:color w:val="161B22"/>
        </w:rPr>
        <w:t xml:space="preserve">Chapter 8: The Clinical Pillar — Redesigning Care Delivery for a Transformed System</w:t>
      </w:r>
      <w:bookmarkEnd w:id="122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9" w:name="_Toc1228"/>
      <w:r>
        <w:rPr>
          <w:b/>
          <w:bCs/>
          <w:color w:val="161B22"/>
        </w:rPr>
        <w:t xml:space="preserve">The Clinical Pillar: What It Is and Why It Is Not the Same as Clinical Quality</w:t>
      </w:r>
      <w:bookmarkEnd w:id="1229"/>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0" w:name="_Toc1229"/>
      <w:r>
        <w:rPr>
          <w:b/>
          <w:bCs/>
          <w:color w:val="161B22"/>
        </w:rPr>
        <w:t xml:space="preserve">The Vermont Blueprint for Health — Two Decades of Primary Care Transformation</w:t>
      </w:r>
      <w:bookmarkEnd w:id="1230"/>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1" w:name="_Toc1230"/>
      <w:r>
        <w:rPr>
          <w:b/>
          <w:bCs/>
          <w:color w:val="161B22"/>
        </w:rPr>
        <w:t xml:space="preserve">The Blueprint Architecture</w:t>
      </w:r>
      <w:bookmarkEnd w:id="1231"/>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2" w:name="_Toc1231"/>
      <w:r>
        <w:rPr>
          <w:b/>
          <w:bCs/>
          <w:color w:val="161B22"/>
        </w:rPr>
        <w:t xml:space="preserve">The Evidence: What the Blueprint Has Produced</w:t>
      </w:r>
      <w:bookmarkEnd w:id="1232"/>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3" w:name="_Toc1232"/>
      <w:r>
        <w:rPr>
          <w:b/>
          <w:bCs/>
          <w:color w:val="161B22"/>
        </w:rPr>
        <w:t xml:space="preserve">The Blueprint and AHEAD: A Critical Transition</w:t>
      </w:r>
      <w:bookmarkEnd w:id="1233"/>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4" w:name="_Toc1233"/>
      <w:r>
        <w:rPr>
          <w:b/>
          <w:bCs/>
          <w:color w:val="161B22"/>
        </w:rPr>
        <w:t xml:space="preserve">The Behavioral Health Crisis — Vermont’s Most Urgent Clinical Challenge</w:t>
      </w:r>
      <w:bookmarkEnd w:id="1234"/>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5" w:name="_Toc1234"/>
      <w:r>
        <w:rPr>
          <w:b/>
          <w:bCs/>
          <w:color w:val="161B22"/>
        </w:rPr>
        <w:t xml:space="preserve">The Three-Layer Behavioral Health Architecture Vermont Is Building</w:t>
      </w:r>
      <w:bookmarkEnd w:id="1235"/>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6" w:name="_Toc1235"/>
      <w:r>
        <w:rPr>
          <w:b/>
          <w:bCs/>
          <w:color w:val="161B22"/>
        </w:rPr>
        <w:t xml:space="preserve">The Collaborative Care Model: Clinical Standard of Practice for Primary Care Integration</w:t>
      </w:r>
      <w:bookmarkEnd w:id="1236"/>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7" w:name="_Toc1236"/>
      <w:r>
        <w:rPr>
          <w:b/>
          <w:bCs/>
          <w:color w:val="161B22"/>
        </w:rPr>
        <w:t xml:space="preserve">The SUD Continuum: Vermont’s Hub and Spoke Model</w:t>
      </w:r>
      <w:bookmarkEnd w:id="1237"/>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8" w:name="_Toc1237"/>
      <w:r>
        <w:rPr>
          <w:b/>
          <w:bCs/>
          <w:color w:val="161B22"/>
        </w:rPr>
        <w:t xml:space="preserve">Primary Care Redesign — Vermont’s Strategy for the Front Door</w:t>
      </w:r>
      <w:bookmarkEnd w:id="1238"/>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9" w:name="_Toc1238"/>
      <w:r>
        <w:rPr>
          <w:b/>
          <w:bCs/>
          <w:color w:val="161B22"/>
        </w:rPr>
        <w:t xml:space="preserve">The Vermont Comprehensive Primary Health Care Initiative</w:t>
      </w:r>
      <w:bookmarkEnd w:id="1239"/>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0" w:name="_Toc1239"/>
      <w:r>
        <w:rPr>
          <w:b/>
          <w:bCs/>
          <w:color w:val="161B22"/>
        </w:rPr>
        <w:t xml:space="preserve">Primary Care’s Role in Reducing Hospital Utilization</w:t>
      </w:r>
      <w:bookmarkEnd w:id="1240"/>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1" w:name="_Toc1240"/>
      <w:r>
        <w:rPr>
          <w:b/>
          <w:bCs/>
          <w:color w:val="161B22"/>
        </w:rPr>
        <w:t xml:space="preserve">Vermont’s Clinical Quality Architecture — Measuring What Matters</w:t>
      </w:r>
      <w:bookmarkEnd w:id="1241"/>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2" w:name="_Toc1241"/>
      <w:r>
        <w:rPr>
          <w:b/>
          <w:bCs/>
          <w:color w:val="161B22"/>
        </w:rPr>
        <w:t xml:space="preserve">The HEDIS Improvement Methodology — Vermont Context</w:t>
      </w:r>
      <w:bookmarkEnd w:id="1242"/>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3" w:name="_Toc1242"/>
      <w:r>
        <w:rPr>
          <w:b/>
          <w:bCs/>
          <w:color w:val="161B22"/>
        </w:rPr>
        <w:t xml:space="preserve">Care for Vermont’s Aging Population — The Clinical Imperative</w:t>
      </w:r>
      <w:bookmarkEnd w:id="1243"/>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4" w:name="_Toc1243"/>
      <w:r>
        <w:rPr>
          <w:b/>
          <w:bCs/>
          <w:color w:val="161B22"/>
        </w:rPr>
        <w:t xml:space="preserve">The PACE Model and Vermont’s Long-Term Care Gap</w:t>
      </w:r>
      <w:bookmarkEnd w:id="1244"/>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5" w:name="_Toc1244"/>
      <w:r>
        <w:rPr>
          <w:b/>
          <w:bCs/>
          <w:color w:val="161B22"/>
        </w:rPr>
        <w:t xml:space="preserve">Dementia Care: The Coming Clinical Challenge</w:t>
      </w:r>
      <w:bookmarkEnd w:id="1245"/>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6" w:name="_Toc1245"/>
      <w:r>
        <w:rPr>
          <w:b/>
          <w:bCs/>
          <w:color w:val="161B22"/>
        </w:rPr>
        <w:t xml:space="preserve">Clinical Pillar Implications for AHS’s Statewide Strategic Plan</w:t>
      </w:r>
      <w:bookmarkEnd w:id="1246"/>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7" w:name="_Toc1246"/>
      <w:r>
        <w:rPr>
          <w:b/>
          <w:bCs/>
          <w:color w:val="161B22"/>
        </w:rPr>
        <w:t xml:space="preserve">Work This Chapter on the Platform</w:t>
      </w:r>
      <w:bookmarkEnd w:id="1247"/>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8" w:name="_Toc1247"/>
      <w:r>
        <w:rPr>
          <w:b/>
          <w:bCs/>
          <w:color w:val="161B22"/>
        </w:rPr>
        <w:t xml:space="preserve">Implications for You</w:t>
      </w:r>
      <w:bookmarkEnd w:id="1248"/>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9" w:name="_Toc1248"/>
      <w:r>
        <w:rPr>
          <w:b/>
          <w:bCs/>
          <w:color w:val="161B22"/>
        </w:rPr>
        <w:t xml:space="preserve">Key Concepts in This Chapter</w:t>
      </w:r>
      <w:bookmarkEnd w:id="1249"/>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0" w:name="_Toc1249"/>
      <w:r>
        <w:rPr>
          <w:b/>
          <w:bCs/>
          <w:color w:val="161B22"/>
        </w:rPr>
        <w:t xml:space="preserve">Chapter 9: The Clinical Pillar in Practice — Care Model Implementation, Quality Mechanics, and the Vermont Clinical Transformation Toolkit</w:t>
      </w:r>
      <w:bookmarkEnd w:id="125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1" w:name="_Toc1250"/>
      <w:r>
        <w:rPr>
          <w:b/>
          <w:bCs/>
          <w:color w:val="161B22"/>
        </w:rPr>
        <w:t xml:space="preserve">From Clinical Architecture to Clinical Practice</w:t>
      </w:r>
      <w:bookmarkEnd w:id="1251"/>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2" w:name="_Toc1251"/>
      <w:r>
        <w:rPr>
          <w:b/>
          <w:bCs/>
          <w:color w:val="161B22"/>
        </w:rPr>
        <w:t xml:space="preserve">PCMH Transformation — The Blueprint Practice Implementation Playbook</w:t>
      </w:r>
      <w:bookmarkEnd w:id="1252"/>
    </w:p>
    <w:p>
      <w:pPr>
        <w:pStyle w:val="Heading3"/>
      </w:pPr>
      <w:r>
        <w:rPr>
          <w:color w:val="161B22"/>
        </w:rPr>
        <w:t xml:space="preserve">9.2.1  </w:t>
      </w:r>
      <w:bookmarkStart w:id="1253" w:name="_Toc1252"/>
      <w:r>
        <w:rPr>
          <w:b/>
          <w:bCs/>
          <w:color w:val="161B22"/>
        </w:rPr>
        <w:t xml:space="preserve">The Blueprint PCMH Recognition Process — What It Actually Requires</w:t>
      </w:r>
      <w:bookmarkEnd w:id="1253"/>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4" w:name="_Toc1253"/>
      <w:r>
        <w:rPr>
          <w:b/>
          <w:bCs/>
          <w:color w:val="161B22"/>
        </w:rPr>
        <w:t xml:space="preserve">The Blueprint Field Staff Model — Vermont’s Practice Transformation Infrastructure</w:t>
      </w:r>
      <w:bookmarkEnd w:id="1254"/>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5" w:name="_Toc1254"/>
      <w:r>
        <w:rPr>
          <w:b/>
          <w:bCs/>
          <w:color w:val="161B22"/>
        </w:rPr>
        <w:t xml:space="preserve">The Practice Panel: Right-Sizing and Risk Stratification</w:t>
      </w:r>
      <w:bookmarkEnd w:id="1255"/>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6" w:name="_Toc1255"/>
      <w:r>
        <w:rPr>
          <w:b/>
          <w:bCs/>
          <w:color w:val="161B22"/>
        </w:rPr>
        <w:t xml:space="preserve">Deploying the Collaborative Care Model — Operational Requirements</w:t>
      </w:r>
      <w:bookmarkEnd w:id="1256"/>
    </w:p>
    <w:p>
      <w:pPr>
        <w:pStyle w:val="Heading3"/>
      </w:pPr>
      <w:r>
        <w:rPr>
          <w:color w:val="161B22"/>
        </w:rPr>
        <w:t xml:space="preserve">9.3.1  </w:t>
      </w:r>
      <w:bookmarkStart w:id="1257" w:name="_Toc1256"/>
      <w:r>
        <w:rPr>
          <w:b/>
          <w:bCs/>
          <w:color w:val="161B22"/>
        </w:rPr>
        <w:t xml:space="preserve">Site Readiness Assessment</w:t>
      </w:r>
      <w:bookmarkEnd w:id="1257"/>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8" w:name="_Toc1257"/>
      <w:r>
        <w:rPr>
          <w:b/>
          <w:bCs/>
          <w:color w:val="161B22"/>
        </w:rPr>
        <w:t xml:space="preserve">The Psychiatric Consultation Model — Vermont’s Workforce Solution</w:t>
      </w:r>
      <w:bookmarkEnd w:id="1258"/>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9" w:name="_Toc1258"/>
      <w:r>
        <w:rPr>
          <w:b/>
          <w:bCs/>
          <w:color w:val="161B22"/>
        </w:rPr>
        <w:t xml:space="preserve">The BHCM Workforce Pipeline</w:t>
      </w:r>
      <w:bookmarkEnd w:id="1259"/>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0" w:name="_Toc1259"/>
      <w:r>
        <w:rPr>
          <w:b/>
          <w:bCs/>
          <w:color w:val="161B22"/>
        </w:rPr>
        <w:t xml:space="preserve">HEDIS Improvement Methodology — Vermont Context</w:t>
      </w:r>
      <w:bookmarkEnd w:id="1260"/>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1" w:name="_Toc1260"/>
      <w:r>
        <w:rPr>
          <w:b/>
          <w:bCs/>
          <w:color w:val="161B22"/>
        </w:rPr>
        <w:t xml:space="preserve">The Five-Step HEDIS Improvement Framework</w:t>
      </w:r>
      <w:bookmarkEnd w:id="1261"/>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2" w:name="_Toc1261"/>
      <w:r>
        <w:rPr>
          <w:b/>
          <w:bCs/>
          <w:color w:val="161B22"/>
        </w:rPr>
        <w:t xml:space="preserve">Vermont-Specific HEDIS Opportunity Areas</w:t>
      </w:r>
      <w:bookmarkEnd w:id="1262"/>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3" w:name="_Toc1262"/>
      <w:r>
        <w:rPr>
          <w:b/>
          <w:bCs/>
          <w:color w:val="161B22"/>
        </w:rPr>
        <w:t xml:space="preserve">The Clinical Data Infrastructure — Connecting Care to Population Health Management</w:t>
      </w:r>
      <w:bookmarkEnd w:id="1263"/>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4" w:name="_Toc1263"/>
      <w:r>
        <w:rPr>
          <w:b/>
          <w:bCs/>
          <w:color w:val="161B22"/>
        </w:rPr>
        <w:t xml:space="preserve">Vermont’s Three-Step Clinical Data Model</w:t>
      </w:r>
      <w:bookmarkEnd w:id="1264"/>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5" w:name="_Toc1264"/>
      <w:r>
        <w:rPr>
          <w:b/>
          <w:bCs/>
          <w:color w:val="161B22"/>
        </w:rPr>
        <w:t xml:space="preserve">HCC Coding Excellence — The Clinical Pillar’s Financial Foundation</w:t>
      </w:r>
      <w:bookmarkEnd w:id="1265"/>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6" w:name="_Toc1265"/>
      <w:r>
        <w:rPr>
          <w:b/>
          <w:bCs/>
          <w:color w:val="161B22"/>
        </w:rPr>
        <w:t xml:space="preserve">The Care Transition Protocol — Closing the Loop Between Hospital and Community</w:t>
      </w:r>
      <w:bookmarkEnd w:id="1266"/>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7" w:name="_Toc1266"/>
      <w:r>
        <w:rPr>
          <w:b/>
          <w:bCs/>
          <w:color w:val="161B22"/>
        </w:rPr>
        <w:t xml:space="preserve">Clinical Leadership in Transformation — The Under-Resourced Pillar</w:t>
      </w:r>
      <w:bookmarkEnd w:id="1267"/>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8" w:name="_Toc1267"/>
      <w:r>
        <w:rPr>
          <w:b/>
          <w:bCs/>
          <w:color w:val="161B22"/>
        </w:rPr>
        <w:t xml:space="preserve">Clinical Pillar Implementation Commitments for AHS’s Statewide Strategic Plan</w:t>
      </w:r>
      <w:bookmarkEnd w:id="1268"/>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9" w:name="_Toc1268"/>
      <w:r>
        <w:rPr>
          <w:b/>
          <w:bCs/>
          <w:color w:val="161B22"/>
        </w:rPr>
        <w:t xml:space="preserve">Clinical Pillar Implementation Matrix</w:t>
      </w:r>
      <w:bookmarkEnd w:id="126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0" w:name="_Toc1269"/>
      <w:r>
        <w:rPr>
          <w:b/>
          <w:bCs/>
          <w:color w:val="161B22"/>
        </w:rPr>
        <w:t xml:space="preserve">Work This Chapter on the Platform</w:t>
      </w:r>
      <w:bookmarkEnd w:id="1270"/>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1" w:name="_Toc1270"/>
      <w:r>
        <w:rPr>
          <w:b/>
          <w:bCs/>
          <w:color w:val="161B22"/>
        </w:rPr>
        <w:t xml:space="preserve">Implications for You</w:t>
      </w:r>
      <w:bookmarkEnd w:id="1271"/>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2" w:name="_Toc1271"/>
      <w:r>
        <w:rPr>
          <w:b/>
          <w:bCs/>
          <w:color w:val="161B22"/>
        </w:rPr>
        <w:t xml:space="preserve">Key Concepts in This Chapter</w:t>
      </w:r>
      <w:bookmarkEnd w:id="1272"/>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3" w:name="_Toc1272"/>
      <w:r>
        <w:rPr>
          <w:b/>
          <w:bCs/>
          <w:color w:val="161B22"/>
        </w:rPr>
        <w:t xml:space="preserve">Chapter 10: The Equity Pillar — Closing Gaps, Not Just Averaging Them</w:t>
      </w:r>
      <w:bookmarkEnd w:id="127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4" w:name="_Toc1273"/>
      <w:r>
        <w:rPr>
          <w:b/>
          <w:bCs/>
          <w:color w:val="161B22"/>
        </w:rPr>
        <w:t xml:space="preserve">The Equity Pillar: Why Average Outcomes Are the Wrong Target</w:t>
      </w:r>
      <w:bookmarkEnd w:id="1274"/>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5" w:name="_Toc1274"/>
      <w:r>
        <w:rPr>
          <w:b/>
          <w:bCs/>
          <w:color w:val="161B22"/>
        </w:rPr>
        <w:t xml:space="preserve">Vermont’s Equity Landscape — What the Data Shows</w:t>
      </w:r>
      <w:bookmarkEnd w:id="1275"/>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6" w:name="_Toc1275"/>
      <w:r>
        <w:rPr>
          <w:b/>
          <w:bCs/>
          <w:color w:val="161B22"/>
        </w:rPr>
        <w:t xml:space="preserve">Geographic Equity: The Rural-Urban Divide</w:t>
      </w:r>
      <w:bookmarkEnd w:id="1276"/>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7" w:name="_Toc1276"/>
      <w:r>
        <w:rPr>
          <w:b/>
          <w:bCs/>
          <w:color w:val="161B22"/>
        </w:rPr>
        <w:t xml:space="preserve">Racial and Demographic Equity</w:t>
      </w:r>
      <w:bookmarkEnd w:id="1277"/>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8" w:name="_Toc1277"/>
      <w:r>
        <w:rPr>
          <w:b/>
          <w:bCs/>
          <w:color w:val="161B22"/>
        </w:rPr>
        <w:t xml:space="preserve">The SDOH Burden</w:t>
      </w:r>
      <w:bookmarkEnd w:id="1278"/>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9" w:name="_Toc1278"/>
      <w:r>
        <w:rPr>
          <w:b/>
          <w:bCs/>
          <w:color w:val="161B22"/>
        </w:rPr>
        <w:t xml:space="preserve">The Disparity Root Cause Taxonomy — Why Vermont’s Equity Gaps Exist</w:t>
      </w:r>
      <w:bookmarkEnd w:id="1279"/>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0" w:name="_Toc1279"/>
      <w:r>
        <w:rPr>
          <w:b/>
          <w:bCs/>
          <w:color w:val="161B22"/>
        </w:rPr>
        <w:t xml:space="preserve">Rural Equity — Vermont’s Defining Challenge</w:t>
      </w:r>
      <w:bookmarkEnd w:id="1280"/>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1" w:name="_Toc1280"/>
      <w:r>
        <w:rPr>
          <w:b/>
          <w:bCs/>
          <w:color w:val="161B22"/>
        </w:rPr>
        <w:t xml:space="preserve">The Northeast Kingdom: Vermont’s Equity Priority</w:t>
      </w:r>
      <w:bookmarkEnd w:id="1281"/>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2" w:name="_Toc1281"/>
      <w:r>
        <w:rPr>
          <w:b/>
          <w:bCs/>
          <w:color w:val="161B22"/>
        </w:rPr>
        <w:t xml:space="preserve">The GLP-1 Access Crisis — The Most Important New Equity Issue</w:t>
      </w:r>
      <w:bookmarkEnd w:id="1282"/>
    </w:p>
    <w:p>
      <w:pPr>
        <w:pStyle w:val="Heading3"/>
      </w:pPr>
      <w:r>
        <w:rPr>
          <w:color w:val="161B22"/>
        </w:rPr>
        <w:t xml:space="preserve">10.5.1  </w:t>
      </w:r>
      <w:bookmarkStart w:id="1283" w:name="_Toc1282"/>
      <w:r>
        <w:rPr>
          <w:b/>
          <w:bCs/>
          <w:color w:val="161B22"/>
        </w:rPr>
        <w:t xml:space="preserve">The GLP-1 Access Crisis — The Most Important New Equity Issue</w:t>
      </w:r>
      <w:bookmarkEnd w:id="1283"/>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4" w:name="_Toc1283"/>
      <w:r>
        <w:rPr>
          <w:b/>
          <w:bCs/>
          <w:color w:val="161B22"/>
        </w:rPr>
        <w:t xml:space="preserve">The BALANCE Model: A Partial Solution</w:t>
      </w:r>
      <w:bookmarkEnd w:id="1284"/>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5" w:name="_Toc1284"/>
      <w:r>
        <w:rPr>
          <w:b/>
          <w:bCs/>
          <w:color w:val="161B22"/>
        </w:rPr>
        <w:t xml:space="preserve">The GLP-1 Equity Implication for Vermont’s Transformation</w:t>
      </w:r>
      <w:bookmarkEnd w:id="1285"/>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6" w:name="_Toc1285"/>
      <w:r>
        <w:rPr>
          <w:b/>
          <w:bCs/>
          <w:color w:val="161B22"/>
        </w:rPr>
        <w:t xml:space="preserve">Vermont’s Equity Architecture — What Is Already Built and What Remains</w:t>
      </w:r>
      <w:bookmarkEnd w:id="1286"/>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7" w:name="_Toc1286"/>
      <w:r>
        <w:rPr>
          <w:b/>
          <w:bCs/>
          <w:color w:val="161B22"/>
        </w:rPr>
        <w:t xml:space="preserve">What Is Already Operational</w:t>
      </w:r>
      <w:bookmarkEnd w:id="1287"/>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8" w:name="_Toc1287"/>
      <w:r>
        <w:rPr>
          <w:b/>
          <w:bCs/>
          <w:color w:val="161B22"/>
        </w:rPr>
        <w:t xml:space="preserve">What Must Be Built</w:t>
      </w:r>
      <w:bookmarkEnd w:id="1288"/>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9" w:name="_Toc1288"/>
      <w:r>
        <w:rPr>
          <w:b/>
          <w:bCs/>
          <w:color w:val="161B22"/>
        </w:rPr>
        <w:t xml:space="preserve">Equity and the Six-Pillar Framework — How Every Pillar Has an Equity Dimension</w:t>
      </w:r>
      <w:bookmarkEnd w:id="1289"/>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0" w:name="_Toc1289"/>
      <w:r>
        <w:rPr>
          <w:b/>
          <w:bCs/>
          <w:color w:val="161B22"/>
        </w:rPr>
        <w:t xml:space="preserve">Vermont’s Equity Accountability Framework</w:t>
      </w:r>
      <w:bookmarkEnd w:id="1290"/>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1" w:name="_Toc1290"/>
      <w:r>
        <w:rPr>
          <w:b/>
          <w:bCs/>
          <w:color w:val="161B22"/>
        </w:rPr>
        <w:t xml:space="preserve">Work This Chapter on the Platform</w:t>
      </w:r>
      <w:bookmarkEnd w:id="1291"/>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2" w:name="_Toc1291"/>
      <w:r>
        <w:rPr>
          <w:b/>
          <w:bCs/>
          <w:color w:val="161B22"/>
        </w:rPr>
        <w:t xml:space="preserve">Implications for You</w:t>
      </w:r>
      <w:bookmarkEnd w:id="1292"/>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3" w:name="_Toc1292"/>
      <w:r>
        <w:rPr>
          <w:b/>
          <w:bCs/>
          <w:color w:val="161B22"/>
        </w:rPr>
        <w:t xml:space="preserve">Measuring Equity: HEROI, HEDIS Stratification, and VBC Safeguards</w:t>
      </w:r>
      <w:bookmarkEnd w:id="1293"/>
    </w:p>
    <w:p>
      <w:pPr>
        <w:pStyle w:val="Heading2"/>
        <w:pBdr>
          <w:top w:val="single" w:sz="6" w:space="10" w:color="C9D2DF"/>
        </w:pBdr>
      </w:pPr>
      <w:r>
        <w:rPr>
          <w:color w:val="161B22"/>
        </w:rPr>
        <w:t xml:space="preserve">10.12  </w:t>
      </w:r>
      <w:bookmarkStart w:id="1294" w:name="_Toc1293"/>
      <w:r>
        <w:rPr>
          <w:b/>
          <w:bCs/>
          <w:color w:val="161B22"/>
        </w:rPr>
        <w:t xml:space="preserve">From Identifying Disparities to Eliminating Them</w:t>
      </w:r>
      <w:bookmarkEnd w:id="1294"/>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5" w:name="_Toc1294"/>
      <w:r>
        <w:rPr>
          <w:b/>
          <w:bCs/>
          <w:color w:val="161B22"/>
        </w:rPr>
        <w:t xml:space="preserve">Stratified HEDIS Measurement — The Foundation of Equity Analytics</w:t>
      </w:r>
      <w:bookmarkEnd w:id="1295"/>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6" w:name="_Toc1295"/>
      <w:r>
        <w:rPr>
          <w:b/>
          <w:bCs/>
          <w:color w:val="161B22"/>
        </w:rPr>
        <w:t xml:space="preserve">The NCQA HEDIS Stratification Framework</w:t>
      </w:r>
      <w:bookmarkEnd w:id="1296"/>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7" w:name="_Toc1296"/>
      <w:r>
        <w:rPr>
          <w:b/>
          <w:bCs/>
          <w:color w:val="161B22"/>
        </w:rPr>
        <w:t xml:space="preserve">Equity Pillar Implementation Matrix</w:t>
      </w:r>
      <w:bookmarkEnd w:id="129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8" w:name="_Toc1297"/>
      <w:r>
        <w:rPr>
          <w:b/>
          <w:bCs/>
          <w:color w:val="161B22"/>
        </w:rPr>
        <w:t xml:space="preserve">The Data Collection Challenge — Getting Demographic Data Right</w:t>
      </w:r>
      <w:bookmarkEnd w:id="1298"/>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9" w:name="_Toc1298"/>
      <w:r>
        <w:rPr>
          <w:b/>
          <w:bCs/>
          <w:color w:val="161B22"/>
        </w:rPr>
        <w:t xml:space="preserve">The HEROI Framework — A Composite Equity Score</w:t>
      </w:r>
      <w:bookmarkEnd w:id="1299"/>
    </w:p>
    <w:p>
      <w:pPr>
        <w:pStyle w:val="Heading3"/>
      </w:pPr>
      <w:r>
        <w:rPr>
          <w:color w:val="161B22"/>
        </w:rPr>
        <w:t xml:space="preserve">10.15.1  </w:t>
      </w:r>
      <w:bookmarkStart w:id="1300" w:name="_Toc1299"/>
      <w:r>
        <w:rPr>
          <w:b/>
          <w:bCs/>
          <w:color w:val="161B22"/>
        </w:rPr>
        <w:t xml:space="preserve">HEROI Composite Score — Five Dimensions</w:t>
      </w:r>
      <w:bookmarkEnd w:id="1300"/>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1" w:name="_Toc1300"/>
      <w:r>
        <w:rPr>
          <w:b/>
          <w:bCs/>
          <w:color w:val="161B22"/>
        </w:rPr>
        <w:t xml:space="preserve">HEROI Components</w:t>
      </w:r>
      <w:bookmarkEnd w:id="1301"/>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2" w:name="_Toc1301"/>
      <w:r>
        <w:rPr>
          <w:b/>
          <w:bCs/>
          <w:color w:val="161B22"/>
        </w:rPr>
        <w:t xml:space="preserve">Root Cause Analytics — Matching Interventions to Causes</w:t>
      </w:r>
      <w:bookmarkEnd w:id="1302"/>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3" w:name="_Toc1302"/>
      <w:r>
        <w:rPr>
          <w:b/>
          <w:bCs/>
          <w:color w:val="161B22"/>
        </w:rPr>
        <w:t xml:space="preserve">The Disparity Decomposition Method</w:t>
      </w:r>
      <w:bookmarkEnd w:id="1303"/>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4" w:name="_Toc1303"/>
      <w:r>
        <w:rPr>
          <w:b/>
          <w:bCs/>
          <w:color w:val="161B22"/>
        </w:rPr>
        <w:t xml:space="preserve">The Five-Step Disparity Closure Process</w:t>
      </w:r>
      <w:bookmarkEnd w:id="1304"/>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5" w:name="_Toc1304"/>
      <w:r>
        <w:rPr>
          <w:b/>
          <w:bCs/>
          <w:color w:val="161B22"/>
        </w:rPr>
        <w:t xml:space="preserve">Equity in VBC Contracting — Protecting Against Unintended Consequences</w:t>
      </w:r>
      <w:bookmarkEnd w:id="1305"/>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6" w:name="_Toc1305"/>
      <w:r>
        <w:rPr>
          <w:b/>
          <w:bCs/>
          <w:color w:val="161B22"/>
        </w:rPr>
        <w:t xml:space="preserve">Social Risk Adjustment — The Equity Design Requirement for VBC Contracts</w:t>
      </w:r>
      <w:bookmarkEnd w:id="1306"/>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7" w:name="_Toc1306"/>
      <w:r>
        <w:rPr>
          <w:b/>
          <w:bCs/>
          <w:color w:val="161B22"/>
        </w:rPr>
        <w:t xml:space="preserve">The VBC Equity Audit</w:t>
      </w:r>
      <w:bookmarkEnd w:id="1307"/>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8" w:name="_Toc1307"/>
      <w:r>
        <w:rPr>
          <w:b/>
          <w:bCs/>
          <w:color w:val="161B22"/>
        </w:rPr>
        <w:t xml:space="preserve">Vermont’s Population Health Equity Analytics Architecture</w:t>
      </w:r>
      <w:bookmarkEnd w:id="1308"/>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9" w:name="_Toc1308"/>
      <w:r>
        <w:rPr>
          <w:b/>
          <w:bCs/>
          <w:color w:val="161B22"/>
        </w:rPr>
        <w:t xml:space="preserve">Implications for You</w:t>
      </w:r>
      <w:bookmarkEnd w:id="1309"/>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0" w:name="_Toc1309"/>
      <w:r>
        <w:rPr>
          <w:b/>
          <w:bCs/>
          <w:color w:val="161B22"/>
        </w:rPr>
        <w:t xml:space="preserve">Key Concepts in This Chapter</w:t>
      </w:r>
      <w:bookmarkEnd w:id="1310"/>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1" w:name="_Toc1310"/>
      <w:r>
        <w:rPr>
          <w:b/>
          <w:bCs/>
          <w:color w:val="161B22"/>
        </w:rPr>
        <w:t xml:space="preserve">Chapter 11: The Operations Pillar — Executing Hospital System Transformation</w:t>
      </w:r>
      <w:bookmarkEnd w:id="131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2" w:name="_Toc1311"/>
      <w:r>
        <w:rPr>
          <w:b/>
          <w:bCs/>
          <w:color w:val="161B22"/>
        </w:rPr>
        <w:t xml:space="preserve">The Operations Pillar: Where Strategy Meets Reality</w:t>
      </w:r>
      <w:bookmarkEnd w:id="1312"/>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3" w:name="_Toc1312"/>
      <w:r>
        <w:rPr>
          <w:b/>
          <w:bCs/>
          <w:color w:val="161B22"/>
        </w:rPr>
        <w:t xml:space="preserve">The Vermont Transformation Operating Model</w:t>
      </w:r>
      <w:bookmarkEnd w:id="1313"/>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4" w:name="_Toc1313"/>
      <w:r>
        <w:rPr>
          <w:b/>
          <w:bCs/>
          <w:color w:val="161B22"/>
        </w:rPr>
        <w:t xml:space="preserve">The Institutional Architecture</w:t>
      </w:r>
      <w:bookmarkEnd w:id="1314"/>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5" w:name="_Toc1314"/>
      <w:r>
        <w:rPr>
          <w:b/>
          <w:bCs/>
          <w:color w:val="161B22"/>
        </w:rPr>
        <w:t xml:space="preserve">The Transformation Planning Sequence</w:t>
      </w:r>
      <w:bookmarkEnd w:id="1315"/>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6" w:name="_Toc1315"/>
      <w:r>
        <w:rPr>
          <w:b/>
          <w:bCs/>
          <w:color w:val="161B22"/>
        </w:rPr>
        <w:t xml:space="preserve">The RHRC Methodology — Technical Assistance for Rural Hospital Transformation</w:t>
      </w:r>
      <w:bookmarkEnd w:id="1316"/>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7" w:name="_Toc1316"/>
      <w:r>
        <w:rPr>
          <w:b/>
          <w:bCs/>
          <w:color w:val="161B22"/>
        </w:rPr>
        <w:t xml:space="preserve">What RHRC Did</w:t>
      </w:r>
      <w:bookmarkEnd w:id="1317"/>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8" w:name="_Toc1317"/>
      <w:r>
        <w:rPr>
          <w:b/>
          <w:bCs/>
          <w:color w:val="161B22"/>
        </w:rPr>
        <w:t xml:space="preserve">RHRC’s Four Workstreams at Each Hospital</w:t>
      </w:r>
      <w:bookmarkEnd w:id="1318"/>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9" w:name="_Toc1318"/>
      <w:r>
        <w:rPr>
          <w:b/>
          <w:bCs/>
          <w:color w:val="161B22"/>
        </w:rPr>
        <w:t xml:space="preserve">The Analytics Gap and Its Resolution</w:t>
      </w:r>
      <w:bookmarkEnd w:id="1319"/>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0" w:name="_Toc1319"/>
      <w:r>
        <w:rPr>
          <w:b/>
          <w:bCs/>
          <w:color w:val="161B22"/>
        </w:rPr>
        <w:t xml:space="preserve">The Vermont Hospital Performance Dashboard — Where Each Hospital Stands</w:t>
      </w:r>
      <w:bookmarkEnd w:id="1320"/>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1" w:name="_Toc1320"/>
      <w:r>
        <w:rPr>
          <w:b/>
          <w:bCs/>
          <w:color w:val="161B22"/>
        </w:rPr>
        <w:t xml:space="preserve">Regionalization — The Operational Logic of Right-Sizing a 14-Hospital System</w:t>
      </w:r>
      <w:bookmarkEnd w:id="1321"/>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2" w:name="_Toc1321"/>
      <w:r>
        <w:rPr>
          <w:b/>
          <w:bCs/>
          <w:color w:val="161B22"/>
        </w:rPr>
        <w:t xml:space="preserve">The Regional Network Design Framework</w:t>
      </w:r>
      <w:bookmarkEnd w:id="1322"/>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3" w:name="_Toc1322"/>
      <w:r>
        <w:rPr>
          <w:b/>
          <w:bCs/>
          <w:color w:val="161B22"/>
        </w:rPr>
        <w:t xml:space="preserve">The Operational Mechanics of Regionalization</w:t>
      </w:r>
      <w:bookmarkEnd w:id="1323"/>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4" w:name="_Toc1323"/>
      <w:r>
        <w:rPr>
          <w:b/>
          <w:bCs/>
          <w:color w:val="161B22"/>
        </w:rPr>
        <w:t xml:space="preserve">The Workforce Crisis — Vermont’s Most Binding Operational Constraint</w:t>
      </w:r>
      <w:bookmarkEnd w:id="132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5" w:name="_Toc1324"/>
      <w:r>
        <w:rPr>
          <w:b/>
          <w:bCs/>
          <w:color w:val="161B22"/>
        </w:rPr>
        <w:t xml:space="preserve">The Dimensions of Vermont’s Workforce Crisis</w:t>
      </w:r>
      <w:bookmarkEnd w:id="1325"/>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6" w:name="_Toc1325"/>
      <w:r>
        <w:rPr>
          <w:b/>
          <w:bCs/>
          <w:color w:val="161B22"/>
        </w:rPr>
        <w:t xml:space="preserve">Vermont’s Workforce Strategy: The RHT Investment Framework</w:t>
      </w:r>
      <w:bookmarkEnd w:id="1326"/>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7" w:name="_Toc1326"/>
      <w:r>
        <w:rPr>
          <w:b/>
          <w:bCs/>
          <w:color w:val="161B22"/>
        </w:rPr>
        <w:t xml:space="preserve">RHT Workforce Investment Priorities</w:t>
      </w:r>
      <w:bookmarkEnd w:id="1327"/>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8" w:name="_Toc1327"/>
      <w:r>
        <w:rPr>
          <w:b/>
          <w:bCs/>
          <w:color w:val="161B22"/>
        </w:rPr>
        <w:t xml:space="preserve">The Operations Metrics Framework — What AHS Must Track</w:t>
      </w:r>
      <w:bookmarkEnd w:id="1328"/>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9" w:name="_Toc1328"/>
      <w:r>
        <w:rPr>
          <w:b/>
          <w:bCs/>
          <w:color w:val="161B22"/>
        </w:rPr>
        <w:t xml:space="preserve">AHS as System Operator — Organizational Design for the 2028 Mandate</w:t>
      </w:r>
      <w:bookmarkEnd w:id="1329"/>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0" w:name="_Toc1329"/>
      <w:r>
        <w:rPr>
          <w:b/>
          <w:bCs/>
          <w:color w:val="161B22"/>
        </w:rPr>
        <w:t xml:space="preserve">The Current Organizational Gaps</w:t>
      </w:r>
      <w:bookmarkEnd w:id="1330"/>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1" w:name="_Toc1330"/>
      <w:r>
        <w:rPr>
          <w:b/>
          <w:bCs/>
          <w:color w:val="161B22"/>
        </w:rPr>
        <w:t xml:space="preserve">The Emerging Solution: A Population Health Management Operating Model</w:t>
      </w:r>
      <w:bookmarkEnd w:id="1331"/>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2" w:name="_Toc1331"/>
      <w:r>
        <w:rPr>
          <w:b/>
          <w:bCs/>
          <w:color w:val="161B22"/>
        </w:rPr>
        <w:t xml:space="preserve">Work This Chapter on the Platform</w:t>
      </w:r>
      <w:bookmarkEnd w:id="1332"/>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3" w:name="_Toc1332"/>
      <w:r>
        <w:rPr>
          <w:b/>
          <w:bCs/>
          <w:color w:val="161B22"/>
        </w:rPr>
        <w:t xml:space="preserve">Implications for You</w:t>
      </w:r>
      <w:bookmarkEnd w:id="1333"/>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4" w:name="_Toc1333"/>
      <w:r>
        <w:rPr>
          <w:b/>
          <w:bCs/>
          <w:color w:val="161B22"/>
        </w:rPr>
        <w:t xml:space="preserve">Revenue Cycle, HCC Coding, Credentialing, and Administrative Simplification</w:t>
      </w:r>
      <w:bookmarkEnd w:id="1334"/>
    </w:p>
    <w:p>
      <w:pPr>
        <w:pStyle w:val="Heading2"/>
        <w:pBdr>
          <w:top w:val="single" w:sz="6" w:space="10" w:color="C9D2DF"/>
        </w:pBdr>
      </w:pPr>
      <w:r>
        <w:rPr>
          <w:color w:val="161B22"/>
        </w:rPr>
        <w:t xml:space="preserve">11.12  </w:t>
      </w:r>
      <w:bookmarkStart w:id="1335" w:name="_Toc1334"/>
      <w:r>
        <w:rPr>
          <w:b/>
          <w:bCs/>
          <w:color w:val="161B22"/>
        </w:rPr>
        <w:t xml:space="preserve">Operations Where Money Actually Lives</w:t>
      </w:r>
      <w:bookmarkEnd w:id="1335"/>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6" w:name="_Toc1335"/>
      <w:r>
        <w:rPr>
          <w:b/>
          <w:bCs/>
          <w:color w:val="161B22"/>
        </w:rPr>
        <w:t xml:space="preserve">Revenue Cycle Transformation — From FFS Optimization to VBC Management</w:t>
      </w:r>
      <w:bookmarkEnd w:id="1336"/>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7" w:name="_Toc1336"/>
      <w:r>
        <w:rPr>
          <w:b/>
          <w:bCs/>
          <w:color w:val="161B22"/>
        </w:rPr>
        <w:t xml:space="preserve">Attribution Management — The VBC-Specific Revenue Function</w:t>
      </w:r>
      <w:bookmarkEnd w:id="1337"/>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8" w:name="_Toc1337"/>
      <w:r>
        <w:rPr>
          <w:b/>
          <w:bCs/>
          <w:color w:val="161B22"/>
        </w:rPr>
        <w:t xml:space="preserve">Total Cost of Care Monitoring — Seeing What You Cannot Bill</w:t>
      </w:r>
      <w:bookmarkEnd w:id="1338"/>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9" w:name="_Toc1338"/>
      <w:r>
        <w:rPr>
          <w:b/>
          <w:bCs/>
          <w:color w:val="161B22"/>
        </w:rPr>
        <w:t xml:space="preserve">HCC Coding Excellence — The Risk Adjustment Foundation</w:t>
      </w:r>
      <w:bookmarkEnd w:id="1339"/>
    </w:p>
    <w:p>
      <w:pPr>
        <w:pStyle w:val="Heading3"/>
      </w:pPr>
      <w:r>
        <w:rPr>
          <w:color w:val="161B22"/>
        </w:rPr>
        <w:t xml:space="preserve">11.14.1  </w:t>
      </w:r>
      <w:bookmarkStart w:id="1340" w:name="_Toc1339"/>
      <w:r>
        <w:rPr>
          <w:b/>
          <w:bCs/>
          <w:color w:val="161B22"/>
        </w:rPr>
        <w:t xml:space="preserve">HCC Gap Closure: High-ROI Pre-AHEAD Action for Every Vermont Hospital</w:t>
      </w:r>
      <w:bookmarkEnd w:id="1340"/>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1" w:name="_Toc1340"/>
      <w:r>
        <w:rPr>
          <w:b/>
          <w:bCs/>
          <w:color w:val="161B22"/>
        </w:rPr>
        <w:t xml:space="preserve">The HCC Model — How It Works</w:t>
      </w:r>
      <w:bookmarkEnd w:id="1341"/>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2" w:name="_Toc1341"/>
      <w:r>
        <w:rPr>
          <w:b/>
          <w:bCs/>
          <w:color w:val="161B22"/>
        </w:rPr>
        <w:t xml:space="preserve">The HCC Gap Closure Process</w:t>
      </w:r>
      <w:bookmarkEnd w:id="1342"/>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3" w:name="_Toc1342"/>
      <w:r>
        <w:rPr>
          <w:b/>
          <w:bCs/>
          <w:color w:val="161B22"/>
        </w:rPr>
        <w:t xml:space="preserve">Credentialing Efficiency — The Hidden Operations Bottleneck</w:t>
      </w:r>
      <w:bookmarkEnd w:id="1343"/>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4" w:name="_Toc1343"/>
      <w:r>
        <w:rPr>
          <w:b/>
          <w:bCs/>
          <w:color w:val="161B22"/>
        </w:rPr>
        <w:t xml:space="preserve">Credentialing as a Transformation Bottleneck</w:t>
      </w:r>
      <w:bookmarkEnd w:id="1344"/>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5" w:name="_Toc1344"/>
      <w:r>
        <w:rPr>
          <w:b/>
          <w:bCs/>
          <w:color w:val="161B22"/>
        </w:rPr>
        <w:t xml:space="preserve">The Credentialing Efficiency Framework</w:t>
      </w:r>
      <w:bookmarkEnd w:id="1345"/>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6" w:name="_Toc1345"/>
      <w:r>
        <w:rPr>
          <w:b/>
          <w:bCs/>
          <w:color w:val="161B22"/>
        </w:rPr>
        <w:t xml:space="preserve">Workforce Operations — Managing the Care Team in a Transformed System</w:t>
      </w:r>
      <w:bookmarkEnd w:id="1346"/>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7" w:name="_Toc1346"/>
      <w:r>
        <w:rPr>
          <w:b/>
          <w:bCs/>
          <w:color w:val="161B22"/>
        </w:rPr>
        <w:t xml:space="preserve">The Workforce Supply Challenge — What Can Actually Be Done</w:t>
      </w:r>
      <w:bookmarkEnd w:id="1347"/>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8" w:name="_Toc1347"/>
      <w:r>
        <w:rPr>
          <w:b/>
          <w:bCs/>
          <w:color w:val="161B22"/>
        </w:rPr>
        <w:t xml:space="preserve">Workforce Deployment — Team-Based Care at Scale</w:t>
      </w:r>
      <w:bookmarkEnd w:id="1348"/>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9" w:name="_Toc1348"/>
      <w:r>
        <w:rPr>
          <w:b/>
          <w:bCs/>
          <w:color w:val="161B22"/>
        </w:rPr>
        <w:t xml:space="preserve">Workforce Retention — The Math of Turnover</w:t>
      </w:r>
      <w:bookmarkEnd w:id="1349"/>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0" w:name="_Toc1349"/>
      <w:r>
        <w:rPr>
          <w:b/>
          <w:bCs/>
          <w:color w:val="161B22"/>
        </w:rPr>
        <w:t xml:space="preserve">Administrative Simplification — The Vermont Agenda</w:t>
      </w:r>
      <w:bookmarkEnd w:id="1350"/>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1" w:name="_Toc1350"/>
      <w:r>
        <w:rPr>
          <w:b/>
          <w:bCs/>
          <w:color w:val="161B22"/>
        </w:rPr>
        <w:t xml:space="preserve">The Vermont Administrative Simplification Priorities</w:t>
      </w:r>
      <w:bookmarkEnd w:id="1351"/>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2" w:name="_Toc1351"/>
      <w:r>
        <w:rPr>
          <w:b/>
          <w:bCs/>
          <w:color w:val="161B22"/>
        </w:rPr>
        <w:t xml:space="preserve">Operations Pillar Implementation Matrix</w:t>
      </w:r>
      <w:bookmarkEnd w:id="135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3" w:name="_Toc1352"/>
      <w:r>
        <w:rPr>
          <w:b/>
          <w:bCs/>
          <w:color w:val="161B22"/>
        </w:rPr>
        <w:t xml:space="preserve">Implications for You</w:t>
      </w:r>
      <w:bookmarkEnd w:id="1353"/>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4" w:name="_Toc1353"/>
      <w:r>
        <w:rPr>
          <w:b/>
          <w:bCs/>
          <w:color w:val="161B22"/>
        </w:rPr>
        <w:t xml:space="preserve">Key Concepts in This Chapter</w:t>
      </w:r>
      <w:bookmarkEnd w:id="1354"/>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5" w:name="_Toc1354"/>
      <w:r>
        <w:rPr>
          <w:b/>
          <w:bCs/>
          <w:color w:val="161B22"/>
        </w:rPr>
        <w:t xml:space="preserve">Chapter 12: Infrastructure for Knowledge Transfer and Implementation</w:t>
      </w:r>
      <w:bookmarkEnd w:id="135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6" w:name="_Toc1355"/>
      <w:r>
        <w:rPr>
          <w:b/>
          <w:bCs/>
          <w:color w:val="161B22"/>
        </w:rPr>
        <w:t xml:space="preserve">The Gap Between Understanding and Doing</w:t>
      </w:r>
      <w:bookmarkEnd w:id="1356"/>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7" w:name="_Toc1356"/>
      <w:r>
        <w:rPr>
          <w:b/>
          <w:bCs/>
          <w:color w:val="161B22"/>
        </w:rPr>
        <w:t xml:space="preserve">The Knowledge and Implementation Infrastructure</w:t>
      </w:r>
      <w:bookmarkEnd w:id="1357"/>
    </w:p>
    <w:p>
      <w:pPr>
        <w:pStyle w:val="Heading3"/>
      </w:pPr>
      <w:r>
        <w:rPr>
          <w:color w:val="161B22"/>
        </w:rPr>
        <w:t xml:space="preserve">12.2.1  </w:t>
      </w:r>
      <w:bookmarkStart w:id="1358" w:name="_Toc1357"/>
      <w:r>
        <w:rPr>
          <w:b/>
          <w:bCs/>
          <w:color w:val="161B22"/>
        </w:rPr>
        <w:t xml:space="preserve">The HTR Platform — Four Components</w:t>
      </w:r>
      <w:bookmarkEnd w:id="1358"/>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9" w:name="_Toc1358"/>
      <w:r>
        <w:rPr>
          <w:b/>
          <w:bCs/>
          <w:color w:val="161B22"/>
        </w:rPr>
        <w:t xml:space="preserve">Four Components of the HTR Platform</w:t>
      </w:r>
      <w:bookmarkEnd w:id="1359"/>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0" w:name="_Toc1359"/>
      <w:r>
        <w:rPr>
          <w:b/>
          <w:bCs/>
          <w:color w:val="161B22"/>
        </w:rPr>
        <w:t xml:space="preserve">The Transformation Advisory Domains — Structured for the Six Pillars</w:t>
      </w:r>
      <w:bookmarkEnd w:id="1360"/>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1" w:name="_Toc1360"/>
      <w:r>
        <w:rPr>
          <w:b/>
          <w:bCs/>
          <w:color w:val="161B22"/>
        </w:rPr>
        <w:t xml:space="preserve">Policy Strategy</w:t>
      </w:r>
      <w:bookmarkEnd w:id="1361"/>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2" w:name="_Toc1361"/>
      <w:r>
        <w:rPr>
          <w:b/>
          <w:bCs/>
          <w:color w:val="161B22"/>
        </w:rPr>
        <w:t xml:space="preserve">VBC Economics</w:t>
      </w:r>
      <w:bookmarkEnd w:id="1362"/>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3" w:name="_Toc1362"/>
      <w:r>
        <w:rPr>
          <w:b/>
          <w:bCs/>
          <w:color w:val="161B22"/>
        </w:rPr>
        <w:t xml:space="preserve">Health Equity Practice</w:t>
      </w:r>
      <w:bookmarkEnd w:id="1363"/>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4" w:name="_Toc1363"/>
      <w:r>
        <w:rPr>
          <w:b/>
          <w:bCs/>
          <w:color w:val="161B22"/>
        </w:rPr>
        <w:t xml:space="preserve">Technology Strategy</w:t>
      </w:r>
      <w:bookmarkEnd w:id="1364"/>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5" w:name="_Toc1364"/>
      <w:r>
        <w:rPr>
          <w:b/>
          <w:bCs/>
          <w:color w:val="161B22"/>
        </w:rPr>
        <w:t xml:space="preserve">Transformation Management</w:t>
      </w:r>
      <w:bookmarkEnd w:id="1365"/>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6" w:name="_Toc1365"/>
      <w:r>
        <w:rPr>
          <w:b/>
          <w:bCs/>
          <w:color w:val="161B22"/>
        </w:rPr>
        <w:t xml:space="preserve">The Change Management Science Behind Healthcare Transformation</w:t>
      </w:r>
      <w:bookmarkEnd w:id="1366"/>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7" w:name="_Toc1366"/>
      <w:r>
        <w:rPr>
          <w:b/>
          <w:bCs/>
          <w:color w:val="161B22"/>
        </w:rPr>
        <w:t xml:space="preserve">Kotter’s Framework Applied to Healthcare Transformation</w:t>
      </w:r>
      <w:bookmarkEnd w:id="1367"/>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8" w:name="_Toc1367"/>
      <w:r>
        <w:rPr>
          <w:b/>
          <w:bCs/>
          <w:color w:val="161B22"/>
        </w:rPr>
        <w:t xml:space="preserve">The Transformation Pace Problem</w:t>
      </w:r>
      <w:bookmarkEnd w:id="1368"/>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9" w:name="_Toc1368"/>
      <w:r>
        <w:rPr>
          <w:b/>
          <w:bCs/>
          <w:color w:val="161B22"/>
        </w:rPr>
        <w:t xml:space="preserve">The HTR Implementation Toolkit</w:t>
      </w:r>
      <w:bookmarkEnd w:id="1369"/>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0" w:name="_Toc1369"/>
      <w:r>
        <w:rPr>
          <w:b/>
          <w:bCs/>
          <w:color w:val="161B22"/>
        </w:rPr>
        <w:t xml:space="preserve">A Framework for Selecting Advisory Support</w:t>
      </w:r>
      <w:bookmarkEnd w:id="1370"/>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1" w:name="_Toc1370"/>
      <w:r>
        <w:rPr>
          <w:b/>
          <w:bCs/>
          <w:color w:val="161B22"/>
        </w:rPr>
        <w:t xml:space="preserve">The Role of External Technical Assistance in State-Level Transformation</w:t>
      </w:r>
      <w:bookmarkEnd w:id="1371"/>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2" w:name="_Toc1371"/>
      <w:r>
        <w:rPr>
          <w:b/>
          <w:bCs/>
          <w:color w:val="161B22"/>
        </w:rPr>
        <w:t xml:space="preserve">Work This Chapter on the Platform</w:t>
      </w:r>
      <w:bookmarkEnd w:id="1372"/>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6">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7">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3" w:name="_Toc1372"/>
      <w:r>
        <w:rPr>
          <w:b/>
          <w:bCs/>
          <w:color w:val="161B22"/>
        </w:rPr>
        <w:t xml:space="preserve">Implications for You</w:t>
      </w:r>
      <w:bookmarkEnd w:id="1373"/>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4" w:name="_Toc1373"/>
      <w:r>
        <w:rPr>
          <w:b/>
          <w:bCs/>
          <w:color w:val="161B22"/>
        </w:rPr>
        <w:t xml:space="preserve">Key Concepts in This Chapter</w:t>
      </w:r>
      <w:bookmarkEnd w:id="1374"/>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5" w:name="_Toc1374"/>
      <w:r>
        <w:rPr>
          <w:b/>
          <w:bCs/>
          <w:color w:val="161B22"/>
        </w:rPr>
        <w:t xml:space="preserve">Chapter 13 — The Future of Healthcare Transformation: 2026, What Vermont Proves, and What Remains</w:t>
      </w:r>
      <w:bookmarkEnd w:id="137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6" w:name="_Toc1375"/>
      <w:r>
        <w:rPr>
          <w:b/>
          <w:bCs/>
          <w:color w:val="161B22"/>
        </w:rPr>
        <w:t xml:space="preserve">Vermont Transformation Scorecard: Six-Pillar Status, April 2026</w:t>
      </w:r>
      <w:bookmarkEnd w:id="1376"/>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7" w:name="_Toc1376"/>
      <w:r>
        <w:rPr>
          <w:b/>
          <w:bCs/>
          <w:color w:val="161B22"/>
        </w:rPr>
        <w:t xml:space="preserve">Where the System Stands in April 2026 — A Necessary Update</w:t>
      </w:r>
      <w:bookmarkEnd w:id="1377"/>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8" w:name="_Toc1377"/>
      <w:r>
        <w:rPr>
          <w:b/>
          <w:bCs/>
          <w:color w:val="161B22"/>
        </w:rPr>
        <w:t xml:space="preserve">Five Forces Shaping the Next Decade</w:t>
      </w:r>
      <w:bookmarkEnd w:id="1378"/>
    </w:p>
    <w:p>
      <w:pPr>
        <w:pStyle w:val="Heading3"/>
      </w:pPr>
      <w:r>
        <w:rPr>
          <w:color w:val="161B22"/>
        </w:rPr>
        <w:t xml:space="preserve">13.3.1  </w:t>
      </w:r>
      <w:bookmarkStart w:id="1379" w:name="_Toc1378"/>
      <w:r>
        <w:rPr>
          <w:b/>
          <w:bCs/>
          <w:color w:val="161B22"/>
        </w:rPr>
        <w:t xml:space="preserve">Force 1: The Medicaid–RHT Tension — the Defining Policy Dynamic</w:t>
      </w:r>
      <w:bookmarkEnd w:id="1379"/>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0" w:name="_Toc1379"/>
      <w:r>
        <w:rPr>
          <w:b/>
          <w:bCs/>
          <w:color w:val="161B22"/>
        </w:rPr>
        <w:t xml:space="preserve">Force 2: AI Clinical Transformation — Accelerating Faster Than Governance</w:t>
      </w:r>
      <w:bookmarkEnd w:id="1380"/>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1" w:name="_Toc1380"/>
      <w:r>
        <w:rPr>
          <w:b/>
          <w:bCs/>
          <w:color w:val="161B22"/>
        </w:rPr>
        <w:t xml:space="preserve">Force 3: The Demographic Reckoning — No Longer a Future Problem</w:t>
      </w:r>
      <w:bookmarkEnd w:id="1381"/>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2" w:name="_Toc1381"/>
      <w:r>
        <w:rPr>
          <w:b/>
          <w:bCs/>
          <w:color w:val="161B22"/>
        </w:rPr>
        <w:t xml:space="preserve">Force 4: The Drug-Pricing Reckoning — Complexity Compounding</w:t>
      </w:r>
      <w:bookmarkEnd w:id="1382"/>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3" w:name="_Toc1382"/>
      <w:r>
        <w:rPr>
          <w:b/>
          <w:bCs/>
          <w:color w:val="161B22"/>
        </w:rPr>
        <w:t xml:space="preserve">Force 5: The Value-Based-Care Tipping Point — Still Approaching</w:t>
      </w:r>
      <w:bookmarkEnd w:id="1383"/>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4" w:name="_Toc1383"/>
      <w:r>
        <w:rPr>
          <w:b/>
          <w:bCs/>
          <w:color w:val="161B22"/>
        </w:rPr>
        <w:t xml:space="preserve">The Six-Pillar Forecast: 2026–2035</w:t>
      </w:r>
      <w:bookmarkEnd w:id="1384"/>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5" w:name="_Toc1384"/>
      <w:r>
        <w:rPr>
          <w:b/>
          <w:bCs/>
          <w:color w:val="161B22"/>
        </w:rPr>
        <w:t xml:space="preserve">Vermont’s Ten-Year Trajectory: Two Scenarios</w:t>
      </w:r>
      <w:bookmarkEnd w:id="1385"/>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6" w:name="_Toc1385"/>
      <w:r>
        <w:rPr>
          <w:b/>
          <w:bCs/>
          <w:color w:val="161B22"/>
        </w:rPr>
        <w:t xml:space="preserve">The Transformation-Success Scenario</w:t>
      </w:r>
      <w:bookmarkEnd w:id="1386"/>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7" w:name="_Toc1386"/>
      <w:r>
        <w:rPr>
          <w:b/>
          <w:bCs/>
          <w:color w:val="161B22"/>
        </w:rPr>
        <w:t xml:space="preserve">The Partial-Transformation Scenario</w:t>
      </w:r>
      <w:bookmarkEnd w:id="1387"/>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8" w:name="_Toc1387"/>
      <w:r>
        <w:rPr>
          <w:b/>
          <w:bCs/>
          <w:color w:val="161B22"/>
        </w:rPr>
        <w:t xml:space="preserve">Vermont as National Template — The Decisions That Will Determine Outcomes</w:t>
      </w:r>
      <w:bookmarkEnd w:id="1388"/>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9" w:name="_Toc1388"/>
      <w:r>
        <w:rPr>
          <w:b/>
          <w:bCs/>
          <w:color w:val="161B22"/>
        </w:rPr>
        <w:t xml:space="preserve">Work This Chapter on the Platform</w:t>
      </w:r>
      <w:bookmarkEnd w:id="1389"/>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5">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6">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7">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0" w:name="_Toc1389"/>
      <w:r>
        <w:rPr>
          <w:b/>
          <w:bCs/>
          <w:color w:val="161B22"/>
        </w:rPr>
        <w:t xml:space="preserve">Implications for You</w:t>
      </w:r>
      <w:bookmarkEnd w:id="1390"/>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1" w:name="_Toc1390"/>
      <w:r>
        <w:rPr>
          <w:b/>
          <w:bCs/>
          <w:color w:val="161B22"/>
        </w:rPr>
        <w:t xml:space="preserve">Key Concepts in This Chapter</w:t>
      </w:r>
      <w:bookmarkEnd w:id="1391"/>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2" w:name="_Toc1391"/>
      <w:r>
        <w:rPr>
          <w:b/>
          <w:bCs/>
          <w:color w:val="161B22"/>
        </w:rPr>
        <w:t xml:space="preserve">A Closing Note: What This Book Is Betting On</w:t>
      </w:r>
      <w:bookmarkEnd w:id="1392"/>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3" w:name="_Toc1392"/>
      <w:r>
        <w:rPr>
          <w:b/>
          <w:bCs/>
          <w:color w:val="161B22"/>
        </w:rPr>
        <w:t xml:space="preserve">Chapter 14 — Political Sustainability: Protecting Transformation Across Election Cycles</w:t>
      </w:r>
      <w:bookmarkEnd w:id="139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4" w:name="_Toc1393"/>
      <w:r>
        <w:rPr>
          <w:b/>
          <w:bCs/>
          <w:color w:val="161B22"/>
        </w:rPr>
        <w:t xml:space="preserve">Why Political Sustainability Is an Analytical Problem, Not Only a Political One</w:t>
      </w:r>
      <w:bookmarkEnd w:id="1394"/>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5" w:name="_Toc1394"/>
      <w:r>
        <w:rPr>
          <w:b/>
          <w:bCs/>
          <w:color w:val="161B22"/>
        </w:rPr>
        <w:t xml:space="preserve">The Structural Durability of Vermont’s Reform Architecture</w:t>
      </w:r>
      <w:bookmarkEnd w:id="1395"/>
    </w:p>
    <w:p>
      <w:pPr>
        <w:pStyle w:val="Heading3"/>
      </w:pPr>
      <w:r>
        <w:rPr>
          <w:color w:val="161B22"/>
        </w:rPr>
        <w:t xml:space="preserve">14.2.1  </w:t>
      </w:r>
      <w:bookmarkStart w:id="1396" w:name="_Toc1395"/>
      <w:r>
        <w:rPr>
          <w:b/>
          <w:bCs/>
          <w:color w:val="161B22"/>
        </w:rPr>
        <w:t xml:space="preserve">What Is Hard to Reverse</w:t>
      </w:r>
      <w:bookmarkEnd w:id="1396"/>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7" w:name="_Toc1396"/>
      <w:r>
        <w:rPr>
          <w:b/>
          <w:bCs/>
          <w:color w:val="161B22"/>
        </w:rPr>
        <w:t xml:space="preserve">What Is Politically Exposed</w:t>
      </w:r>
      <w:bookmarkEnd w:id="1397"/>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8" w:name="_Toc1397"/>
      <w:r>
        <w:rPr>
          <w:b/>
          <w:bCs/>
          <w:color w:val="161B22"/>
        </w:rPr>
        <w:t xml:space="preserve">Early-Warning Signals of Political Risk</w:t>
      </w:r>
      <w:bookmarkEnd w:id="1398"/>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9" w:name="_Toc1398"/>
      <w:r>
        <w:rPr>
          <w:b/>
          <w:bCs/>
          <w:color w:val="161B22"/>
        </w:rPr>
        <w:t xml:space="preserve">Organizational Strategies for Political Risk Management</w:t>
      </w:r>
      <w:bookmarkEnd w:id="1399"/>
    </w:p>
    <w:p>
      <w:pPr>
        <w:pStyle w:val="Heading3"/>
      </w:pPr>
      <w:r>
        <w:rPr>
          <w:color w:val="161B22"/>
        </w:rPr>
        <w:t xml:space="preserve">14.4.1  </w:t>
      </w:r>
      <w:bookmarkStart w:id="1400" w:name="_Toc1399"/>
      <w:r>
        <w:rPr>
          <w:b/>
          <w:bCs/>
          <w:color w:val="161B22"/>
        </w:rPr>
        <w:t xml:space="preserve">Strategy 1 — Build investments that are hard to reverse</w:t>
      </w:r>
      <w:bookmarkEnd w:id="1400"/>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1" w:name="_Toc1400"/>
      <w:r>
        <w:rPr>
          <w:b/>
          <w:bCs/>
          <w:color w:val="161B22"/>
        </w:rPr>
        <w:t xml:space="preserve">Strategy 2 — Engage the regulatory process early and substantively</w:t>
      </w:r>
      <w:bookmarkEnd w:id="1401"/>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2" w:name="_Toc1401"/>
      <w:r>
        <w:rPr>
          <w:b/>
          <w:bCs/>
          <w:color w:val="161B22"/>
        </w:rPr>
        <w:t xml:space="preserve">Strategy 3 — Maintain scenario plans for policy disruption</w:t>
      </w:r>
      <w:bookmarkEnd w:id="1402"/>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3" w:name="_Toc1402"/>
      <w:r>
        <w:rPr>
          <w:b/>
          <w:bCs/>
          <w:color w:val="161B22"/>
        </w:rPr>
        <w:t xml:space="preserve">Strategy 4 — Document and communicate transformation progress</w:t>
      </w:r>
      <w:bookmarkEnd w:id="1403"/>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4" w:name="_Toc1403"/>
      <w:r>
        <w:rPr>
          <w:b/>
          <w:bCs/>
          <w:color w:val="161B22"/>
        </w:rPr>
        <w:t xml:space="preserve">Vermont’s Reform Cascade as Political-Sustainability Architecture</w:t>
      </w:r>
      <w:bookmarkEnd w:id="1404"/>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5" w:name="_Toc1404"/>
      <w:r>
        <w:rPr>
          <w:b/>
          <w:bCs/>
          <w:color w:val="161B22"/>
        </w:rPr>
        <w:t xml:space="preserve">Work This Chapter on the Platform</w:t>
      </w:r>
      <w:bookmarkEnd w:id="1405"/>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7">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6" w:name="_Toc1405"/>
      <w:r>
        <w:rPr>
          <w:b/>
          <w:bCs/>
          <w:color w:val="161B22"/>
        </w:rPr>
        <w:t xml:space="preserve">Implications for You</w:t>
      </w:r>
      <w:bookmarkEnd w:id="1406"/>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7" w:name="_Toc1406"/>
      <w:r>
        <w:rPr>
          <w:b/>
          <w:bCs/>
          <w:color w:val="161B22"/>
        </w:rPr>
        <w:t xml:space="preserve">Key Concepts in This Chapter</w:t>
      </w:r>
      <w:bookmarkEnd w:id="1407"/>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8" w:name="_Toc1407"/>
      <w:r>
        <w:rPr>
          <w:b/>
          <w:bCs/>
          <w:color w:val="161B22"/>
        </w:rPr>
        <w:t xml:space="preserve">Chapter 15 — Healthcare Transformation as Portfolio Management: Applying PMI Standards to Six-Pillar Reform</w:t>
      </w:r>
      <w:bookmarkEnd w:id="140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09" w:name="_Toc1408"/>
      <w:r>
        <w:rPr>
          <w:b/>
          <w:bCs/>
          <w:color w:val="161B22"/>
        </w:rPr>
        <w:t xml:space="preserve">The Project-Management Gap in Healthcare Transformation</w:t>
      </w:r>
      <w:bookmarkEnd w:id="1409"/>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0" w:name="_Toc1409"/>
      <w:r>
        <w:rPr>
          <w:b/>
          <w:bCs/>
          <w:color w:val="161B22"/>
        </w:rPr>
        <w:t xml:space="preserve">Project, Program, and Portfolio: Getting the Levels Right</w:t>
      </w:r>
      <w:bookmarkEnd w:id="1410"/>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1" w:name="_Toc1410"/>
      <w:r>
        <w:rPr>
          <w:b/>
          <w:bCs/>
          <w:color w:val="161B22"/>
        </w:rPr>
        <w:t xml:space="preserve">Vermont’s Transformation Portfolio: 19 Components</w:t>
      </w:r>
      <w:bookmarkEnd w:id="1411"/>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2" w:name="_Toc1411"/>
      <w:r>
        <w:rPr>
          <w:b/>
          <w:bCs/>
          <w:color w:val="161B22"/>
        </w:rPr>
        <w:t xml:space="preserve">The Case for a Portfolio Manager</w:t>
      </w:r>
      <w:bookmarkEnd w:id="1412"/>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3" w:name="_Toc1412"/>
      <w:r>
        <w:rPr>
          <w:b/>
          <w:bCs/>
          <w:color w:val="161B22"/>
        </w:rPr>
        <w:t xml:space="preserve">Pillar-Level Project Managers: Six Roles, One Framework</w:t>
      </w:r>
      <w:bookmarkEnd w:id="1413"/>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4" w:name="_Toc1413"/>
      <w:r>
        <w:rPr>
          <w:b/>
          <w:bCs/>
          <w:color w:val="161B22"/>
        </w:rPr>
        <w:t xml:space="preserve">Governance Architecture and the Ten Knowledge Areas</w:t>
      </w:r>
      <w:bookmarkEnd w:id="1414"/>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5" w:name="_Toc1414"/>
      <w:r>
        <w:rPr>
          <w:b/>
          <w:bCs/>
          <w:color w:val="161B22"/>
        </w:rPr>
        <w:t xml:space="preserve">Portfolio Sequence Is Dependency Sequence</w:t>
      </w:r>
      <w:bookmarkEnd w:id="1415"/>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6" w:name="_Toc1415"/>
      <w:r>
        <w:rPr>
          <w:b/>
          <w:bCs/>
          <w:color w:val="161B22"/>
        </w:rPr>
        <w:t xml:space="preserve">Predictive vs. Adaptive Approaches</w:t>
      </w:r>
      <w:bookmarkEnd w:id="1416"/>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7" w:name="_Toc1416"/>
      <w:r>
        <w:rPr>
          <w:b/>
          <w:bCs/>
          <w:color w:val="161B22"/>
        </w:rPr>
        <w:t xml:space="preserve">The Portfolio Risk Register</w:t>
      </w:r>
      <w:bookmarkEnd w:id="1417"/>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8" w:name="_Toc1417"/>
      <w:r>
        <w:rPr>
          <w:b/>
          <w:bCs/>
          <w:color w:val="161B22"/>
        </w:rPr>
        <w:t xml:space="preserve">Benefits Realization: Connecting the PMO to Act 167’s Five Goals</w:t>
      </w:r>
      <w:bookmarkEnd w:id="1418"/>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9" w:name="_Toc1418"/>
      <w:r>
        <w:rPr>
          <w:b/>
          <w:bCs/>
          <w:color w:val="161B22"/>
        </w:rPr>
        <w:t xml:space="preserve">The Business Case</w:t>
      </w:r>
      <w:bookmarkEnd w:id="1419"/>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0" w:name="_Toc1419"/>
      <w:r>
        <w:rPr>
          <w:b/>
          <w:bCs/>
          <w:color w:val="161B22"/>
        </w:rPr>
        <w:t xml:space="preserve">Implementation Roadmap</w:t>
      </w:r>
      <w:bookmarkEnd w:id="1420"/>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1" w:name="_Toc1420"/>
      <w:r>
        <w:rPr>
          <w:b/>
          <w:bCs/>
          <w:color w:val="161B22"/>
        </w:rPr>
        <w:t xml:space="preserve">Answering the Four Objections</w:t>
      </w:r>
      <w:bookmarkEnd w:id="1421"/>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2" w:name="_Toc1421"/>
      <w:r>
        <w:rPr>
          <w:b/>
          <w:bCs/>
          <w:color w:val="161B22"/>
        </w:rPr>
        <w:t xml:space="preserve">Work This Chapter on the Platform</w:t>
      </w:r>
      <w:bookmarkEnd w:id="1422"/>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1">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5">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3" w:name="_Toc1422"/>
      <w:r>
        <w:rPr>
          <w:b/>
          <w:bCs/>
          <w:color w:val="161B22"/>
        </w:rPr>
        <w:t xml:space="preserve">Implications for You</w:t>
      </w:r>
      <w:bookmarkEnd w:id="1423"/>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4" w:name="_Toc1423"/>
      <w:r>
        <w:rPr>
          <w:b/>
          <w:bCs/>
          <w:color w:val="161B22"/>
        </w:rPr>
        <w:t xml:space="preserve">Key Concepts in This Chapter</w:t>
      </w:r>
      <w:bookmarkEnd w:id="1424"/>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5" w:name="_Toc1424"/>
      <w:r>
        <w:rPr>
          <w:b/>
          <w:bCs/>
          <w:color w:val="161B22"/>
        </w:rPr>
        <w:t xml:space="preserve">Chapter 16 — The AHS Restructuring Roadmap: A Six-Pillar Framework for System Architects</w:t>
      </w:r>
      <w:bookmarkEnd w:id="142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6" w:name="_Toc1425"/>
      <w:r>
        <w:rPr>
          <w:b/>
          <w:bCs/>
          <w:color w:val="161B22"/>
        </w:rPr>
        <w:t xml:space="preserve">The Statutory Mandate — What Act 68 Actually Requires AHS to Do</w:t>
      </w:r>
      <w:bookmarkEnd w:id="1426"/>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7" w:name="_Toc1426"/>
      <w:r>
        <w:rPr>
          <w:b/>
          <w:bCs/>
          <w:color w:val="161B22"/>
        </w:rPr>
        <w:t xml:space="preserve">The Organizational Diagnosis — Why AHS Must Restructure, Not Just Plan</w:t>
      </w:r>
      <w:bookmarkEnd w:id="1427"/>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8" w:name="_Toc1427"/>
      <w:r>
        <w:rPr>
          <w:b/>
          <w:bCs/>
          <w:color w:val="161B22"/>
        </w:rPr>
        <w:t xml:space="preserve">The Four Structural Gaps</w:t>
      </w:r>
      <w:bookmarkEnd w:id="1428"/>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9" w:name="_Toc1428"/>
      <w:r>
        <w:rPr>
          <w:b/>
          <w:bCs/>
          <w:color w:val="161B22"/>
        </w:rPr>
        <w:t xml:space="preserve">The Redesigned AHS Operating Model — A Population Health System Operator</w:t>
      </w:r>
      <w:bookmarkEnd w:id="1429"/>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0" w:name="_Toc1429"/>
      <w:r>
        <w:rPr>
          <w:b/>
          <w:bCs/>
          <w:color w:val="161B22"/>
        </w:rPr>
        <w:t xml:space="preserve">Level 1 — Statewide System Architect</w:t>
      </w:r>
      <w:bookmarkEnd w:id="1430"/>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1" w:name="_Toc1430"/>
      <w:r>
        <w:rPr>
          <w:b/>
          <w:bCs/>
          <w:color w:val="161B22"/>
        </w:rPr>
        <w:t xml:space="preserve">Level 2 — Regional Network Convener (HSA Level)</w:t>
      </w:r>
      <w:bookmarkEnd w:id="1431"/>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2" w:name="_Toc1431"/>
      <w:r>
        <w:rPr>
          <w:b/>
          <w:bCs/>
          <w:color w:val="161B22"/>
        </w:rPr>
        <w:t xml:space="preserve">Level 3 — Program Delivery Operator</w:t>
      </w:r>
      <w:bookmarkEnd w:id="1432"/>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3" w:name="_Toc1432"/>
      <w:r>
        <w:rPr>
          <w:b/>
          <w:bCs/>
          <w:color w:val="161B22"/>
        </w:rPr>
        <w:t xml:space="preserve">The Six-Pillar Framework Applied to AHS’s Mandate</w:t>
      </w:r>
      <w:bookmarkEnd w:id="1433"/>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4" w:name="_Toc1433"/>
      <w:r>
        <w:rPr>
          <w:b/>
          <w:bCs/>
          <w:color w:val="161B22"/>
        </w:rPr>
        <w:t xml:space="preserve">The AHS Restructuring Implementation Timeline</w:t>
      </w:r>
      <w:bookmarkEnd w:id="1434"/>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5" w:name="_Toc1434"/>
      <w:r>
        <w:rPr>
          <w:b/>
          <w:bCs/>
          <w:color w:val="161B22"/>
        </w:rPr>
        <w:t xml:space="preserve">A Framework for the 2028 Statewide Strategic Plan</w:t>
      </w:r>
      <w:bookmarkEnd w:id="1435"/>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6" w:name="_Toc1435"/>
      <w:r>
        <w:rPr>
          <w:b/>
          <w:bCs/>
          <w:color w:val="161B22"/>
        </w:rPr>
        <w:t xml:space="preserve">The Central Commitment the Plan Must Make</w:t>
      </w:r>
      <w:bookmarkEnd w:id="1436"/>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7" w:name="_Toc1436"/>
      <w:r>
        <w:rPr>
          <w:b/>
          <w:bCs/>
          <w:color w:val="161B22"/>
        </w:rPr>
        <w:t xml:space="preserve">Vermont as National Template — Why This Restructuring Matters Beyond Vermont</w:t>
      </w:r>
      <w:bookmarkEnd w:id="1437"/>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8" w:name="_Toc1437"/>
      <w:r>
        <w:rPr>
          <w:b/>
          <w:bCs/>
          <w:color w:val="161B22"/>
        </w:rPr>
        <w:t xml:space="preserve">Work This Chapter on the Platform</w:t>
      </w:r>
      <w:bookmarkEnd w:id="1438"/>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8">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5">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9" w:name="_Toc1438"/>
      <w:r>
        <w:rPr>
          <w:b/>
          <w:bCs/>
          <w:color w:val="161B22"/>
        </w:rPr>
        <w:t xml:space="preserve">Implications for You</w:t>
      </w:r>
      <w:bookmarkEnd w:id="1439"/>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0" w:name="_Toc1439"/>
      <w:r>
        <w:rPr>
          <w:b/>
          <w:bCs/>
          <w:color w:val="161B22"/>
        </w:rPr>
        <w:t xml:space="preserve">Key Concepts in This Chapter</w:t>
      </w:r>
      <w:bookmarkEnd w:id="1440"/>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1" w:name="_Toc1440"/>
      <w:r>
        <w:rPr>
          <w:b/>
          <w:bCs/>
          <w:color w:val="161B22"/>
        </w:rPr>
        <w:t xml:space="preserve">Conclusion — What Vermont Proves, and What Remains to Be Proven</w:t>
      </w:r>
      <w:bookmarkEnd w:id="1441"/>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2" w:name="_Toc1441"/>
      <w:r>
        <w:rPr>
          <w:b/>
          <w:bCs/>
          <w:color w:val="161B22"/>
        </w:rPr>
        <w:t xml:space="preserve">What Failure Actually Looks Like</w:t>
      </w:r>
      <w:bookmarkEnd w:id="1442"/>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3" w:name="_Toc1442"/>
      <w:r>
        <w:rPr>
          <w:b/>
          <w:bCs/>
          <w:color w:val="161B22"/>
        </w:rPr>
        <w:t xml:space="preserve">The Three Decisions That Are Not Yet Made</w:t>
      </w:r>
      <w:bookmarkEnd w:id="1443"/>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4" w:name="_Toc1443"/>
      <w:r>
        <w:rPr>
          <w:b/>
          <w:bCs/>
          <w:color w:val="161B22"/>
        </w:rPr>
        <w:t xml:space="preserve">Decision 1: Will the Statewide Strategic Plan Be Binding or Descriptive?</w:t>
      </w:r>
      <w:bookmarkEnd w:id="1444"/>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5" w:name="_Toc1444"/>
      <w:r>
        <w:rPr>
          <w:b/>
          <w:bCs/>
          <w:color w:val="161B22"/>
        </w:rPr>
        <w:t xml:space="preserve">Decision 2: Will the Analytics Vendor Be Operational Before AHEAD’s Financial Accountability Begins?</w:t>
      </w:r>
      <w:bookmarkEnd w:id="1445"/>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6" w:name="_Toc1445"/>
      <w:r>
        <w:rPr>
          <w:b/>
          <w:bCs/>
          <w:color w:val="161B22"/>
        </w:rPr>
        <w:t xml:space="preserve">Decision 3: Will H.R. 1’s Medicaid Cuts Force a Contraction or Accelerate a Transformation?</w:t>
      </w:r>
      <w:bookmarkEnd w:id="1446"/>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7" w:name="_Toc1446"/>
      <w:r>
        <w:rPr>
          <w:b/>
          <w:bCs/>
          <w:color w:val="161B22"/>
        </w:rPr>
        <w:t xml:space="preserve">What Vermont Has Proved — As of April 2026</w:t>
      </w:r>
      <w:bookmarkEnd w:id="1447"/>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8" w:name="_Toc1447"/>
      <w:r>
        <w:rPr>
          <w:b/>
          <w:bCs/>
          <w:color w:val="161B22"/>
        </w:rPr>
        <w:t xml:space="preserve">The People This Book Cannot Reach</w:t>
      </w:r>
      <w:bookmarkEnd w:id="1448"/>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9" w:name="_Toc1448"/>
      <w:r>
        <w:rPr>
          <w:b/>
          <w:bCs/>
          <w:color w:val="161B22"/>
        </w:rPr>
        <w:t xml:space="preserve">The Call</w:t>
      </w:r>
      <w:bookmarkEnd w:id="1449"/>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0" w:name="_Toc1449"/>
      <w:r>
        <w:rPr>
          <w:b/>
          <w:bCs/>
          <w:color w:val="161B22"/>
        </w:rPr>
        <w:t xml:space="preserve">Key Concepts in This Chapter</w:t>
      </w:r>
      <w:bookmarkEnd w:id="1450"/>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1" w:name="_Toc1450"/>
      <w:r>
        <w:rPr>
          <w:b/>
          <w:bCs/>
          <w:color w:val="161B22"/>
        </w:rPr>
        <w:t xml:space="preserve">Appendix A — Vermont System Portrait</w:t>
      </w:r>
      <w:bookmarkEnd w:id="1451"/>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2" w:name="_Toc1451"/>
      <w:r>
        <w:rPr>
          <w:b/>
          <w:bCs/>
          <w:color w:val="161B22"/>
        </w:rPr>
        <w:t xml:space="preserve">A.1 Vermont: The State</w:t>
      </w:r>
      <w:bookmarkEnd w:id="1452"/>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3" w:name="_Toc1452"/>
      <w:r>
        <w:rPr>
          <w:b/>
          <w:bCs/>
          <w:color w:val="161B22"/>
        </w:rPr>
        <w:t xml:space="preserve">A.2 Demographics and Population Projections</w:t>
      </w:r>
      <w:bookmarkEnd w:id="1453"/>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4" w:name="_Toc1453"/>
      <w:r>
        <w:rPr>
          <w:b/>
          <w:bCs/>
          <w:color w:val="161B22"/>
        </w:rPr>
        <w:t xml:space="preserve">A.3 Regulatory Architecture: The Green Mountain Care Board</w:t>
      </w:r>
      <w:bookmarkEnd w:id="1454"/>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5" w:name="_Toc1454"/>
      <w:r>
        <w:rPr>
          <w:b/>
          <w:bCs/>
          <w:color w:val="161B22"/>
        </w:rPr>
        <w:t xml:space="preserve">A.4 The Hospital System</w:t>
      </w:r>
      <w:bookmarkEnd w:id="1455"/>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6" w:name="_Toc1455"/>
      <w:r>
        <w:rPr>
          <w:b/>
          <w:bCs/>
          <w:color w:val="161B22"/>
        </w:rPr>
        <w:t xml:space="preserve">The Fourteen Hospitals (January 2026 transformation plans)</w:t>
      </w:r>
      <w:bookmarkEnd w:id="1456"/>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7" w:name="_Toc1456"/>
      <w:r>
        <w:rPr>
          <w:b/>
          <w:bCs/>
          <w:color w:val="161B22"/>
        </w:rPr>
        <w:t xml:space="preserve">Patterns in the Data</w:t>
      </w:r>
      <w:bookmarkEnd w:id="1457"/>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8" w:name="_Toc1457"/>
      <w:r>
        <w:rPr>
          <w:b/>
          <w:bCs/>
          <w:color w:val="161B22"/>
        </w:rPr>
        <w:t xml:space="preserve">A.5 The Transformation Plans: A System in Motion</w:t>
      </w:r>
      <w:bookmarkEnd w:id="1458"/>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9" w:name="_Toc1458"/>
      <w:r>
        <w:rPr>
          <w:b/>
          <w:bCs/>
          <w:color w:val="161B22"/>
        </w:rPr>
        <w:t xml:space="preserve">A.6 The Insurance and Premium Crisis</w:t>
      </w:r>
      <w:bookmarkEnd w:id="1459"/>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0" w:name="_Toc1459"/>
      <w:r>
        <w:rPr>
          <w:b/>
          <w:bCs/>
          <w:color w:val="161B22"/>
        </w:rPr>
        <w:t xml:space="preserve">A.7 Healthcare Workforce</w:t>
      </w:r>
      <w:bookmarkEnd w:id="1460"/>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1" w:name="_Toc1460"/>
      <w:r>
        <w:rPr>
          <w:b/>
          <w:bCs/>
          <w:color w:val="161B22"/>
        </w:rPr>
        <w:t xml:space="preserve">A.8 Clinical Quality Indicators</w:t>
      </w:r>
      <w:bookmarkEnd w:id="1461"/>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2" w:name="_Toc1461"/>
      <w:r>
        <w:rPr>
          <w:b/>
          <w:bCs/>
          <w:color w:val="161B22"/>
        </w:rPr>
        <w:t xml:space="preserve">Appendix B — Act 68 Statutory Timeline and Milestones</w:t>
      </w:r>
      <w:bookmarkEnd w:id="1462"/>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3" w:name="_Toc1462"/>
      <w:r>
        <w:rPr>
          <w:b/>
          <w:bCs/>
          <w:color w:val="161B22"/>
        </w:rPr>
        <w:t xml:space="preserve">Policy-Pillar Implementation Matrix</w:t>
      </w:r>
      <w:bookmarkEnd w:id="1463"/>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4" w:name="_Toc1463"/>
      <w:r>
        <w:rPr>
          <w:b/>
          <w:bCs/>
          <w:color w:val="161B22"/>
        </w:rPr>
        <w:t xml:space="preserve">Appendix C — The 14-Hospital Centers of Excellence Assignment Framework</w:t>
      </w:r>
      <w:bookmarkEnd w:id="1464"/>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5" w:name="_Toc1464"/>
      <w:r>
        <w:rPr>
          <w:b/>
          <w:bCs/>
          <w:color w:val="161B22"/>
        </w:rPr>
        <w:t xml:space="preserve">Appendix D — AHEAD State Agreement: Key Terms and Provisions</w:t>
      </w:r>
      <w:bookmarkEnd w:id="1465"/>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6" w:name="_Toc1465"/>
      <w:r>
        <w:rPr>
          <w:b/>
          <w:bCs/>
          <w:color w:val="161B22"/>
        </w:rPr>
        <w:t xml:space="preserve">Appendix E — HTR Platform Tools and Methodology Overview</w:t>
      </w:r>
      <w:bookmarkEnd w:id="1466"/>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7" w:name="_Toc1466"/>
      <w:r>
        <w:rPr>
          <w:b/>
          <w:bCs/>
          <w:color w:val="161B22"/>
        </w:rPr>
        <w:t xml:space="preserve">Appendix F — Vermont Transformation Scorecard: 2022 Baseline, 2026 Status, 2028 Target</w:t>
      </w:r>
      <w:bookmarkEnd w:id="1467"/>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8" w:name="_Toc1467"/>
      <w:r>
        <w:rPr>
          <w:b/>
          <w:bCs/>
          <w:color w:val="161B22"/>
        </w:rPr>
        <w:t xml:space="preserve">Policy Pillar</w:t>
      </w:r>
      <w:bookmarkEnd w:id="1468"/>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9" w:name="_Toc1468"/>
      <w:r>
        <w:rPr>
          <w:b/>
          <w:bCs/>
          <w:color w:val="161B22"/>
        </w:rPr>
        <w:t xml:space="preserve">Technology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0" w:name="_Toc1469"/>
      <w:r>
        <w:rPr>
          <w:b/>
          <w:bCs/>
          <w:color w:val="161B22"/>
        </w:rPr>
        <w:t xml:space="preserve">Economics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1" w:name="_Toc1470"/>
      <w:r>
        <w:rPr>
          <w:b/>
          <w:bCs/>
          <w:color w:val="161B22"/>
        </w:rPr>
        <w:t xml:space="preserve">Clinical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2" w:name="_Toc1471"/>
      <w:r>
        <w:rPr>
          <w:b/>
          <w:bCs/>
          <w:color w:val="161B22"/>
        </w:rPr>
        <w:t xml:space="preserve">Equity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3" w:name="_Toc1472"/>
      <w:r>
        <w:rPr>
          <w:b/>
          <w:bCs/>
          <w:color w:val="161B22"/>
        </w:rPr>
        <w:t xml:space="preserve">Operations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4" w:name="_Toc1473"/>
      <w:r>
        <w:rPr>
          <w:b/>
          <w:bCs/>
          <w:color w:val="161B22"/>
        </w:rPr>
        <w:t xml:space="preserve">Appendix G — A Reader’s Guide to the Health Transformation Review Platform</w:t>
      </w:r>
      <w:bookmarkEnd w:id="1474"/>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5" w:name="_Toc1474"/>
      <w:r>
        <w:rPr>
          <w:b/>
          <w:bCs/>
          <w:color w:val="161B22"/>
        </w:rPr>
        <w:t xml:space="preserve">What This Platform Is</w:t>
      </w:r>
      <w:bookmarkEnd w:id="1475"/>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6" w:name="_Toc1475"/>
      <w:r>
        <w:rPr>
          <w:b/>
          <w:bCs/>
          <w:color w:val="161B22"/>
        </w:rPr>
        <w:t xml:space="preserve">Navigating the Platform</w:t>
      </w:r>
      <w:bookmarkEnd w:id="1476"/>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7" w:name="_Toc1476"/>
      <w:r>
        <w:rPr>
          <w:b/>
          <w:bCs/>
          <w:color w:val="161B22"/>
        </w:rPr>
        <w:t xml:space="preserve">The Six Pillars of Intelligence</w:t>
      </w:r>
      <w:bookmarkEnd w:id="1477"/>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8" w:name="_Toc1477"/>
      <w:r>
        <w:rPr>
          <w:b/>
          <w:bCs/>
          <w:color w:val="161B22"/>
        </w:rPr>
        <w:t xml:space="preserve">The Academy</w:t>
      </w:r>
      <w:bookmarkEnd w:id="1478"/>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9" w:name="_Toc1478"/>
      <w:r>
        <w:rPr>
          <w:b/>
          <w:bCs/>
          <w:color w:val="161B22"/>
        </w:rPr>
        <w:t xml:space="preserve">The Research Lab</w:t>
      </w:r>
      <w:bookmarkEnd w:id="1479"/>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0" w:name="_Toc1479"/>
      <w:r>
        <w:rPr>
          <w:b/>
          <w:bCs/>
          <w:color w:val="161B22"/>
        </w:rPr>
        <w:t xml:space="preserve">States &amp; Programs</w:t>
      </w:r>
      <w:bookmarkEnd w:id="1480"/>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1" w:name="_Toc1480"/>
      <w:r>
        <w:rPr>
          <w:b/>
          <w:bCs/>
          <w:color w:val="161B22"/>
        </w:rPr>
        <w:t xml:space="preserve">Advisory &amp; Services and the AI Analyst</w:t>
      </w:r>
      <w:bookmarkEnd w:id="1481"/>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2" w:name="_Toc1481"/>
      <w:r>
        <w:rPr>
          <w:b/>
          <w:bCs/>
          <w:color w:val="161B22"/>
        </w:rPr>
        <w:t xml:space="preserve">Reader Profiles and Recommended Paths</w:t>
      </w:r>
      <w:bookmarkEnd w:id="1482"/>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3" w:name="_Toc1482"/>
      <w:r>
        <w:rPr>
          <w:b/>
          <w:bCs/>
          <w:color w:val="161B22"/>
        </w:rPr>
        <w:t xml:space="preserve">Appendix H — Adapting and Stress-Testing the Framework</w:t>
      </w:r>
      <w:bookmarkEnd w:id="1483"/>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4" w:name="_Toc1483"/>
      <w:r>
        <w:rPr>
          <w:b/>
          <w:bCs/>
          <w:color w:val="161B22"/>
        </w:rPr>
        <w:t xml:space="preserve">H.1 Glossary of Vermont-Specific Acronyms and Institutions</w:t>
      </w:r>
      <w:bookmarkEnd w:id="1484"/>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5" w:name="_Toc1484"/>
      <w:r>
        <w:rPr>
          <w:b/>
          <w:bCs/>
          <w:color w:val="161B22"/>
        </w:rPr>
        <w:t xml:space="preserve">H.2 Worksheet — Adapt This Framework to Your State</w:t>
      </w:r>
      <w:bookmarkEnd w:id="1485"/>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6" w:name="_Toc1485"/>
      <w:r>
        <w:rPr>
          <w:b/>
          <w:bCs/>
          <w:color w:val="161B22"/>
        </w:rPr>
        <w:t xml:space="preserve">H.3 The Transition Window — Financing FY2027–2030</w:t>
      </w:r>
      <w:bookmarkEnd w:id="1486"/>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7" w:name="_Toc1486"/>
      <w:r>
        <w:rPr>
          <w:b/>
          <w:bCs/>
          <w:color w:val="161B22"/>
        </w:rPr>
        <w:t xml:space="preserve">What bridges exist</w:t>
      </w:r>
      <w:bookmarkEnd w:id="1487"/>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8" w:name="_Toc1487"/>
      <w:r>
        <w:rPr>
          <w:b/>
          <w:bCs/>
          <w:color w:val="161B22"/>
        </w:rPr>
        <w:t xml:space="preserve">What this means for a hospital CFO</w:t>
      </w:r>
      <w:bookmarkEnd w:id="1488"/>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9" w:name="_Toc1488"/>
      <w:r>
        <w:rPr>
          <w:b/>
          <w:bCs/>
          <w:color w:val="161B22"/>
        </w:rPr>
        <w:t xml:space="preserve">H.4 Two Clocks — Reconciling Act 68 and AHEAD Cohort 2 Timelines</w:t>
      </w:r>
      <w:bookmarkEnd w:id="1489"/>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0" w:name="_Toc1489"/>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0"/>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1" w:name="_Toc1490"/>
      <w:r>
        <w:rPr>
          <w:b/>
          <w:bCs/>
          <w:color w:val="161B22"/>
        </w:rPr>
        <w:t xml:space="preserve">GMCB’s enforcement toolkit</w:t>
      </w:r>
      <w:bookmarkEnd w:id="1491"/>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2" w:name="_Toc1491"/>
      <w:r>
        <w:rPr>
          <w:b/>
          <w:bCs/>
          <w:color w:val="161B22"/>
        </w:rPr>
        <w:t xml:space="preserve">The test case: GMCB v. UVMMC</w:t>
      </w:r>
      <w:bookmarkEnd w:id="1492"/>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3" w:name="_Toc1492"/>
      <w:r>
        <w:rPr>
          <w:b/>
          <w:bCs/>
          <w:color w:val="161B22"/>
        </w:rPr>
        <w:t xml:space="preserve">Appendix I — The HTR Lab Workbook: A Six-Pillar Practicum</w:t>
      </w:r>
      <w:bookmarkEnd w:id="1493"/>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4" w:name="_Toc1493"/>
      <w:r>
        <w:rPr>
          <w:b/>
          <w:bCs/>
          <w:color w:val="161B22"/>
        </w:rPr>
        <w:t xml:space="preserve">How to Use This Workbook</w:t>
      </w:r>
      <w:bookmarkEnd w:id="1494"/>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5" w:name="_Toc1494"/>
      <w:r>
        <w:rPr>
          <w:b/>
          <w:bCs/>
          <w:color w:val="161B22"/>
        </w:rPr>
        <w:t xml:space="preserve">Stage 1 — Policy: Establish the Mandate</w:t>
      </w:r>
      <w:bookmarkEnd w:id="1495"/>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6" w:name="_Toc1495"/>
      <w:r>
        <w:rPr>
          <w:b/>
          <w:bCs/>
          <w:color w:val="161B22"/>
        </w:rPr>
        <w:t xml:space="preserve">Stage 2 — Technology: Build the Substrate</w:t>
      </w:r>
      <w:bookmarkEnd w:id="1496"/>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7" w:name="_Toc1496"/>
      <w:r>
        <w:rPr>
          <w:b/>
          <w:bCs/>
          <w:color w:val="161B22"/>
        </w:rPr>
        <w:t xml:space="preserve">Stage 3 — Economics: Put Incentives on a Visible System</w:t>
      </w:r>
      <w:bookmarkEnd w:id="1497"/>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8" w:name="_Toc1497"/>
      <w:r>
        <w:rPr>
          <w:b/>
          <w:bCs/>
          <w:color w:val="161B22"/>
        </w:rPr>
        <w:t xml:space="preserve">Stage 4 — Clinical: Redesign Care on Aligned Incentives</w:t>
      </w:r>
      <w:bookmarkEnd w:id="1498"/>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9" w:name="_Toc1498"/>
      <w:r>
        <w:rPr>
          <w:b/>
          <w:bCs/>
          <w:color w:val="161B22"/>
        </w:rPr>
        <w:t xml:space="preserve">Stage 5 — Equity: Calibrate for the Gap, Not the Average</w:t>
      </w:r>
      <w:bookmarkEnd w:id="1499"/>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0" w:name="_Toc1499"/>
      <w:r>
        <w:rPr>
          <w:b/>
          <w:bCs/>
          <w:color w:val="161B22"/>
        </w:rPr>
        <w:t xml:space="preserve">Stage 6 — Operations: Close the Execution Gap</w:t>
      </w:r>
      <w:bookmarkEnd w:id="1500"/>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1" w:name="_Toc1500"/>
      <w:r>
        <w:rPr>
          <w:b/>
          <w:bCs/>
          <w:color w:val="161B22"/>
        </w:rPr>
        <w:t xml:space="preserve">Figure Index</w:t>
      </w:r>
      <w:bookmarkEnd w:id="1501"/>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2" w:name="_Toc1501"/>
      <w:r>
        <w:rPr>
          <w:b/>
          <w:bCs/>
          <w:color w:val="161B22"/>
        </w:rPr>
        <w:t xml:space="preserve">Bibliography and Source Notes</w:t>
      </w:r>
      <w:bookmarkEnd w:id="1502"/>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3" w:name="_Toc1502"/>
      <w:r>
        <w:rPr>
          <w:b/>
          <w:bCs/>
          <w:color w:val="161B22"/>
        </w:rPr>
        <w:t xml:space="preserve">Index (Selected)</w:t>
      </w:r>
      <w:bookmarkEnd w:id="1503"/>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8"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5"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1"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6" Type="http://schemas.openxmlformats.org/officeDocument/2006/relationships/hyperlink" Target="https://healthtransformationreview.org/research-lab/knowledge-workspace?tab=evidence" TargetMode="External"/><Relationship Id="rId426" Type="http://schemas.openxmlformats.org/officeDocument/2006/relationships/hyperlink" Target="https://healthtransformationreview.org/research-lab/knowledge-workspace?tab=leaderboard" TargetMode="External"/><Relationship Id="rId407"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7"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8"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5"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1"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6" Type="http://schemas.openxmlformats.org/officeDocument/2006/relationships/hyperlink" Target="https://healthtransformationreview.org/research-lab/knowledge-workspace?tab=evidence" TargetMode="External"/><Relationship Id="rId426" Type="http://schemas.openxmlformats.org/officeDocument/2006/relationships/hyperlink" Target="https://healthtransformationreview.org/research-lab/knowledge-workspace?tab=leaderboard" TargetMode="External"/><Relationship Id="rId407"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7"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2026-08-02T20:55:07Z</dcterms:created>
  <dcterms:modified xsi:type="dcterms:W3CDTF">2026-08-02T20:55:07Z</dcterms:modified>
</cp:coreProperties>
</file>

<file path=docProps/custom.xml><?xml version="1.0" encoding="utf-8"?>
<Properties xmlns="http://schemas.openxmlformats.org/officeDocument/2006/custom-properties" xmlns:vt="http://schemas.openxmlformats.org/officeDocument/2006/docPropsVTypes"/>
</file>