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AI-scribe grants funded;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(4 certified July 1, 2026);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of 5 certified Jul 2026 → fifth pending</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a year in RHT funds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$195M/yr in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$195M/yr RHT capital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