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Project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Four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fourth-oldest in the country by median age (42.8), behind Maine (45.1), New Hampshire (43.0), and West Virginia (42.9).</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monthly hospital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two doorways: an </w:t>
      </w:r>
      <w:r w:rsidDel="00000000" w:rsidR="00000000" w:rsidRPr="00000000">
        <w:rPr>
          <w:i w:val="1"/>
          <w:iCs w:val="1"/>
          <w:rtl w:val="0"/>
        </w:rPr>
        <w:t xml:space="preserve">“Explore on the Platform”</w:t>
      </w:r>
      <w:r w:rsidDel="00000000" w:rsidR="00000000" w:rsidRPr="00000000">
        <w:rPr>
          <w:rtl w:val="0"/>
        </w:rPr>
        <w:t xml:space="preserve"> guide that maps the chapter’s argument to the specific tools that let you manipulate it, and a </w:t>
      </w:r>
      <w:r w:rsidDel="00000000" w:rsidR="00000000" w:rsidRPr="00000000">
        <w:rPr>
          <w:i w:val="1"/>
          <w:iCs w:val="1"/>
          <w:rtl w:val="0"/>
        </w:rPr>
        <w:t xml:space="preserve">“Go Deeper — Academy”</w:t>
      </w:r>
      <w:r w:rsidDel="00000000" w:rsidR="00000000" w:rsidRPr="00000000">
        <w:rPr>
          <w:rtl w:val="0"/>
        </w:rPr>
        <w:t xml:space="preserve"> guide pointing to the lessons that teach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and the sequencing of Medicaid versus commercial global budgets — which together determine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appeal of that enforcement — Vermont’s largest, most powerful hospital system testing GMCB’s authority directly — ended in April 2025, when UVMMC dismissed its appeals under a settlement that left the enforcement order in place. That outcome is the strongest available evidence that “mandatory” in this book’s framework describes a regime that has been tested against its most resourced potential opponent and held.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“Explore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 the one lever state law can pull, since federal law cannot compel insurers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pattern—auditor-documented 36% higher ED visits and 18% lower primary care visits than national peer ACOs.</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is mandatory for all Vermont hospitals beginning FY2027, and global budgets are mandatory beginning FY2028.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11-point white/BIPOC gap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(4 of 5 planned new entities certified July 1,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at 200% of Medicare or less; EAST Fund (roughly $138M expected; cut to a cap near $10M when Vermont withdrew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for the first mandatory all-payer price cap in modern Vermont history;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realistic assumptions (10% labor, 7-8%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2018 to 2022; median household income grew only 22% over the same period</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 the more than $100 million in direct savings projected from administrative consolidation and shared services.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four of which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the Oliver Wyman benchmark GMCB is working from is 200% of Medicare or less.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order standing.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~$138M/year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70+ models since 2010;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12–18+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Typical Data Lag</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VUHDDS hospital discharge records);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of 12-18+ months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Act 61 of 2009 designated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weekly-refreshed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over $14 million annually statewide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live since November 2024, rather than through VHCURES. The reason is timeliness: MDWAS refreshes weekly and carries an integrated opt-out consent model compliant with Act 53, where VHCURES operates on a 12-to-18-month reporting lag, lacks an opt-out mechanism, and — because of ERISA preemption — excludes large segments of the commercially insured population. For retrospective research VHCURES remains serviceable. For intervening in a patient’s care, a 12-month lag is not a data source; it is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 RHT investment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§4.5 develops the FHIR picture. AHS’s feasibility assessment should produce a clear answer on this question by 2026–2027 — in time to inform the 2028 Strategic Plan.</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particularly UVMMC with its Epic EHR — are FHIR-compliant for the CMS-mandated payer-to-patient and payer-to-payer API requirements. The critical gap is at smaller community hospitals (on TruBridge legacy platforms, with Meditech sites FHIR-capable but unconfigured) and at community-based providers (mental health agencies, skilled nursing facilities, home health agencies) that lack FHIR-capable systems entirely.</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Full FHIR R4 compliance</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UVMMC (Epic); Vermont hospitals on Oracle Health (Cerner) post-2022 upgrade; major commercial payers (BCBS VT, MVP)</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Partial FHIR implementation</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Community hospitals on Meditech Expanse (FHIR-capable but may require configuration)</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Smaller community hospitals on TruBridge legacy; most Designated Mental Health Agencies; many skilled nursing facilities; independent primary care practices on older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15 to 25 minutes per provider per day through AI documentation support is equivalent to adding significant additional clinical capacity without hiring new providers.</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rsidR="00000000" w:rsidDel="00000000" w:rsidP="00000000" w:rsidRDefault="00000000" w:rsidRPr="00000000" w14:paraId="000006FE">
      <w:pPr>
        <w:keepNext w:val="0"/>
        <w:keepLines w:val="0"/>
        <w:numPr>
          <w:ilvl w:val="0"/>
          <w:numId w:val="25"/>
        </w:numPr>
        <w:ind w:left="720" w:hanging="360"/>
        <w:rPr/>
      </w:pPr>
      <w:r w:rsidDel="00000000" w:rsidR="00000000" w:rsidRPr="00000000">
        <w:rPr>
          <w:rtl w:val="0"/>
        </w:rP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rsidR="00000000" w:rsidDel="00000000" w:rsidP="00000000" w:rsidRDefault="00000000" w:rsidRPr="00000000" w14:paraId="000006FF">
      <w:pPr>
        <w:keepNext w:val="0"/>
        <w:keepLines w:val="0"/>
        <w:numPr>
          <w:ilvl w:val="0"/>
          <w:numId w:val="25"/>
        </w:numPr>
        <w:ind w:left="720" w:hanging="360"/>
        <w:rPr/>
      </w:pPr>
      <w:r w:rsidDel="00000000" w:rsidR="00000000" w:rsidRPr="00000000">
        <w:rPr>
          <w:rtl w:val="0"/>
        </w:rP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rsidR="00000000" w:rsidDel="00000000" w:rsidP="00000000" w:rsidRDefault="00000000" w:rsidRPr="00000000" w14:paraId="00000700">
      <w:pPr>
        <w:keepNext w:val="0"/>
        <w:keepLines w:val="0"/>
        <w:numPr>
          <w:ilvl w:val="0"/>
          <w:numId w:val="25"/>
        </w:numPr>
        <w:ind w:left="720" w:hanging="360"/>
        <w:rPr/>
      </w:pPr>
      <w:r w:rsidDel="00000000" w:rsidR="00000000" w:rsidRPr="00000000">
        <w:rPr>
          <w:rtl w:val="0"/>
        </w:rPr>
        <w:t xml:space="preserve">Transparency requirements: Patients must be informed when AI tools are involved in their care. Clinicians must understand the basis and limitations of AI outputs. ‘Black box’ AI with no explainability is inappropriate for clinical settings regardless of its overall accuracy.</w:t>
      </w:r>
    </w:p>
    <w:p w:rsidR="00000000" w:rsidDel="00000000" w:rsidP="00000000" w:rsidRDefault="00000000" w:rsidRPr="00000000" w14:paraId="00000701">
      <w:pPr>
        <w:keepNext w:val="0"/>
        <w:keepLines w:val="0"/>
        <w:numPr>
          <w:ilvl w:val="0"/>
          <w:numId w:val="25"/>
        </w:numPr>
        <w:ind w:left="720" w:hanging="360"/>
        <w:rPr/>
      </w:pPr>
      <w:r w:rsidDel="00000000" w:rsidR="00000000" w:rsidRPr="00000000">
        <w:rPr>
          <w:rtl w:val="0"/>
        </w:rP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rsidR="00000000" w:rsidDel="00000000" w:rsidP="00000000" w:rsidRDefault="00000000" w:rsidRPr="00000000" w14:paraId="00000702">
      <w:pPr>
        <w:keepLines w:val="0"/>
        <w:numPr>
          <w:ilvl w:val="0"/>
          <w:numId w:val="25"/>
        </w:numPr>
        <w:ind w:left="720" w:hanging="360"/>
        <w:rPr/>
      </w:pPr>
      <w:r w:rsidDel="00000000" w:rsidR="00000000" w:rsidRPr="00000000">
        <w:rPr>
          <w:rtl w:val="0"/>
        </w:rP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CMS-mandated payer and provider APIs;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CommonWell / Carequality: national network connectivity for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(UVMMC, CVMC), Oracle Health (others), TruBridge (CAHs), Meditech (others)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mandated by CMS for payers and providers beginning 2021–2022.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can access their health records through third-party apps, supporting patient engagement and longitudinal care coordination. Required by CMS for hospitals and clinicians receiving Medicare/Medicaid payments.</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must expose FHIR R4 patient access endpoint; practice must register with Smart Health IT or similar app authorization framework; patient-facing app must be certified.</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Required compliance — all Vermont hospitals must be compliant. Monitor for compliance at smaller CAHs without robust IT departments.</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 access API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FHIR query capability; master patient index for patient matching across organizations; trust framework (CommonWell/Carequality membership);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Payer-to-provider API (prior authorization and formulary)</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Electronic prior authorization using FHIR-based DA Vinci implementation guides eliminates manual PA processes; formulary information exchange reduces prescription errors.</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must support CRD (Coverage Requirements Discovery) and DTR (Documentation Templates and Rules) Da Vinci implementation guides; payers (BCBS VT, MVP) must implement complementary APIs.</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Vermont’s prior authorization reform agenda is accelerated by FHIR-based electronic PA. GMCB should require payer FHIR API compliance as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Vermont VITL FHIR mandate; CMS interoperability rule compliance</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save ~15–25 min/day/provider (NEJM AI RCT, 2025;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Vermont rural CAH vulnerability; ransomware risk at Grace Cottage scale</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global budgets take effect in FY2028, you will not be able to receive the real-time feedback the global budget management system is designed to provide.</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Act 68 implementation,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enable FHIR-based record sharing between health systems across organizational boundaries. VITL participates in CommonWell; Vermont CIN membership would enable access to both networks for out-of-state record retrieval.</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NEJM AI ambient scribe randomized trial (2025); JAMA ambient scribe study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tracks hospital charge growth with high fidelity.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813">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The Maryland regulator quoted at the opening of this chapter described the result plainly: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providing up to $138 million in additional Medicare funds annually starting in 2027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is, from the beginning, paired with the community investment that Maryland added only after its first years of operation.</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released March 2027 for FY2028 rates; Act 68 hospital global budgets take effect FY2028</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non-CAH hospitals; Statewide Strategic Plan delivered January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global budgets take effect in FY2028.</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non-CAH global budgets take effect in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to be set by GMCB rule in March 2027, with 200% of Medicare the benchmark most often modeled — is the most specific mandatory statewide price ceiling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mandate is designed to achieve this across commercial payers and Medicaid by FY2028-2030, with Medicare alignment now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provide up to $138M annually in additional Medicare funds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BE7">
            <w:pPr>
              <w:jc w:val="left"/>
              <w:rPr/>
            </w:pPr>
            <w:r w:rsidDel="00000000" w:rsidR="00000000" w:rsidRPr="00000000">
              <w:rPr>
                <w:b w:val="1"/>
                <w:bCs w:val="1"/>
                <w:color w:val="111111"/>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shd w:fill="edf2f9" w:val="clear"/>
          </w:tcPr>
          <w:p w:rsidR="00000000" w:rsidDel="00000000" w:rsidP="00000000" w:rsidRDefault="00000000" w:rsidRPr="00000000" w14:paraId="00000BE8">
            <w:pPr>
              <w:jc w:val="left"/>
              <w:rPr/>
            </w:pPr>
            <w:r w:rsidDel="00000000" w:rsidR="00000000" w:rsidRPr="00000000">
              <w:rPr>
                <w:b w:val="1"/>
                <w:bCs w:val="1"/>
                <w:color w:val="111111"/>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E">
      <w:pPr>
        <w:rPr/>
      </w:pPr>
      <w:r w:rsidDel="00000000" w:rsidR="00000000" w:rsidRPr="00000000">
        <w:rPr>
          <w:rtl w:val="0"/>
        </w:rPr>
        <w:t xml:space="preserve">The first half of this chapter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14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Medicaid global budget;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sections develop the operational mechanics of healthcare transformation — the specific processes, metrics, and management disciplines that determine whether value-based care contracts produce the results they are designed for. They fall into four operational domains: revenue cycle transformation for VBC, HCC coding and risk adjustment excellence, credentialing efficiency, and the workforce operations framework.</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 Convergence Newsletter (free weekly) for Observer subscribers.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p w:rsidR="00000000" w:rsidDel="00000000" w:rsidP="00000000" w:rsidRDefault="00000000" w:rsidRPr="00000000" w14:paraId="00000F32">
      <w:pPr>
        <w:pStyle w:val="Heading3"/>
        <w:keepNext w:val="0"/>
        <w:rPr/>
      </w:pPr>
      <w:bookmarkStart w:colFirst="0" w:colLast="0" w:name="_lq2plq41pd5s" w:id="353"/>
      <w:bookmarkEnd w:id="353"/>
      <w:r w:rsidDel="00000000" w:rsidR="00000000" w:rsidRPr="00000000">
        <w:rPr>
          <w:color w:val="161b22"/>
          <w:rtl w:val="0"/>
        </w:rPr>
        <w:t xml:space="preserve">12.2.2  </w:t>
      </w:r>
      <w:r w:rsidDel="00000000" w:rsidR="00000000" w:rsidRPr="00000000">
        <w:rPr>
          <w:b w:val="1"/>
          <w:bCs w:val="1"/>
          <w:color w:val="161b22"/>
          <w:rtl w:val="0"/>
        </w:rPr>
        <w:t xml:space="preserve">Four Components of the HTR Platform</w:t>
      </w:r>
      <w:r w:rsidDel="00000000" w:rsidR="00000000" w:rsidRPr="00000000">
        <w:rPr>
          <w:rtl w:val="0"/>
        </w:rPr>
      </w:r>
    </w:p>
    <w:p w:rsidR="00000000" w:rsidDel="00000000" w:rsidP="00000000" w:rsidRDefault="00000000" w:rsidRPr="00000000" w14:paraId="00000F33">
      <w:pPr>
        <w:keepNext w:val="0"/>
        <w:rPr/>
      </w:pPr>
      <w:r w:rsidDel="00000000" w:rsidR="00000000" w:rsidRPr="00000000">
        <w:rPr>
          <w:rtl w:val="0"/>
        </w:rPr>
        <w:t xml:space="preserve">The transformation implementation platform has four integrated components, each designed for a different kind of engagement with the transformation agenda:</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RHRC engagement is the right investment at the right time</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CMS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EAST Fund investments cut 30%+ due to federal Medicaid reductions.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7</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Statutory deadlines requiring PM discipline</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AHS programs requiring portfolio coordination</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(14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In progress → FY2026</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Plan submission → FY2026 approved</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Q1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Project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Project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5 CCBHCs (FY2026);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approved (FY2026); HSA coordinators staffed (FY2027); PMO operational (Q1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14:paraId="000011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design, RHT Program deployment — cannot be productively worked before the Technology components that make them measurable.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1.2’s gate definition: open means the enabling work is finished, not that a milestone was declared.)</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Q1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hire Portfolio Manager by Q2 2026; PMO by Q1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15.7</w:t>
      </w:r>
      <w:r w:rsidDel="00000000" w:rsidR="00000000" w:rsidRPr="00000000">
        <w:rPr>
          <w:rtl w:val="0"/>
        </w:rPr>
        <w:t xml:space="preserve"> answers that objection directly. The ~$4–6.4M cost of a staffed PMO over four to five years is roughly 2% of the portfolio value it protects.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the portfolio value managed vs. $195M RHT + $300M+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14:paraId="00001271">
      <w:pPr>
        <w:rPr/>
      </w:pPr>
      <w:r w:rsidDel="00000000" w:rsidR="00000000" w:rsidRPr="00000000">
        <w:rPr>
          <w:rtl w:val="0"/>
        </w:rPr>
        <w:t xml:space="preserve">Q1–Q2 2026: Post the Portfolio Manager position (PfMP preferred); begin recruitment (AHS Secretary).</w:t>
      </w:r>
    </w:p>
    <w:p w:rsidR="00000000" w:rsidDel="00000000" w:rsidP="00000000" w:rsidRDefault="00000000" w:rsidRPr="00000000" w14:paraId="000012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2026: Portfolio Manager hired; portfolio register (Figure 15.3) and risk register formalized.</w:t>
      </w:r>
    </w:p>
    <w:p w:rsidR="00000000" w:rsidDel="00000000" w:rsidP="00000000" w:rsidRDefault="00000000" w:rsidRPr="00000000" w14:paraId="000012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Q3 2026: Integrated master schedule developed; all 19 component leads identified; PMO analyst positions posted.</w:t>
      </w:r>
    </w:p>
    <w:p w:rsidR="00000000" w:rsidDel="00000000" w:rsidP="00000000" w:rsidRDefault="00000000" w:rsidRPr="00000000" w14:paraId="000012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Q4 2026: PMO software deployed; monthly dashboard live; first formal Portfolio Governance Board meeting.</w:t>
      </w:r>
    </w:p>
    <w:p w:rsidR="00000000" w:rsidDel="00000000" w:rsidP="00000000" w:rsidRDefault="00000000" w:rsidRPr="00000000" w14:paraId="000012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Q1 2027: Five pillar PMs designated; weekly pillar-level reporting; resource-conflict resolution operational.</w:t>
      </w:r>
    </w:p>
    <w:p w:rsidR="00000000" w:rsidDel="00000000" w:rsidP="00000000" w:rsidRDefault="00000000" w:rsidRPr="00000000" w14:paraId="000012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2027 onward: Monthly governance reviews; quarterly performance reviews vs. the Vermont Scorecard; annual portfolio rebalancing.</w:t>
      </w:r>
    </w:p>
    <w:p w:rsidR="00000000" w:rsidDel="00000000" w:rsidP="00000000" w:rsidRDefault="00000000" w:rsidRPr="00000000" w14:paraId="000012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January 2028: Strategic Plan delivered with portfolio-management evidence — benefits realized, risks managed, resources optimally deployed; PMO transitions to the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Four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roughly 2%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Quantified per-capita cost-growth targets, aligned with Act 68’s hospital-spending-reduction requirement.</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A plan to raise primary care as a share of total spend (retained as state policy after the AHEAD withdrawal), including Blueprint expansion, CCBHC development, and CoCM deployment.</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State policy after the AHEAD withdrawal; plan formalizes it</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Establish a Division of Planning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AHEAD wind-down alone requires ongoing withdrawal-condition management, EAST Fund closeout, and negotiation of the terms of any successor federal agreement.</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reports, the January 2028 plan, and the three-year updates. The monthly reporting requirement is a real accountability mechanism, not a formality.</w:t>
      </w:r>
    </w:p>
    <w:p w:rsidR="00000000" w:rsidDel="00000000" w:rsidP="00000000" w:rsidRDefault="00000000" w:rsidRPr="00000000" w14:paraId="000012E2">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Windsor</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~48K, aging, rural, southwest VT</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TBD tier;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TBD tier — among most vulnerable; comprehensive assessment needed; Act 68 CAH global-budget deferral to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wind-down and successor-agreement strategy (EAST Fund closeout, resolving CMS’s July 2026 compliance notice on the Medicaid global budget, terms for any second federal agreement); Act 68 compliance tracking (RBP FY2027, non-CAH global budgets FY2028,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closeout (cut to a cap near $10M, against the ~$138M originally expected, before Vermont’s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Under CMS compliance notice</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Enhanced primary-care payments — state/Medicaid-funded successor to the expired Medicare demo</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collapse is the argument for this chapter in one number.</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provide another $138 million annually in Medicare performance funds for a state that invests in population health — a renegotiation cut that to a cap near $10 million before Vermont withdrew from AHEAD in July 2026. Federal capital is available for states that create the regulatory conditions that justify it. Vermont created those conditions.</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Under CMS compliance notice (July 2026)</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All are available to Strategist and Enterprise subscribers at healthtransformationreview.org.</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(13 PQI conditions);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 Convergence Newsletter (free weekly) for Observer-tier; full analysis with Vermont commentary for Strategist and Enterprise.</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certification in progress</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two now actually apply. The Rural Health Transformation Program provided Vermont $195M for its first year (2026), with amounts for 2027–2030 not yet published — capital funding intended for structural transformation, not operating-loss replacement, and explicitly time-limited. The AHEAD EAST Fund was to provide up to $138M per year to Vermont,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is, perversely, the first to move to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