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open on state authority — the statutory architecture is complete — but narrower than planned: with AHEAD withdrawn and the Medicaid hospital global budget halted (July 2026), Medicare and Medicaid alignment must be rebuilt.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 analytics vendor contract under negotiation (April 2026).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(concluded October 2025), 14 hospital transformation plans (submitted April 2026), PMO being established — timed to precede the peak execution demand of FY2027–2028. The HSA Coordinator model (Chapter 16) and a Division of Planning and Effectiveness (Oliver Wyman) remain proposals; the Act 119 review kept AHS unified.</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Congressional Budget Office analysis found that CMMI’s first decade of models increased net federal spending by $5.4 billion rather than producing savings, and by January 2025 only four of the 70 models CMMI had tested had been expanded nationwide (GAO). Most models were discontinued. CMMI’s more recent designs — ACO REACH (formerly Direct Contracting), AHEAD, the Making Care Primary model — were built around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participation from as early as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from 2022 CMS approved 1115 waivers that use Medicaid funds for health-related social needs services, including housing supports, food assistance, and transportation, for enrollees at risk of institutionalization or with complex social needs. In March 2025 CMS rescinded its HRSN guidance: existing approvals stand, and new requests are considered case by case.</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January 2025 1115 amendment authorizes HRSN housing services — housing supports, medically necessary home remediation, and short-term rent and medical respite for homeless enrollees — so that social-needs screening can connect patients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a January 2025 amendment added HRSN housing services, while CMS and the state were still working on the authority for a Medicaid global budget.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moving before that negotiation is finished: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by voice vote in 2022 but died in the Senate and never became law. CMS achieved much of its substance through rulemaking instead: its 2024 prior authorization rule requires Medicare Advantage, Medicaid, CHIP and federal-exchange plans, from 2026,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its system map links long approval processes to cost-effective contracts that cannot be secured, and its recommendations call for further simplifying prior authorization, the CON process, and Medicaid billing.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(rule in 2027, maximum rates from FY2028);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federal Medicaid cuts over 10 years (CBO estimate).</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for expansion adults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all states; phase-down of existing taxes in expansion states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from FY2028 (October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FY2032</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New payments on enactment; existing payments from 2028</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Any Vermont hospital receiving state-directed supplemental payments faces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Combined Medicaid funding reductions (all provisions above)</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Oliver Wyman had already projected 5-year cumulative deficits for Vermont’s hospitals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generally take effect 30 to 60 days after publication, and proposed rules typically open a 30- to 60-day comment period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applies it within a three-phase engagement (Chapter 12), but its four steps can be applied internally — and are built into the Research Lab’s Policy Impact Assessment Framework:</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 one or more hospitals from hospital FY2028, all by FY2030, to the extent resources are available.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this book proposes (Chapter 16) — before performance accountability begins. Appropriating for them is not optional; it is the enabling condition for the global budgets Act 68 requires.</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independent hospitals and providers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Where states stand on policy architecture and population health.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comparison of all 50 states (DC listed, not ranked) on the two pillars with real multi-state data: Policy (CMS AHEAD cohorts and other state programs) and Clinical (America’s Health Rankings). Technology, Economics, and Operations are not scored because no 50-state dataset exists; Vermont’s figures are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