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 in This Chapter</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Key Concepts in This Chapter</w:t>
        </w:r>
      </w:hyperlink>
      <w:r>
        <w:tab/>
      </w:r>
      <w:r>
        <w:fldChar w:fldCharType="begin"/>
      </w:r>
      <w:r>
        <w:instrText xml:space="preserve"> PAGEREF _Toc1393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Key Concepts in This Chapter</w:t>
        </w:r>
      </w:hyperlink>
      <w:r>
        <w:tab/>
      </w:r>
      <w:r>
        <w:fldChar w:fldCharType="begin"/>
      </w:r>
      <w:r>
        <w:instrText xml:space="preserve"> PAGEREF _Toc1421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 in This Chapter</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 six pillar hubs, a</w:t>
      </w:r>
      <w:r>
        <w:t xml:space="preserve"> </w:t>
      </w:r>
      <w:r>
        <w:rPr>
          <w:b/>
          <w:bCs/>
        </w:rPr>
        <w:t xml:space="preserve">Research Lab</w:t>
      </w:r>
      <w:r>
        <w:t xml:space="preserve"> </w:t>
      </w:r>
      <w:r>
        <w:t xml:space="preserve">of two dozen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pPr>
      <w:bookmarkStart w:id="1017" w:name="_Toc1016"/>
      <w:r>
        <w:rPr>
          <w:b/>
          <w:bCs/>
          <w:color w:val="161B22"/>
        </w:rPr>
        <w:t xml:space="preserve">The HTR Ecosystem: How the Book, the Platform, and the Academy Work Together</w:t>
      </w:r>
      <w:bookmarkEnd w:id="1017"/>
    </w:p>
    <w:p>
      <w:pPr>
        <w:pStyle w:val="FirstParagraph"/>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two dozen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six benches — one per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certificates,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pPr>
      <w:r>
        <w:rPr>
          <w:color w:val="161B22"/>
        </w:rPr>
        <w:t xml:space="preserve">1.1  </w:t>
      </w:r>
      <w:bookmarkStart w:id="1025" w:name="_Toc1024"/>
      <w:r>
        <w:rPr>
          <w:b/>
          <w:bCs/>
          <w:color w:val="161B22"/>
        </w:rPr>
        <w:t xml:space="preserve">The Problem with Single-Pillar Thinking</w:t>
      </w:r>
      <w:bookmarkEnd w:id="1025"/>
    </w:p>
    <w:p>
      <w:pPr>
        <w:pStyle w:val="FirstParagraph"/>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The results were modest. A 2023 evaluation found that the vast majority of CMMI models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into a cascade the organization could not survive.</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pPr>
      <w:r>
        <w:rPr>
          <w:color w:val="161B22"/>
        </w:rPr>
        <w:t xml:space="preserve">1.2.3  </w:t>
      </w:r>
      <w:bookmarkStart w:id="1029" w:name="_Toc1028"/>
      <w:r>
        <w:rPr>
          <w:b/>
          <w:bCs/>
          <w:color w:val="161B22"/>
        </w:rPr>
        <w:t xml:space="preserve">Sequencing Failure 3: The Cascade</w:t>
      </w:r>
      <w:bookmarkEnd w:id="1029"/>
    </w:p>
    <w:p>
      <w:pPr>
        <w:pStyle w:val="FirstParagraph"/>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accountability mandates</w:t>
            </w:r>
          </w:p>
        </w:tc>
        <w:tc>
          <w:tcPr>
            <w:tcW w:w="1284" w:type="dxa"/>
            <w:vAlign w:val="center"/>
          </w:tcPr>
          <w:p>
            <w:pPr>
              <w:pStyle w:val="Compact"/>
              <w:jc w:val="center"/>
            </w:pPr>
            <w:r>
              <w:rPr>
                <w:b/>
                <w:color w:val="1F6B5D"/>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VBC financial management</w:t>
            </w:r>
          </w:p>
        </w:tc>
        <w:tc>
          <w:tcPr>
            <w:tcW w:w="1284" w:type="dxa"/>
            <w:vAlign w:val="center"/>
          </w:tcPr>
          <w:p>
            <w:pPr>
              <w:pStyle w:val="Compact"/>
              <w:jc w:val="center"/>
            </w:pPr>
            <w:r>
              <w:rPr>
                <w:b/>
                <w:color w:val="C97A0F"/>
                <w:sz w:val="16"/>
              </w:rPr>
              <w:t xml:space="preserve">Enables risk stratification</w:t>
            </w:r>
          </w:p>
        </w:tc>
        <w:tc>
          <w:tcPr>
            <w:tcW w:w="1284" w:type="dxa"/>
            <w:vAlign w:val="center"/>
          </w:tcPr>
          <w:p>
            <w:pPr>
              <w:pStyle w:val="Compact"/>
              <w:jc w:val="center"/>
            </w:pPr>
            <w:r>
              <w:rPr>
                <w:b/>
                <w:color w:val="C97A0F"/>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b/>
                <w:color w:val="1F6B5D"/>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3E4FB0"/>
                <w:sz w:val="16"/>
              </w:rPr>
              <w:t xml:space="preserve">Drives financial rationality</w:t>
            </w:r>
          </w:p>
        </w:tc>
        <w:tc>
          <w:tcPr>
            <w:tcW w:w="1284" w:type="dxa"/>
            <w:vAlign w:val="center"/>
          </w:tcPr>
          <w:p>
            <w:pPr>
              <w:pStyle w:val="Compact"/>
              <w:jc w:val="center"/>
            </w:pPr>
            <w:r>
              <w:rPr>
                <w:b/>
                <w:color w:val="1F6B5D"/>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access expansion</w:t>
            </w:r>
          </w:p>
        </w:tc>
        <w:tc>
          <w:tcPr>
            <w:tcW w:w="1284" w:type="dxa"/>
            <w:vAlign w:val="center"/>
          </w:tcPr>
          <w:p>
            <w:pPr>
              <w:pStyle w:val="Compact"/>
              <w:jc w:val="center"/>
            </w:pPr>
            <w:r>
              <w:rPr>
                <w:b/>
                <w:color w:val="1F6B5D"/>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b/>
                <w:color w:val="9A2A48"/>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9A2A48"/>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b/>
                <w:color w:val="C97A0F"/>
                <w:sz w:val="16"/>
              </w:rPr>
              <w:t xml:space="preserve">Enables data feedback loops</w:t>
            </w:r>
          </w:p>
        </w:tc>
        <w:tc>
          <w:tcPr>
            <w:tcW w:w="1284" w:type="dxa"/>
            <w:vAlign w:val="center"/>
          </w:tcPr>
          <w:p>
            <w:pPr>
              <w:pStyle w:val="Compact"/>
              <w:jc w:val="center"/>
            </w:pPr>
            <w:r>
              <w:rPr>
                <w:b/>
                <w:color w:val="1F6B5D"/>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pPr>
    </w:p>
    <w:p>
      <w:pPr>
        <w:pStyle w:val="Heading2"/>
        <w:pBdr>
          <w:top w:val="single" w:sz="6" w:space="10" w:color="C9D2DF"/>
        </w:pBdr>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1.15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1.7  </w:t>
      </w:r>
      <w:bookmarkStart w:id="1040" w:name="_Toc1039"/>
      <w:r>
        <w:rPr>
          <w:b/>
          <w:bCs/>
          <w:color w:val="161B22"/>
        </w:rPr>
        <w:t xml:space="preserve">The Vermont Thread: Six Pillars in One System</w:t>
      </w:r>
      <w:bookmarkEnd w:id="1040"/>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pP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p>
      <w:pPr>
        <w:spacing w:after="120"/>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pPr>
      <w:r>
        <w:t xml:space="preserve">The OneCare autopsy in Section 1.2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pPr>
      <w:r>
        <w:rPr>
          <w:color w:val="161B22"/>
        </w:rPr>
        <w:t xml:space="preserve">1.15  </w:t>
      </w:r>
      <w:bookmarkStart w:id="1061" w:name="_Toc1060"/>
      <w:r>
        <w:rPr>
          <w:b/>
          <w:bCs/>
          <w:color w:val="161B22"/>
        </w:rPr>
        <w:t xml:space="preserve">Work This Chapter on the Platform</w:t>
      </w:r>
      <w:bookmarkEnd w:id="1061"/>
    </w:p>
    <w:p>
      <w:pPr>
        <w:pStyle w:val="FirstParagraph"/>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pPr>
    </w:p>
    <w:p>
      <w:pPr>
        <w:pStyle w:val="BodyText"/>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pPr>
      <w:r>
        <w:rPr>
          <w:color w:val="161B22"/>
        </w:rPr>
        <w:t xml:space="preserve">2.4  </w:t>
      </w:r>
      <w:bookmarkStart w:id="1073" w:name="_Toc1072"/>
      <w:r>
        <w:rPr>
          <w:b/>
          <w:bCs/>
          <w:color w:val="161B22"/>
        </w:rPr>
        <w:t xml:space="preserve">The Perception vs. Reality Problem</w:t>
      </w:r>
      <w:bookmarkEnd w:id="1073"/>
    </w:p>
    <w:p>
      <w:pPr>
        <w:pStyle w:val="FirstParagraph"/>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pPr>
      <w:r>
        <w:rPr>
          <w:color w:val="161B22"/>
        </w:rPr>
        <w:t xml:space="preserve">2.7  </w:t>
      </w:r>
      <w:bookmarkStart w:id="1081" w:name="_Toc1080"/>
      <w:r>
        <w:rPr>
          <w:b/>
          <w:bCs/>
          <w:color w:val="161B22"/>
        </w:rPr>
        <w:t xml:space="preserve">Act 68 (2025): The Operational Mandate</w:t>
      </w:r>
      <w:bookmarkEnd w:id="1081"/>
    </w:p>
    <w:p>
      <w:pPr>
        <w:pStyle w:val="FirstParagraph"/>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pPr>
      <w:r>
        <w:rPr>
          <w:color w:val="161B22"/>
        </w:rPr>
        <w:t xml:space="preserve">2.10  </w:t>
      </w:r>
      <w:bookmarkStart w:id="1087" w:name="_Toc1086"/>
      <w:r>
        <w:rPr>
          <w:b/>
          <w:bCs/>
          <w:color w:val="161B22"/>
        </w:rPr>
        <w:t xml:space="preserve">Work This Chapter on the Platform</w:t>
      </w:r>
      <w:bookmarkEnd w:id="1087"/>
    </w:p>
    <w:p>
      <w:pPr>
        <w:pStyle w:val="FirstParagraph"/>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3.2.2  </w:t>
      </w:r>
      <w:bookmarkStart w:id="1094" w:name="_Toc1093"/>
      <w:r>
        <w:rPr>
          <w:b/>
          <w:bCs/>
          <w:color w:val="161B22"/>
        </w:rPr>
        <w:t xml:space="preserve">The Current Active CMMI Model Landscape (2026)</w:t>
      </w:r>
      <w:bookmarkEnd w:id="1094"/>
    </w:p>
    <w:p>
      <w:pPr>
        <w:pStyle w:val="FirstParagraph"/>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pPr>
      <w:r>
        <w:rPr>
          <w:color w:val="161B22"/>
        </w:rPr>
        <w:t xml:space="preserve">3.8  </w:t>
      </w:r>
      <w:bookmarkStart w:id="1110" w:name="_Toc1109"/>
      <w:r>
        <w:rPr>
          <w:b/>
          <w:bCs/>
          <w:color w:val="161B22"/>
        </w:rPr>
        <w:t xml:space="preserve">Work This Chapter on the Platform</w:t>
      </w:r>
      <w:bookmarkEnd w:id="1110"/>
    </w:p>
    <w:p>
      <w:pPr>
        <w:pStyle w:val="FirstParagraph"/>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pPr>
      <w:r>
        <w:rPr>
          <w:color w:val="161B22"/>
        </w:rPr>
        <w:t xml:space="preserve">4.2.1  </w:t>
      </w:r>
      <w:bookmarkStart w:id="1117" w:name="_Toc1116"/>
      <w:r>
        <w:rPr>
          <w:b/>
          <w:bCs/>
          <w:color w:val="161B22"/>
        </w:rPr>
        <w:t xml:space="preserve">What VHCURES Contains and What It Can Do</w:t>
      </w:r>
      <w:bookmarkEnd w:id="1117"/>
    </w:p>
    <w:p>
      <w:pPr>
        <w:pStyle w:val="FirstParagraph"/>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pPr>
      <w:r>
        <w:rPr>
          <w:color w:val="161B22"/>
        </w:rPr>
        <w:t xml:space="preserve">4.2.2  </w:t>
      </w:r>
      <w:bookmarkStart w:id="1118" w:name="_Toc1117"/>
      <w:r>
        <w:rPr>
          <w:b/>
          <w:bCs/>
          <w:color w:val="161B22"/>
        </w:rPr>
        <w:t xml:space="preserve">VHCURES Limitations — Where the Gaps Are</w:t>
      </w:r>
      <w:bookmarkEnd w:id="1118"/>
    </w:p>
    <w:p>
      <w:pPr>
        <w:pStyle w:val="FirstParagraph"/>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Limitation</w:t>
            </w:r>
          </w:p>
        </w:tc>
        <w:tc>
          <w:tcPr>
            <w:shd w:val="clear" w:color="auto" w:fill="1B3A6B"/>
            <w:tcW w:w="3298" w:type="dxa"/>
          </w:tcPr>
          <w:p>
            <w:pPr>
              <w:pStyle w:val="Compact"/>
              <w:jc w:val="left"/>
            </w:pPr>
            <w:r>
              <w:rPr>
                <w:b/>
                <w:color w:val="FFFFFF"/>
                <w:sz w:val="18"/>
              </w:rPr>
              <w:t xml:space="preserve">What it means for transformation</w:t>
            </w:r>
          </w:p>
        </w:tc>
        <w:tc>
          <w:tcPr>
            <w:shd w:val="clear" w:color="auto" w:fill="1B3A6B"/>
            <w:tcW w:w="3298" w:type="dxa"/>
          </w:tcPr>
          <w:p>
            <w:pPr>
              <w:pStyle w:val="Compact"/>
              <w:jc w:val="left"/>
            </w:pPr>
            <w:r>
              <w:rPr>
                <w:b/>
                <w:color w:val="FFFFFF"/>
                <w:sz w:val="18"/>
              </w:rPr>
              <w:t xml:space="preserve">Required improvement</w:t>
            </w:r>
          </w:p>
        </w:tc>
      </w:tr>
      <w:tr>
        <w:trPr/>
        <w:tc>
          <w:tcPr>
            <w:tcW w:w="2474" w:type="dxa"/>
          </w:tcPr>
          <w:p>
            <w:pPr>
              <w:pStyle w:val="Compact"/>
              <w:jc w:val="left"/>
            </w:pPr>
            <w:r>
              <w:rPr>
                <w:sz w:val="18"/>
              </w:rPr>
              <w:t xml:space="preserve">Incomplete commercial coverage (60%)</w:t>
            </w:r>
          </w:p>
        </w:tc>
        <w:tc>
          <w:tcPr>
            <w:tcW w:w="3298"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jc w:val="left"/>
            </w:pPr>
            <w:r>
              <w:rPr>
                <w:sz w:val="18"/>
              </w:rPr>
              <w:t xml:space="preserve">Data lag of 12-18+ months</w:t>
            </w:r>
          </w:p>
        </w:tc>
        <w:tc>
          <w:tcPr>
            <w:tcW w:w="3298"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jc w:val="left"/>
            </w:pPr>
            <w:r>
              <w:rPr>
                <w:sz w:val="18"/>
              </w:rPr>
              <w:t xml:space="preserve">No behavioral health or SDOH data integration</w:t>
            </w:r>
          </w:p>
        </w:tc>
        <w:tc>
          <w:tcPr>
            <w:tcW w:w="3298"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tc>
          <w:tcPr>
            <w:tcW w:w="2474" w:type="dxa"/>
          </w:tcPr>
          <w:p>
            <w:pPr>
              <w:pStyle w:val="Compact"/>
              <w:jc w:val="left"/>
            </w:pPr>
            <w:r>
              <w:rPr>
                <w:sz w:val="18"/>
              </w:rPr>
              <w:t xml:space="preserve">Voluntary provider participation in HIE</w:t>
            </w:r>
          </w:p>
        </w:tc>
        <w:tc>
          <w:tcPr>
            <w:tcW w:w="3298" w:type="dxa"/>
          </w:tcPr>
          <w:p>
            <w:pPr>
              <w:pStyle w:val="Compact"/>
              <w:jc w:val="left"/>
            </w:pPr>
            <w:r>
              <w:rPr>
                <w:sz w:val="18"/>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jc w:val="left"/>
            </w:pPr>
            <w:r>
              <w:rPr>
                <w:sz w:val="18"/>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pPr>
            <w:r>
              <w:rPr>
                <w:b/>
                <w:color w:val="FFFFFF"/>
                <w:sz w:val="18"/>
              </w:rPr>
              <w:t xml:space="preserve">Layer</w:t>
            </w:r>
          </w:p>
        </w:tc>
        <w:tc>
          <w:tcPr>
            <w:shd w:val="clear" w:color="auto" w:fill="1B3A6B"/>
            <w:tcW w:w="4860" w:type="dxa"/>
          </w:tcPr>
          <w:p>
            <w:pPr>
              <w:pStyle w:val="Compact"/>
            </w:pPr>
            <w:r>
              <w:rPr>
                <w:b/>
                <w:color w:val="FFFFFF"/>
                <w:sz w:val="18"/>
              </w:rPr>
              <w:t xml:space="preserve">Components</w:t>
            </w:r>
          </w:p>
        </w:tc>
      </w:tr>
      <w:tr>
        <w:trPr/>
        <w:tc>
          <w:tcPr>
            <w:tcW w:w="4212"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486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4212"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486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4212"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486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4212"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486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tc>
          <w:tcPr>
            <w:tcW w:w="4212"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486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pPr>
      <w:r>
        <w:rPr>
          <w:color w:val="161B22"/>
        </w:rPr>
        <w:t xml:space="preserve">4.9  </w:t>
      </w:r>
      <w:bookmarkStart w:id="1138" w:name="_Toc1137"/>
      <w:r>
        <w:rPr>
          <w:b/>
          <w:bCs/>
          <w:color w:val="161B22"/>
        </w:rPr>
        <w:t xml:space="preserve">Work This Chapter on the Platform</w:t>
      </w:r>
      <w:bookmarkEnd w:id="1138"/>
    </w:p>
    <w:p>
      <w:pPr>
        <w:pStyle w:val="FirstParagraph"/>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pPr>
      <w:r>
        <w:rPr>
          <w:color w:val="161B22"/>
        </w:rPr>
        <w:t xml:space="preserve">5.6  </w:t>
      </w:r>
      <w:bookmarkStart w:id="1159" w:name="_Toc1158"/>
      <w:r>
        <w:rPr>
          <w:b/>
          <w:bCs/>
          <w:color w:val="161B22"/>
        </w:rPr>
        <w:t xml:space="preserve">Technology Pillar Implementation Matrix</w:t>
      </w:r>
      <w:bookmarkEnd w:id="1159"/>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pPr>
      <w:r>
        <w:rPr>
          <w:color w:val="161B22"/>
        </w:rPr>
        <w:t xml:space="preserve">5.7  </w:t>
      </w:r>
      <w:bookmarkStart w:id="1160" w:name="_Toc1159"/>
      <w:r>
        <w:rPr>
          <w:b/>
          <w:bCs/>
          <w:color w:val="161B22"/>
        </w:rPr>
        <w:t xml:space="preserve">Work This Chapter on the Platform</w:t>
      </w:r>
      <w:bookmarkEnd w:id="1160"/>
    </w:p>
    <w:p>
      <w:pPr>
        <w:pStyle w:val="FirstParagraph"/>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pPr>
      <w:r>
        <w:rPr>
          <w:rFonts w:ascii="Garamond" w:hAnsi="Garamond"/>
          <w:b w:val="0"/>
          <w:i w:val="0"/>
          <w:color w:val="333333"/>
          <w:sz w:val="19"/>
        </w:rPr>
        <w:t xml:space="preserve">— Maryland state regulator, quoted in JAMA Network Open study of the Maryland All-Payer Model</w:t>
      </w:r>
    </w:p>
    <w:p>
      <w:pPr>
        <w:pStyle w:val="Heading3"/>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pPr>
      <w:r>
        <w:rPr>
          <w:color w:val="161B22"/>
        </w:rPr>
        <w:t xml:space="preserve">6.5.3  </w:t>
      </w:r>
      <w:bookmarkStart w:id="1181" w:name="_Toc1180"/>
      <w:r>
        <w:rPr>
          <w:b/>
          <w:bCs/>
          <w:color w:val="161B22"/>
        </w:rPr>
        <w:t xml:space="preserve">The Results</w:t>
      </w:r>
      <w:bookmarkEnd w:id="1181"/>
    </w:p>
    <w:p>
      <w:pPr>
        <w:pStyle w:val="FirstParagraph"/>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pPr>
      <w:r>
        <w:rPr>
          <w:color w:val="161B22"/>
        </w:rPr>
        <w:t xml:space="preserve">6.7.1  </w:t>
      </w:r>
      <w:bookmarkStart w:id="1187" w:name="_Toc1186"/>
      <w:r>
        <w:rPr>
          <w:b/>
          <w:bCs/>
          <w:color w:val="161B22"/>
        </w:rPr>
        <w:t xml:space="preserve">The Oliver Wyman Projection Scenarios</w:t>
      </w:r>
      <w:bookmarkEnd w:id="1187"/>
    </w:p>
    <w:p>
      <w:pPr>
        <w:pStyle w:val="FirstParagraph"/>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pPr>
      <w:r>
        <w:rPr>
          <w:color w:val="161B22"/>
        </w:rPr>
        <w:t xml:space="preserve">6.9  </w:t>
      </w:r>
      <w:bookmarkStart w:id="1193" w:name="_Toc1192"/>
      <w:r>
        <w:rPr>
          <w:b/>
          <w:bCs/>
          <w:color w:val="161B22"/>
        </w:rPr>
        <w:t xml:space="preserve">Work This Chapter on the Platform</w:t>
      </w:r>
      <w:bookmarkEnd w:id="1193"/>
    </w:p>
    <w:p>
      <w:pPr>
        <w:pStyle w:val="FirstParagraph"/>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pPr>
      <w:r>
        <w:rPr>
          <w:color w:val="161B22"/>
        </w:rPr>
        <w:t xml:space="preserve">7.2.2  </w:t>
      </w:r>
      <w:bookmarkStart w:id="1200" w:name="_Toc1199"/>
      <w:r>
        <w:rPr>
          <w:b/>
          <w:bCs/>
          <w:color w:val="161B22"/>
        </w:rPr>
        <w:t xml:space="preserve">Historical Spending Baseline</w:t>
      </w:r>
      <w:bookmarkEnd w:id="1200"/>
    </w:p>
    <w:p>
      <w:pPr>
        <w:pStyle w:val="FirstParagraph"/>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pPr>
      <w:r>
        <w:rPr>
          <w:color w:val="161B22"/>
        </w:rPr>
        <w:t xml:space="preserve">7.2.3  </w:t>
      </w:r>
      <w:bookmarkStart w:id="1201" w:name="_Toc1200"/>
      <w:r>
        <w:rPr>
          <w:b/>
          <w:bCs/>
          <w:color w:val="161B22"/>
        </w:rPr>
        <w:t xml:space="preserve">Regional Benchmark</w:t>
      </w:r>
      <w:bookmarkEnd w:id="1201"/>
    </w:p>
    <w:p>
      <w:pPr>
        <w:pStyle w:val="FirstParagraph"/>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pPr>
      <w:r>
        <w:rPr>
          <w:color w:val="161B22"/>
        </w:rPr>
        <w:t xml:space="preserve">7.2.4  </w:t>
      </w:r>
      <w:bookmarkStart w:id="1202" w:name="_Toc1201"/>
      <w:r>
        <w:rPr>
          <w:b/>
          <w:bCs/>
          <w:color w:val="161B22"/>
        </w:rPr>
        <w:t xml:space="preserve">Prospective Benchmark</w:t>
      </w:r>
      <w:bookmarkEnd w:id="1202"/>
    </w:p>
    <w:p>
      <w:pPr>
        <w:pStyle w:val="FirstParagraph"/>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pPr>
      <w:r>
        <w:rPr>
          <w:color w:val="161B22"/>
        </w:rPr>
        <w:t xml:space="preserve">7.3  </w:t>
      </w:r>
      <w:bookmarkStart w:id="1206" w:name="_Toc1205"/>
      <w:r>
        <w:rPr>
          <w:b/>
          <w:bCs/>
          <w:color w:val="161B22"/>
        </w:rPr>
        <w:t xml:space="preserve">Economics Pillar Implementation Matrix</w:t>
      </w:r>
      <w:bookmarkEnd w:id="1206"/>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pPr>
      <w:r>
        <w:rPr>
          <w:color w:val="161B22"/>
        </w:rPr>
        <w:t xml:space="preserve">7.6.1  </w:t>
      </w:r>
      <w:bookmarkStart w:id="1213" w:name="_Toc1212"/>
      <w:r>
        <w:rPr>
          <w:b/>
          <w:bCs/>
          <w:color w:val="161B22"/>
        </w:rPr>
        <w:t xml:space="preserve">The Global Budget Financial Management Model</w:t>
      </w:r>
      <w:bookmarkEnd w:id="1213"/>
    </w:p>
    <w:p>
      <w:pPr>
        <w:pStyle w:val="FirstParagraph"/>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pPr>
      <w:r>
        <w:rPr>
          <w:color w:val="161B22"/>
        </w:rPr>
        <w:t xml:space="preserve">7.9  </w:t>
      </w:r>
      <w:bookmarkStart w:id="1218" w:name="_Toc1217"/>
      <w:r>
        <w:rPr>
          <w:b/>
          <w:bCs/>
          <w:color w:val="161B22"/>
        </w:rPr>
        <w:t xml:space="preserve">Work This Chapter on the Platform</w:t>
      </w:r>
      <w:bookmarkEnd w:id="1218"/>
    </w:p>
    <w:p>
      <w:pPr>
        <w:pStyle w:val="FirstParagraph"/>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8.8  </w:t>
      </w:r>
      <w:bookmarkStart w:id="1240" w:name="_Toc1239"/>
      <w:r>
        <w:rPr>
          <w:b/>
          <w:bCs/>
          <w:color w:val="161B22"/>
        </w:rPr>
        <w:t xml:space="preserve">Work This Chapter on the Platform</w:t>
      </w:r>
      <w:bookmarkEnd w:id="1240"/>
    </w:p>
    <w:p>
      <w:pPr>
        <w:pStyle w:val="FirstParagraph"/>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9.9  </w:t>
      </w:r>
      <w:bookmarkStart w:id="1262" w:name="_Toc1261"/>
      <w:r>
        <w:rPr>
          <w:b/>
          <w:bCs/>
          <w:color w:val="161B22"/>
        </w:rPr>
        <w:t xml:space="preserve">Clinical Pillar Implementation Matrix</w:t>
      </w:r>
      <w:bookmarkEnd w:id="1262"/>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pPr>
      <w:r>
        <w:rPr>
          <w:color w:val="161B22"/>
        </w:rPr>
        <w:t xml:space="preserve">9.10  </w:t>
      </w:r>
      <w:bookmarkStart w:id="1263" w:name="_Toc1262"/>
      <w:r>
        <w:rPr>
          <w:b/>
          <w:bCs/>
          <w:color w:val="161B22"/>
        </w:rPr>
        <w:t xml:space="preserve">Work This Chapter on the Platform</w:t>
      </w:r>
      <w:bookmarkEnd w:id="1263"/>
    </w:p>
    <w:p>
      <w:pPr>
        <w:pStyle w:val="FirstParagraph"/>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pPr>
      <w:r>
        <w:rPr>
          <w:color w:val="161B22"/>
        </w:rPr>
        <w:t xml:space="preserve">10.2.1  </w:t>
      </w:r>
      <w:bookmarkStart w:id="1269" w:name="_Toc1268"/>
      <w:r>
        <w:rPr>
          <w:b/>
          <w:bCs/>
          <w:color w:val="161B22"/>
        </w:rPr>
        <w:t xml:space="preserve">Geographic Equity: The Rural-Urban Divide</w:t>
      </w:r>
      <w:bookmarkEnd w:id="1269"/>
    </w:p>
    <w:p>
      <w:pPr>
        <w:pStyle w:val="FirstParagraph"/>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pPr>
      <w:r>
        <w:rPr>
          <w:color w:val="161B22"/>
        </w:rPr>
        <w:t xml:space="preserve">10.2.3  </w:t>
      </w:r>
      <w:bookmarkStart w:id="1271" w:name="_Toc1270"/>
      <w:r>
        <w:rPr>
          <w:b/>
          <w:bCs/>
          <w:color w:val="161B22"/>
        </w:rPr>
        <w:t xml:space="preserve">The SDOH Burden</w:t>
      </w:r>
      <w:bookmarkEnd w:id="1271"/>
    </w:p>
    <w:p>
      <w:pPr>
        <w:pStyle w:val="FirstParagraph"/>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pPr>
      <w:r>
        <w:rPr>
          <w:color w:val="161B22"/>
        </w:rPr>
        <w:t xml:space="preserve">10.9  </w:t>
      </w:r>
      <w:bookmarkStart w:id="1284" w:name="_Toc1283"/>
      <w:r>
        <w:rPr>
          <w:b/>
          <w:bCs/>
          <w:color w:val="161B22"/>
        </w:rPr>
        <w:t xml:space="preserve">Work This Chapter on the Platform</w:t>
      </w:r>
      <w:bookmarkEnd w:id="1284"/>
    </w:p>
    <w:p>
      <w:pPr>
        <w:pStyle w:val="FirstParagraph"/>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10.14  </w:t>
      </w:r>
      <w:bookmarkStart w:id="1290" w:name="_Toc1289"/>
      <w:r>
        <w:rPr>
          <w:b/>
          <w:bCs/>
          <w:color w:val="161B22"/>
        </w:rPr>
        <w:t xml:space="preserve">Equity Pillar Implementation Matrix</w:t>
      </w:r>
      <w:bookmarkEnd w:id="1290"/>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pPr>
    </w:p>
    <w:p>
      <w:pPr>
        <w:pStyle w:val="BodyText"/>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pPr>
      <w:r>
        <w:rPr>
          <w:color w:val="161B22"/>
        </w:rPr>
        <w:t xml:space="preserve">11.9  </w:t>
      </w:r>
      <w:bookmarkStart w:id="1325" w:name="_Toc1324"/>
      <w:r>
        <w:rPr>
          <w:b/>
          <w:bCs/>
          <w:color w:val="161B22"/>
        </w:rPr>
        <w:t xml:space="preserve">Work This Chapter on the Platform</w:t>
      </w:r>
      <w:bookmarkEnd w:id="1325"/>
    </w:p>
    <w:p>
      <w:pPr>
        <w:pStyle w:val="FirstParagraph"/>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Lines w:val="true"/>
        <w:keepNext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pPr>
      <w:r>
        <w:rPr>
          <w:color w:val="161B22"/>
        </w:rPr>
        <w:t xml:space="preserve">11.18  </w:t>
      </w:r>
      <w:bookmarkStart w:id="1345" w:name="_Toc1344"/>
      <w:r>
        <w:rPr>
          <w:b/>
          <w:bCs/>
          <w:color w:val="161B22"/>
        </w:rPr>
        <w:t xml:space="preserve">Operations Pillar Implementation Matrix</w:t>
      </w:r>
      <w:bookmarkEnd w:id="1345"/>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pPr>
      <w:r>
        <w:rPr>
          <w:color w:val="161B22"/>
        </w:rPr>
        <w:t xml:space="preserve">12.2.2  </w:t>
      </w:r>
      <w:bookmarkStart w:id="1352" w:name="_Toc1351"/>
      <w:r>
        <w:rPr>
          <w:b/>
          <w:bCs/>
          <w:color w:val="161B22"/>
        </w:rPr>
        <w:t xml:space="preserve">Four Components of the HTR Platform</w:t>
      </w:r>
      <w:bookmarkEnd w:id="1352"/>
    </w:p>
    <w:p>
      <w:pPr>
        <w:pStyle w:val="FirstParagraph"/>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jc w:val="left"/>
            </w:pPr>
            <w:r>
              <w:rPr>
                <w:b/>
                <w:color w:val="FFFFFF"/>
                <w:sz w:val="16"/>
              </w:rPr>
              <w:t xml:space="preserve">Kotter step</w:t>
            </w:r>
          </w:p>
        </w:tc>
        <w:tc>
          <w:tcPr>
            <w:shd w:val="clear" w:color="auto" w:fill="1B3A6B"/>
            <w:tcW w:w="2629" w:type="dxa"/>
          </w:tcPr>
          <w:p>
            <w:pPr>
              <w:pStyle w:val="Compact"/>
              <w:jc w:val="left"/>
            </w:pPr>
            <w:r>
              <w:rPr>
                <w:b/>
                <w:color w:val="FFFFFF"/>
                <w:sz w:val="16"/>
              </w:rPr>
              <w:t xml:space="preserve">Original formulation</w:t>
            </w:r>
          </w:p>
        </w:tc>
        <w:tc>
          <w:tcPr>
            <w:shd w:val="clear" w:color="auto" w:fill="1B3A6B"/>
            <w:tcW w:w="2629" w:type="dxa"/>
          </w:tcPr>
          <w:p>
            <w:pPr>
              <w:pStyle w:val="Compact"/>
              <w:jc w:val="left"/>
            </w:pPr>
            <w:r>
              <w:rPr>
                <w:b/>
                <w:color w:val="FFFFFF"/>
                <w:sz w:val="16"/>
              </w:rPr>
              <w:t xml:space="preserve">Healthcare adaptation</w:t>
            </w:r>
          </w:p>
        </w:tc>
        <w:tc>
          <w:tcPr>
            <w:shd w:val="clear" w:color="auto" w:fill="1B3A6B"/>
            <w:tcW w:w="2629" w:type="dxa"/>
          </w:tcPr>
          <w:p>
            <w:pPr>
              <w:pStyle w:val="Compact"/>
              <w:jc w:val="left"/>
            </w:pPr>
            <w:r>
              <w:rPr>
                <w:b/>
                <w:color w:val="FFFFFF"/>
                <w:sz w:val="16"/>
              </w:rPr>
              <w:t xml:space="preserve">Vermont application</w:t>
            </w:r>
          </w:p>
        </w:tc>
      </w:tr>
      <w:tr>
        <w:trPr/>
        <w:tc>
          <w:tcPr>
            <w:tcW w:w="1183" w:type="dxa"/>
          </w:tcPr>
          <w:p>
            <w:pPr>
              <w:pStyle w:val="Compact"/>
              <w:jc w:val="left"/>
            </w:pPr>
            <w:r>
              <w:rPr>
                <w:sz w:val="16"/>
              </w:rPr>
              <w:t xml:space="preserve">1. Create urgency</w:t>
            </w:r>
          </w:p>
        </w:tc>
        <w:tc>
          <w:tcPr>
            <w:tcW w:w="2629" w:type="dxa"/>
          </w:tcPr>
          <w:p>
            <w:pPr>
              <w:pStyle w:val="Compact"/>
              <w:jc w:val="left"/>
            </w:pPr>
            <w:r>
              <w:rPr>
                <w:sz w:val="16"/>
              </w:rPr>
              <w:t xml:space="preserve">Build a sense of urgency around why change is needed</w:t>
            </w:r>
          </w:p>
        </w:tc>
        <w:tc>
          <w:tcPr>
            <w:tcW w:w="2629" w:type="dxa"/>
          </w:tcPr>
          <w:p>
            <w:pPr>
              <w:pStyle w:val="Compact"/>
              <w:jc w:val="left"/>
            </w:pPr>
            <w:r>
              <w:rPr>
                <w:sz w:val="16"/>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jc w:val="left"/>
            </w:pPr>
            <w:r>
              <w:rPr>
                <w:sz w:val="16"/>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jc w:val="left"/>
            </w:pPr>
            <w:r>
              <w:rPr>
                <w:sz w:val="16"/>
              </w:rPr>
              <w:t xml:space="preserve">2. Form a guiding coalition</w:t>
            </w:r>
          </w:p>
        </w:tc>
        <w:tc>
          <w:tcPr>
            <w:tcW w:w="2629" w:type="dxa"/>
          </w:tcPr>
          <w:p>
            <w:pPr>
              <w:pStyle w:val="Compact"/>
              <w:jc w:val="left"/>
            </w:pPr>
            <w:r>
              <w:rPr>
                <w:sz w:val="16"/>
              </w:rPr>
              <w:t xml:space="preserve">Assemble a group with the power and commitment to lead change</w:t>
            </w:r>
          </w:p>
        </w:tc>
        <w:tc>
          <w:tcPr>
            <w:tcW w:w="2629" w:type="dxa"/>
          </w:tcPr>
          <w:p>
            <w:pPr>
              <w:pStyle w:val="Compact"/>
              <w:jc w:val="left"/>
            </w:pPr>
            <w:r>
              <w:rPr>
                <w:sz w:val="16"/>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jc w:val="left"/>
            </w:pPr>
            <w:r>
              <w:rPr>
                <w:sz w:val="16"/>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jc w:val="left"/>
            </w:pPr>
            <w:r>
              <w:rPr>
                <w:sz w:val="16"/>
              </w:rPr>
              <w:t xml:space="preserve">3. Develop a vision</w:t>
            </w:r>
          </w:p>
        </w:tc>
        <w:tc>
          <w:tcPr>
            <w:tcW w:w="2629" w:type="dxa"/>
          </w:tcPr>
          <w:p>
            <w:pPr>
              <w:pStyle w:val="Compact"/>
              <w:jc w:val="left"/>
            </w:pPr>
            <w:r>
              <w:rPr>
                <w:sz w:val="16"/>
              </w:rPr>
              <w:t xml:space="preserve">Create a clear vision of what the transformed organization looks like</w:t>
            </w:r>
          </w:p>
        </w:tc>
        <w:tc>
          <w:tcPr>
            <w:tcW w:w="2629" w:type="dxa"/>
          </w:tcPr>
          <w:p>
            <w:pPr>
              <w:pStyle w:val="Compact"/>
              <w:jc w:val="left"/>
            </w:pPr>
            <w:r>
              <w:rPr>
                <w:sz w:val="16"/>
              </w:rPr>
              <w:t xml:space="preserve">Vision must be specific enough to guide decisions and evaluate progress.</w:t>
            </w:r>
            <w:r>
              <w:rPr>
                <w:sz w:val="16"/>
              </w:rPr>
              <w:t xml:space="preserve"> </w:t>
            </w:r>
            <w:r>
              <w:rPr>
                <w:sz w:val="16"/>
              </w:rPr>
              <w:t xml:space="preserve">‘High-quality, affordable, equitable healthcare for all Vermonters’</w:t>
            </w:r>
            <w:r>
              <w:rPr>
                <w:sz w:val="16"/>
              </w:rPr>
              <w:t xml:space="preserve"> </w:t>
            </w:r>
            <w:r>
              <w:rPr>
                <w:sz w:val="16"/>
              </w:rPr>
              <w:t xml:space="preserve">is an aspiration; the 14-hospital tiered network with specific COE designations, PCMH penetration targets, and HEDIS performance goals is a vision.</w:t>
            </w:r>
          </w:p>
        </w:tc>
        <w:tc>
          <w:tcPr>
            <w:tcW w:w="2629" w:type="dxa"/>
          </w:tcPr>
          <w:p>
            <w:pPr>
              <w:pStyle w:val="Compact"/>
              <w:jc w:val="left"/>
            </w:pPr>
            <w:r>
              <w:rPr>
                <w:sz w:val="16"/>
              </w:rPr>
              <w:t xml:space="preserve">Vermont’s 2028 Statewide Strategic Plan is the vision document. The urgency is already created; the coalition is assembling; the vision is the December 2028 deadline.</w:t>
            </w:r>
          </w:p>
        </w:tc>
      </w:tr>
      <w:tr>
        <w:trPr/>
        <w:tc>
          <w:tcPr>
            <w:tcW w:w="1183" w:type="dxa"/>
          </w:tcPr>
          <w:p>
            <w:pPr>
              <w:pStyle w:val="Compact"/>
              <w:jc w:val="left"/>
            </w:pPr>
            <w:r>
              <w:rPr>
                <w:sz w:val="16"/>
              </w:rPr>
              <w:t xml:space="preserve">4. Communicate the vision</w:t>
            </w:r>
          </w:p>
        </w:tc>
        <w:tc>
          <w:tcPr>
            <w:tcW w:w="2629" w:type="dxa"/>
          </w:tcPr>
          <w:p>
            <w:pPr>
              <w:pStyle w:val="Compact"/>
              <w:jc w:val="left"/>
            </w:pPr>
            <w:r>
              <w:rPr>
                <w:sz w:val="16"/>
              </w:rPr>
              <w:t xml:space="preserve">Communicate the vision continuously through every available channel</w:t>
            </w:r>
          </w:p>
        </w:tc>
        <w:tc>
          <w:tcPr>
            <w:tcW w:w="2629" w:type="dxa"/>
          </w:tcPr>
          <w:p>
            <w:pPr>
              <w:pStyle w:val="Compact"/>
              <w:jc w:val="left"/>
            </w:pPr>
            <w:r>
              <w:rPr>
                <w:sz w:val="16"/>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jc w:val="left"/>
            </w:pPr>
            <w:r>
              <w:rPr>
                <w:sz w:val="16"/>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jc w:val="left"/>
            </w:pPr>
            <w:r>
              <w:rPr>
                <w:sz w:val="16"/>
              </w:rPr>
              <w:t xml:space="preserve">5. Remove obstacles</w:t>
            </w:r>
          </w:p>
        </w:tc>
        <w:tc>
          <w:tcPr>
            <w:tcW w:w="2629" w:type="dxa"/>
          </w:tcPr>
          <w:p>
            <w:pPr>
              <w:pStyle w:val="Compact"/>
              <w:jc w:val="left"/>
            </w:pPr>
            <w:r>
              <w:rPr>
                <w:sz w:val="16"/>
              </w:rPr>
              <w:t xml:space="preserve">Remove barriers to change that are within the coalition’s control</w:t>
            </w:r>
          </w:p>
        </w:tc>
        <w:tc>
          <w:tcPr>
            <w:tcW w:w="2629" w:type="dxa"/>
          </w:tcPr>
          <w:p>
            <w:pPr>
              <w:pStyle w:val="Compact"/>
              <w:jc w:val="left"/>
            </w:pPr>
            <w:r>
              <w:rPr>
                <w:sz w:val="16"/>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jc w:val="left"/>
            </w:pPr>
            <w:r>
              <w:rPr>
                <w:sz w:val="16"/>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jc w:val="left"/>
            </w:pPr>
            <w:r>
              <w:rPr>
                <w:sz w:val="16"/>
              </w:rPr>
              <w:t xml:space="preserve">6. Create short-term wins</w:t>
            </w:r>
          </w:p>
        </w:tc>
        <w:tc>
          <w:tcPr>
            <w:tcW w:w="2629" w:type="dxa"/>
          </w:tcPr>
          <w:p>
            <w:pPr>
              <w:pStyle w:val="Compact"/>
              <w:jc w:val="left"/>
            </w:pPr>
            <w:r>
              <w:rPr>
                <w:sz w:val="16"/>
              </w:rPr>
              <w:t xml:space="preserve">Plan for and achieve visible improvements early in the change process</w:t>
            </w:r>
          </w:p>
        </w:tc>
        <w:tc>
          <w:tcPr>
            <w:tcW w:w="2629" w:type="dxa"/>
          </w:tcPr>
          <w:p>
            <w:pPr>
              <w:pStyle w:val="Compact"/>
              <w:jc w:val="left"/>
            </w:pPr>
            <w:r>
              <w:rPr>
                <w:sz w:val="16"/>
              </w:rPr>
              <w:t xml:space="preserve">Short-term wins must be genuine, visible, and attributable to the transformation effort — not cherry-picked data or coincidental improvements.</w:t>
            </w:r>
          </w:p>
        </w:tc>
        <w:tc>
          <w:tcPr>
            <w:tcW w:w="2629" w:type="dxa"/>
          </w:tcPr>
          <w:p>
            <w:pPr>
              <w:pStyle w:val="Compact"/>
              <w:jc w:val="left"/>
            </w:pPr>
            <w:r>
              <w:rPr>
                <w:sz w:val="16"/>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jc w:val="left"/>
            </w:pPr>
            <w:r>
              <w:rPr>
                <w:sz w:val="16"/>
              </w:rPr>
              <w:t xml:space="preserve">7. Sustain acceleration</w:t>
            </w:r>
          </w:p>
        </w:tc>
        <w:tc>
          <w:tcPr>
            <w:tcW w:w="2629" w:type="dxa"/>
          </w:tcPr>
          <w:p>
            <w:pPr>
              <w:pStyle w:val="Compact"/>
              <w:jc w:val="left"/>
            </w:pPr>
            <w:r>
              <w:rPr>
                <w:sz w:val="16"/>
              </w:rPr>
              <w:t xml:space="preserve">Build on early wins to drive deeper change</w:t>
            </w:r>
          </w:p>
        </w:tc>
        <w:tc>
          <w:tcPr>
            <w:tcW w:w="2629" w:type="dxa"/>
          </w:tcPr>
          <w:p>
            <w:pPr>
              <w:pStyle w:val="Compact"/>
              <w:jc w:val="left"/>
            </w:pPr>
            <w:r>
              <w:rPr>
                <w:sz w:val="16"/>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jc w:val="left"/>
            </w:pPr>
            <w:r>
              <w:rPr>
                <w:sz w:val="16"/>
              </w:rPr>
              <w:t xml:space="preserve">Vermont’s reform cascade structure — each Act building on the previous — is the acceleration mechanism. The Political risk is disruption of the sequence; the institutional protection is the GMCB’s independent regulatory authority.</w:t>
            </w:r>
          </w:p>
        </w:tc>
      </w:tr>
      <w:tr>
        <w:trPr/>
        <w:tc>
          <w:tcPr>
            <w:tcW w:w="1183" w:type="dxa"/>
          </w:tcPr>
          <w:p>
            <w:pPr>
              <w:pStyle w:val="Compact"/>
              <w:jc w:val="left"/>
            </w:pPr>
            <w:r>
              <w:rPr>
                <w:sz w:val="16"/>
              </w:rPr>
              <w:t xml:space="preserve">8. Institute change</w:t>
            </w:r>
          </w:p>
        </w:tc>
        <w:tc>
          <w:tcPr>
            <w:tcW w:w="2629" w:type="dxa"/>
          </w:tcPr>
          <w:p>
            <w:pPr>
              <w:pStyle w:val="Compact"/>
              <w:jc w:val="left"/>
            </w:pPr>
            <w:r>
              <w:rPr>
                <w:sz w:val="16"/>
              </w:rPr>
              <w:t xml:space="preserve">Anchor changes in organizational culture and systems</w:t>
            </w:r>
          </w:p>
        </w:tc>
        <w:tc>
          <w:tcPr>
            <w:tcW w:w="2629" w:type="dxa"/>
          </w:tcPr>
          <w:p>
            <w:pPr>
              <w:pStyle w:val="Compact"/>
              <w:jc w:val="left"/>
            </w:pPr>
            <w:r>
              <w:rPr>
                <w:sz w:val="16"/>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jc w:val="left"/>
            </w:pPr>
            <w:r>
              <w:rPr>
                <w:sz w:val="16"/>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pPr>
      <w:r>
        <w:rPr>
          <w:color w:val="161B22"/>
        </w:rPr>
        <w:t xml:space="preserve">12.5  </w:t>
      </w:r>
      <w:bookmarkStart w:id="1362" w:name="_Toc1361"/>
      <w:r>
        <w:rPr>
          <w:b/>
          <w:bCs/>
          <w:color w:val="161B22"/>
        </w:rPr>
        <w:t xml:space="preserve">The HTR Implementation Toolkit</w:t>
      </w:r>
      <w:bookmarkEnd w:id="1362"/>
    </w:p>
    <w:p>
      <w:pPr>
        <w:pStyle w:val="FirstParagraph"/>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 in This Chapter</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pPr>
      <w:r>
        <w:rPr>
          <w:color w:val="161B22"/>
        </w:rPr>
        <w:t xml:space="preserve">14.6  </w:t>
      </w:r>
      <w:bookmarkStart w:id="1394" w:name="_Toc1393"/>
      <w:r>
        <w:rPr>
          <w:b/>
          <w:bCs/>
          <w:color w:val="161B22"/>
        </w:rPr>
        <w:t xml:space="preserve">Key Concepts in This Chapter</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15.3  </w:t>
      </w:r>
      <w:bookmarkStart w:id="1398" w:name="_Toc1397"/>
      <w:r>
        <w:rPr>
          <w:b/>
          <w:bCs/>
          <w:color w:val="161B22"/>
        </w:rPr>
        <w:t xml:space="preserve">Vermont’s Transformation Portfolio: 19 Components</w:t>
      </w:r>
      <w:bookmarkEnd w:id="1398"/>
    </w:p>
    <w:p>
      <w:pPr>
        <w:pStyle w:val="FirstParagraph"/>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pPr>
      <w:r>
        <w:rPr>
          <w:color w:val="161B22"/>
        </w:rPr>
        <w:t xml:space="preserve">15.5  </w:t>
      </w:r>
      <w:bookmarkStart w:id="1400" w:name="_Toc1399"/>
      <w:r>
        <w:rPr>
          <w:b/>
          <w:bCs/>
          <w:color w:val="161B22"/>
        </w:rPr>
        <w:t xml:space="preserve">Pillar-Level Project Managers: Six Roles, One Framework</w:t>
      </w:r>
      <w:bookmarkEnd w:id="1400"/>
    </w:p>
    <w:p>
      <w:pPr>
        <w:pStyle w:val="FirstParagraph"/>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pPr>
      <w:r>
        <w:rPr>
          <w:color w:val="161B22"/>
        </w:rPr>
        <w:t xml:space="preserve">15.10  </w:t>
      </w:r>
      <w:bookmarkStart w:id="1405" w:name="_Toc1404"/>
      <w:r>
        <w:rPr>
          <w:b/>
          <w:bCs/>
          <w:color w:val="161B22"/>
        </w:rPr>
        <w:t xml:space="preserve">The Business Case</w:t>
      </w:r>
      <w:bookmarkEnd w:id="1405"/>
    </w:p>
    <w:p>
      <w:pPr>
        <w:pStyle w:val="FirstParagraph"/>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pPr>
      <w:r>
        <w:rPr>
          <w:color w:val="161B22"/>
        </w:rPr>
        <w:t xml:space="preserve">15.13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pPr>
      <w:r>
        <w:rPr>
          <w:color w:val="161B22"/>
        </w:rPr>
        <w:t xml:space="preserve">16.6.1  </w:t>
      </w:r>
      <w:bookmarkStart w:id="1420" w:name="_Toc1419"/>
      <w:r>
        <w:rPr>
          <w:b/>
          <w:bCs/>
          <w:color w:val="161B22"/>
        </w:rPr>
        <w:t xml:space="preserve">The Central Commitment the Plan Must Make</w:t>
      </w:r>
      <w:bookmarkEnd w:id="1420"/>
    </w:p>
    <w:p>
      <w:pPr>
        <w:pStyle w:val="FirstParagraph"/>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pPr>
      <w:r>
        <w:rPr>
          <w:color w:val="161B22"/>
        </w:rPr>
        <w:t xml:space="preserve">16.8  </w:t>
      </w:r>
      <w:bookmarkStart w:id="1422" w:name="_Toc1421"/>
      <w:r>
        <w:rPr>
          <w:b/>
          <w:bCs/>
          <w:color w:val="161B22"/>
        </w:rPr>
        <w:t xml:space="preserve">Key Concepts in This Chapter</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 in This Chapter</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pPr>
      <w:r>
        <w:rPr>
          <w:color w:val="161B22"/>
        </w:rPr>
        <w:t xml:space="preserve">A.2  </w:t>
      </w:r>
      <w:bookmarkStart w:id="1435" w:name="_Toc1434"/>
      <w:r>
        <w:rPr>
          <w:b/>
          <w:bCs/>
          <w:color w:val="161B22"/>
        </w:rPr>
        <w:t xml:space="preserve">A.2 Demographics and Population Projections</w:t>
      </w:r>
      <w:bookmarkEnd w:id="1435"/>
    </w:p>
    <w:p>
      <w:pPr>
        <w:pStyle w:val="FirstParagraph"/>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pPr>
      <w:r>
        <w:rPr>
          <w:color w:val="161B22"/>
        </w:rPr>
        <w:t xml:space="preserve">A.5  </w:t>
      </w:r>
      <w:bookmarkStart w:id="1440" w:name="_Toc1439"/>
      <w:r>
        <w:rPr>
          <w:b/>
          <w:bCs/>
          <w:color w:val="161B22"/>
        </w:rPr>
        <w:t xml:space="preserve">A.5 The Transformation Plans: A System in Motion</w:t>
      </w:r>
      <w:bookmarkEnd w:id="1440"/>
    </w:p>
    <w:p>
      <w:pPr>
        <w:pStyle w:val="FirstParagraph"/>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pPr>
      <w:bookmarkStart w:id="1444" w:name="_Toc1443"/>
      <w:r>
        <w:rPr>
          <w:b/>
          <w:bCs/>
          <w:color w:val="161B22"/>
        </w:rPr>
        <w:t xml:space="preserve">Appendix B — Act 68 Statutory Timeline and Milestones</w:t>
      </w:r>
      <w:bookmarkEnd w:id="1444"/>
    </w:p>
    <w:p>
      <w:pPr>
        <w:pStyle w:val="FirstParagraph"/>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pPr>
      <w:r>
        <w:rPr>
          <w:color w:val="161B22"/>
        </w:rPr>
        <w:t xml:space="preserve">B.0.1  </w:t>
      </w:r>
      <w:bookmarkStart w:id="1445" w:name="_Toc1444"/>
      <w:r>
        <w:rPr>
          <w:b/>
          <w:bCs/>
          <w:color w:val="161B22"/>
        </w:rPr>
        <w:t xml:space="preserve">Policy-Pillar Implementation Matrix</w:t>
      </w:r>
      <w:bookmarkEnd w:id="1445"/>
    </w:p>
    <w:p>
      <w:pPr>
        <w:pStyle w:val="FirstParagraph"/>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pPr>
      <w:bookmarkStart w:id="1447" w:name="_Toc1446"/>
      <w:r>
        <w:rPr>
          <w:b/>
          <w:bCs/>
          <w:color w:val="161B22"/>
        </w:rPr>
        <w:t xml:space="preserve">Appendix D — AHEAD State Agreement: Key Terms and Provisions</w:t>
      </w:r>
      <w:bookmarkEnd w:id="1447"/>
    </w:p>
    <w:p>
      <w:pPr>
        <w:pStyle w:val="FirstParagraph"/>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pPr>
      <w:r>
        <w:rPr>
          <w:i/>
          <w:iCs/>
        </w:rPr>
        <w:t xml:space="preserve">Figure F.1 — Policy-pillar scorecard. Sources: Act 68 of 2025; Oliver Wyman Act 167 Report; CMS AHEAD documentation; Vermont RHT Program Application.</w:t>
      </w:r>
    </w:p>
    <w:p>
      <w:pPr>
        <w:pStyle w:val="Heading3"/>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pPr>
      <w:r>
        <w:rPr>
          <w:i/>
          <w:iCs/>
        </w:rPr>
        <w:t xml:space="preserve">Figure F.2 — Technology-pillar scorecard. Sources: GMCB VHCURES; VITL; Vermont DOH Health Equity Data Report (January 2025); Vermont RHT Application.</w:t>
      </w:r>
    </w:p>
    <w:p>
      <w:pPr>
        <w:pStyle w:val="Heading3"/>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pPr>
      <w:r>
        <w:rPr>
          <w:i/>
          <w:iCs/>
        </w:rPr>
        <w:t xml:space="preserve">Figure F.3 — Economics-pillar scorecard. Sources: Oliver Wyman Act 167 Report; AHS November 2025 Report; GMCB price-transparency data; CMS AHEAD.</w:t>
      </w:r>
    </w:p>
    <w:p>
      <w:pPr>
        <w:pStyle w:val="Heading3"/>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pPr>
      <w:r>
        <w:rPr>
          <w:i/>
          <w:iCs/>
        </w:rPr>
        <w:t xml:space="preserve">Figure F.4 — Clinical-pillar scorecard. Sources: Vermont Blueprint Annual Report 2024; Vermont AHS; GMCB quality reporting; Oliver Wyman workforce analysis.</w:t>
      </w:r>
    </w:p>
    <w:p>
      <w:pPr>
        <w:pStyle w:val="Heading3"/>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pPr>
      <w:r>
        <w:rPr>
          <w:i/>
          <w:iCs/>
        </w:rPr>
        <w:t xml:space="preserve">Figure F.5 — Equity-pillar scorecard. Sources: Vermont DOH Health Equity Data Report (January 2025); Act 68; GMCB equity reporting; HTR HEROI framework.</w:t>
      </w:r>
    </w:p>
    <w:p>
      <w:pPr>
        <w:pStyle w:val="Heading3"/>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pPr>
      <w:r>
        <w:rPr>
          <w:color w:val="161B22"/>
        </w:rPr>
        <w:t xml:space="preserve">G.3  </w:t>
      </w:r>
      <w:bookmarkStart w:id="1459" w:name="_Toc1458"/>
      <w:r>
        <w:rPr>
          <w:b/>
          <w:bCs/>
          <w:color w:val="161B22"/>
        </w:rPr>
        <w:t xml:space="preserve">The Six Pillars of Intelligence</w:t>
      </w:r>
      <w:bookmarkEnd w:id="1459"/>
    </w:p>
    <w:p>
      <w:pPr>
        <w:pStyle w:val="FirstParagraph"/>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jc w:val="left"/>
            </w:pPr>
            <w:r>
              <w:rPr>
                <w:b/>
                <w:color w:val="FFFFFF"/>
                <w:sz w:val="18"/>
              </w:rPr>
              <w:t xml:space="preserve">Term</w:t>
            </w:r>
          </w:p>
        </w:tc>
        <w:tc>
          <w:tcPr>
            <w:shd w:val="clear" w:color="auto" w:fill="1B3A6B"/>
            <w:tcW w:w="3653" w:type="dxa"/>
          </w:tcPr>
          <w:p>
            <w:pPr>
              <w:pStyle w:val="Compact"/>
              <w:jc w:val="left"/>
            </w:pPr>
            <w:r>
              <w:rPr>
                <w:b/>
                <w:color w:val="FFFFFF"/>
                <w:sz w:val="18"/>
              </w:rPr>
              <w:t xml:space="preserve">What it is</w:t>
            </w:r>
          </w:p>
        </w:tc>
        <w:tc>
          <w:tcPr>
            <w:shd w:val="clear" w:color="auto" w:fill="1B3A6B"/>
            <w:tcW w:w="3653" w:type="dxa"/>
          </w:tcPr>
          <w:p>
            <w:pPr>
              <w:pStyle w:val="Compact"/>
              <w:jc w:val="left"/>
            </w:pPr>
            <w:r>
              <w:rPr>
                <w:b/>
                <w:color w:val="FFFFFF"/>
                <w:sz w:val="18"/>
              </w:rPr>
              <w:t xml:space="preserve">Generic equivalent</w:t>
            </w:r>
          </w:p>
        </w:tc>
      </w:tr>
      <w:tr>
        <w:trPr/>
        <w:tc>
          <w:tcPr>
            <w:tcW w:w="1765" w:type="dxa"/>
          </w:tcPr>
          <w:p>
            <w:pPr>
              <w:pStyle w:val="Compact"/>
              <w:jc w:val="left"/>
            </w:pPr>
            <w:r>
              <w:rPr>
                <w:b/>
                <w:bCs/>
                <w:sz w:val="18"/>
              </w:rPr>
              <w:t xml:space="preserve">AHS</w:t>
            </w:r>
          </w:p>
        </w:tc>
        <w:tc>
          <w:tcPr>
            <w:tcW w:w="3653" w:type="dxa"/>
          </w:tcPr>
          <w:p>
            <w:pPr>
              <w:pStyle w:val="Compact"/>
              <w:jc w:val="left"/>
            </w:pPr>
            <w:r>
              <w:rPr>
                <w:sz w:val="18"/>
              </w:rPr>
              <w:t xml:space="preserve">Vermont Agency of Human Services — the umbrella state agency now responsible for statewide healthcare transformation planning under Act 68.</w:t>
            </w:r>
          </w:p>
        </w:tc>
        <w:tc>
          <w:tcPr>
            <w:tcW w:w="3653" w:type="dxa"/>
          </w:tcPr>
          <w:p>
            <w:pPr>
              <w:pStyle w:val="Compact"/>
              <w:jc w:val="left"/>
            </w:pPr>
            <w:r>
              <w:rPr>
                <w:sz w:val="18"/>
              </w:rPr>
              <w:t xml:space="preserve">Your state’s health and human services department, or whichever agency holds the AHEAD/CMMI agreement.</w:t>
            </w:r>
          </w:p>
        </w:tc>
      </w:tr>
      <w:tr>
        <w:trPr/>
        <w:tc>
          <w:tcPr>
            <w:tcW w:w="1765" w:type="dxa"/>
          </w:tcPr>
          <w:p>
            <w:pPr>
              <w:pStyle w:val="Compact"/>
              <w:jc w:val="left"/>
            </w:pPr>
            <w:r>
              <w:rPr>
                <w:b/>
                <w:bCs/>
                <w:sz w:val="18"/>
              </w:rPr>
              <w:t xml:space="preserve">GMCB</w:t>
            </w:r>
          </w:p>
        </w:tc>
        <w:tc>
          <w:tcPr>
            <w:tcW w:w="3653" w:type="dxa"/>
          </w:tcPr>
          <w:p>
            <w:pPr>
              <w:pStyle w:val="Compact"/>
              <w:jc w:val="left"/>
            </w:pPr>
            <w:r>
              <w:rPr>
                <w:sz w:val="18"/>
              </w:rPr>
              <w:t xml:space="preserve">Green Mountain Care Board — Vermont’s independent hospital rate-setting and cost-growth-benchmark regulator.</w:t>
            </w:r>
          </w:p>
        </w:tc>
        <w:tc>
          <w:tcPr>
            <w:tcW w:w="3653" w:type="dxa"/>
          </w:tcPr>
          <w:p>
            <w:pPr>
              <w:pStyle w:val="Compact"/>
              <w:jc w:val="left"/>
            </w:pPr>
            <w:r>
              <w:rPr>
                <w:sz w:val="18"/>
              </w:rPr>
              <w:t xml:space="preserve">A hospital rate-review board or cost-growth-benchmark commission (e.g., Massachusetts HPC, Rhode Island OHIC, Connecticut OHS).</w:t>
            </w:r>
          </w:p>
        </w:tc>
      </w:tr>
      <w:tr>
        <w:trPr/>
        <w:tc>
          <w:tcPr>
            <w:tcW w:w="1765" w:type="dxa"/>
          </w:tcPr>
          <w:p>
            <w:pPr>
              <w:pStyle w:val="Compact"/>
              <w:jc w:val="left"/>
            </w:pPr>
            <w:r>
              <w:rPr>
                <w:b/>
                <w:bCs/>
                <w:sz w:val="18"/>
              </w:rPr>
              <w:t xml:space="preserve">VHCURES</w:t>
            </w:r>
          </w:p>
        </w:tc>
        <w:tc>
          <w:tcPr>
            <w:tcW w:w="3653" w:type="dxa"/>
          </w:tcPr>
          <w:p>
            <w:pPr>
              <w:pStyle w:val="Compact"/>
              <w:jc w:val="left"/>
            </w:pPr>
            <w:r>
              <w:rPr>
                <w:sz w:val="18"/>
              </w:rPr>
              <w:t xml:space="preserve">Vermont’s all-payer claims database (APCD).</w:t>
            </w:r>
          </w:p>
        </w:tc>
        <w:tc>
          <w:tcPr>
            <w:tcW w:w="3653" w:type="dxa"/>
          </w:tcPr>
          <w:p>
            <w:pPr>
              <w:pStyle w:val="Compact"/>
              <w:jc w:val="left"/>
            </w:pPr>
            <w:r>
              <w:rPr>
                <w:sz w:val="18"/>
              </w:rPr>
              <w:t xml:space="preserve">Your state’s APCD, if one exists; roughly 20 states have one.</w:t>
            </w:r>
          </w:p>
        </w:tc>
      </w:tr>
      <w:tr>
        <w:trPr/>
        <w:tc>
          <w:tcPr>
            <w:tcW w:w="1765" w:type="dxa"/>
          </w:tcPr>
          <w:p>
            <w:pPr>
              <w:pStyle w:val="Compact"/>
              <w:jc w:val="left"/>
            </w:pPr>
            <w:r>
              <w:rPr>
                <w:b/>
                <w:bCs/>
                <w:sz w:val="18"/>
              </w:rPr>
              <w:t xml:space="preserve">VITL</w:t>
            </w:r>
          </w:p>
        </w:tc>
        <w:tc>
          <w:tcPr>
            <w:tcW w:w="3653" w:type="dxa"/>
          </w:tcPr>
          <w:p>
            <w:pPr>
              <w:pStyle w:val="Compact"/>
              <w:jc w:val="left"/>
            </w:pPr>
            <w:r>
              <w:rPr>
                <w:sz w:val="18"/>
              </w:rPr>
              <w:t xml:space="preserve">Vermont Information Technology Leaders — operator of Vermont’s health information exchange.</w:t>
            </w:r>
          </w:p>
        </w:tc>
        <w:tc>
          <w:tcPr>
            <w:tcW w:w="3653" w:type="dxa"/>
          </w:tcPr>
          <w:p>
            <w:pPr>
              <w:pStyle w:val="Compact"/>
              <w:jc w:val="left"/>
            </w:pPr>
            <w:r>
              <w:rPr>
                <w:sz w:val="18"/>
              </w:rPr>
              <w:t xml:space="preserve">Your state’s designated HIE entity.</w:t>
            </w:r>
          </w:p>
        </w:tc>
      </w:tr>
      <w:tr>
        <w:trPr/>
        <w:tc>
          <w:tcPr>
            <w:tcW w:w="1765" w:type="dxa"/>
          </w:tcPr>
          <w:p>
            <w:pPr>
              <w:pStyle w:val="Compact"/>
              <w:jc w:val="left"/>
            </w:pPr>
            <w:r>
              <w:rPr>
                <w:b/>
                <w:bCs/>
                <w:sz w:val="18"/>
              </w:rPr>
              <w:t xml:space="preserve">OneCare (Vermont)</w:t>
            </w:r>
          </w:p>
        </w:tc>
        <w:tc>
          <w:tcPr>
            <w:tcW w:w="3653" w:type="dxa"/>
          </w:tcPr>
          <w:p>
            <w:pPr>
              <w:pStyle w:val="Compact"/>
              <w:jc w:val="left"/>
            </w:pPr>
            <w:r>
              <w:rPr>
                <w:sz w:val="18"/>
              </w:rPr>
              <w:t xml:space="preserve">Vermont’s primary ACO under the All-Payer ACO Model (2017–2025), now wound down.</w:t>
            </w:r>
          </w:p>
        </w:tc>
        <w:tc>
          <w:tcPr>
            <w:tcW w:w="3653" w:type="dxa"/>
          </w:tcPr>
          <w:p>
            <w:pPr>
              <w:pStyle w:val="Compact"/>
              <w:jc w:val="left"/>
            </w:pPr>
            <w:r>
              <w:rPr>
                <w:sz w:val="18"/>
              </w:rPr>
              <w:t xml:space="preserve">Any Medicaid ACO, MSSP ACO, or comparable total-cost-of-care entity in your state.</w:t>
            </w:r>
          </w:p>
        </w:tc>
      </w:tr>
      <w:tr>
        <w:trPr/>
        <w:tc>
          <w:tcPr>
            <w:tcW w:w="1765" w:type="dxa"/>
          </w:tcPr>
          <w:p>
            <w:pPr>
              <w:pStyle w:val="Compact"/>
              <w:jc w:val="left"/>
            </w:pPr>
            <w:r>
              <w:rPr>
                <w:b/>
                <w:bCs/>
                <w:sz w:val="18"/>
              </w:rPr>
              <w:t xml:space="preserve">AHEAD Model</w:t>
            </w:r>
          </w:p>
        </w:tc>
        <w:tc>
          <w:tcPr>
            <w:tcW w:w="3653" w:type="dxa"/>
          </w:tcPr>
          <w:p>
            <w:pPr>
              <w:pStyle w:val="Compact"/>
              <w:jc w:val="left"/>
            </w:pPr>
            <w:r>
              <w:rPr>
                <w:sz w:val="18"/>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jc w:val="left"/>
            </w:pPr>
            <w:r>
              <w:rPr>
                <w:sz w:val="18"/>
              </w:rPr>
              <w:t xml:space="preserve">Check whether your state has applied to or operates under AHEAD; if not, the generic equivalent is a CMMI state total-cost-of-care model or 1115 waiver.</w:t>
            </w:r>
          </w:p>
        </w:tc>
      </w:tr>
      <w:tr>
        <w:trPr/>
        <w:tc>
          <w:tcPr>
            <w:tcW w:w="1765" w:type="dxa"/>
          </w:tcPr>
          <w:p>
            <w:pPr>
              <w:pStyle w:val="Compact"/>
              <w:jc w:val="left"/>
            </w:pPr>
            <w:r>
              <w:rPr>
                <w:b/>
                <w:bCs/>
                <w:sz w:val="18"/>
              </w:rPr>
              <w:t xml:space="preserve">Act 167 (2022)</w:t>
            </w:r>
          </w:p>
        </w:tc>
        <w:tc>
          <w:tcPr>
            <w:tcW w:w="3653" w:type="dxa"/>
          </w:tcPr>
          <w:p>
            <w:pPr>
              <w:pStyle w:val="Compact"/>
              <w:jc w:val="left"/>
            </w:pPr>
            <w:r>
              <w:rPr>
                <w:sz w:val="18"/>
              </w:rPr>
              <w:t xml:space="preserve">Vermont’s diagnostic mandate — commissioned the Oliver Wyman system-wide financial analysis.</w:t>
            </w:r>
          </w:p>
        </w:tc>
        <w:tc>
          <w:tcPr>
            <w:tcW w:w="3653" w:type="dxa"/>
          </w:tcPr>
          <w:p>
            <w:pPr>
              <w:pStyle w:val="Compact"/>
              <w:jc w:val="left"/>
            </w:pPr>
            <w:r>
              <w:rPr>
                <w:sz w:val="18"/>
              </w:rPr>
              <w:t xml:space="preserve">A legislatively mandated independent system assessment or consultant study.</w:t>
            </w:r>
          </w:p>
        </w:tc>
      </w:tr>
      <w:tr>
        <w:trPr/>
        <w:tc>
          <w:tcPr>
            <w:tcW w:w="1765" w:type="dxa"/>
          </w:tcPr>
          <w:p>
            <w:pPr>
              <w:pStyle w:val="Compact"/>
              <w:jc w:val="left"/>
            </w:pPr>
            <w:r>
              <w:rPr>
                <w:b/>
                <w:bCs/>
                <w:sz w:val="18"/>
              </w:rPr>
              <w:t xml:space="preserve">Act 51 (2023)</w:t>
            </w:r>
          </w:p>
        </w:tc>
        <w:tc>
          <w:tcPr>
            <w:tcW w:w="3653" w:type="dxa"/>
          </w:tcPr>
          <w:p>
            <w:pPr>
              <w:pStyle w:val="Compact"/>
              <w:jc w:val="left"/>
            </w:pPr>
            <w:r>
              <w:rPr>
                <w:sz w:val="18"/>
              </w:rPr>
              <w:t xml:space="preserve">Defined the six-pillar transformation architecture and the AHS restructuring mandate.</w:t>
            </w:r>
          </w:p>
        </w:tc>
        <w:tc>
          <w:tcPr>
            <w:tcW w:w="3653" w:type="dxa"/>
          </w:tcPr>
          <w:p>
            <w:pPr>
              <w:pStyle w:val="Compact"/>
              <w:jc w:val="left"/>
            </w:pPr>
            <w:r>
              <w:rPr>
                <w:sz w:val="18"/>
              </w:rPr>
              <w:t xml:space="preserve">A reform-framework-establishing statute.</w:t>
            </w:r>
          </w:p>
        </w:tc>
      </w:tr>
      <w:tr>
        <w:trPr/>
        <w:tc>
          <w:tcPr>
            <w:tcW w:w="1765" w:type="dxa"/>
          </w:tcPr>
          <w:p>
            <w:pPr>
              <w:pStyle w:val="Compact"/>
              <w:jc w:val="left"/>
            </w:pPr>
            <w:r>
              <w:rPr>
                <w:b/>
                <w:bCs/>
                <w:sz w:val="18"/>
              </w:rPr>
              <w:t xml:space="preserve">Act 68 (2025)</w:t>
            </w:r>
          </w:p>
        </w:tc>
        <w:tc>
          <w:tcPr>
            <w:tcW w:w="3653" w:type="dxa"/>
          </w:tcPr>
          <w:p>
            <w:pPr>
              <w:pStyle w:val="Compact"/>
              <w:jc w:val="left"/>
            </w:pPr>
            <w:r>
              <w:rPr>
                <w:sz w:val="18"/>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jc w:val="left"/>
            </w:pPr>
            <w:r>
              <w:rPr>
                <w:sz w:val="18"/>
              </w:rPr>
              <w:t xml:space="preserve">A binding cost-control or payment-reform statute with statutory deadlines and enforcement authority.</w:t>
            </w:r>
          </w:p>
        </w:tc>
      </w:tr>
      <w:tr>
        <w:trPr/>
        <w:tc>
          <w:tcPr>
            <w:tcW w:w="1765" w:type="dxa"/>
          </w:tcPr>
          <w:p>
            <w:pPr>
              <w:pStyle w:val="Compact"/>
              <w:jc w:val="left"/>
            </w:pPr>
            <w:r>
              <w:rPr>
                <w:b/>
                <w:bCs/>
                <w:sz w:val="18"/>
              </w:rPr>
              <w:t xml:space="preserve">RBP (Reference-Based Pricing)</w:t>
            </w:r>
          </w:p>
        </w:tc>
        <w:tc>
          <w:tcPr>
            <w:tcW w:w="3653" w:type="dxa"/>
          </w:tcPr>
          <w:p>
            <w:pPr>
              <w:pStyle w:val="Compact"/>
              <w:jc w:val="left"/>
            </w:pPr>
            <w:r>
              <w:rPr>
                <w:sz w:val="18"/>
              </w:rPr>
              <w:t xml:space="preserve">Capping what hospitals may accept as payment in full, expressed as a percentage of Medicare rates.</w:t>
            </w:r>
          </w:p>
        </w:tc>
        <w:tc>
          <w:tcPr>
            <w:tcW w:w="3653" w:type="dxa"/>
          </w:tcPr>
          <w:p>
            <w:pPr>
              <w:pStyle w:val="Compact"/>
              <w:jc w:val="left"/>
            </w:pPr>
            <w:r>
              <w:rPr>
                <w:sz w:val="18"/>
              </w:rPr>
              <w:t xml:space="preserve">Same term used nationally; Oregon, Montana, Washington, and Maryland have prior or analogous programs.</w:t>
            </w:r>
          </w:p>
        </w:tc>
      </w:tr>
      <w:tr>
        <w:trPr/>
        <w:tc>
          <w:tcPr>
            <w:tcW w:w="1765" w:type="dxa"/>
          </w:tcPr>
          <w:p>
            <w:pPr>
              <w:pStyle w:val="Compact"/>
              <w:jc w:val="left"/>
            </w:pPr>
            <w:r>
              <w:rPr>
                <w:b/>
                <w:bCs/>
                <w:sz w:val="18"/>
              </w:rPr>
              <w:t xml:space="preserve">CCBHC</w:t>
            </w:r>
          </w:p>
        </w:tc>
        <w:tc>
          <w:tcPr>
            <w:tcW w:w="3653" w:type="dxa"/>
          </w:tcPr>
          <w:p>
            <w:pPr>
              <w:pStyle w:val="Compact"/>
              <w:jc w:val="left"/>
            </w:pPr>
            <w:r>
              <w:rPr>
                <w:sz w:val="18"/>
              </w:rPr>
              <w:t xml:space="preserve">Certified Community Behavioral Health Clinic — a federal model for integrated behavioral health and primary care.</w:t>
            </w:r>
          </w:p>
        </w:tc>
        <w:tc>
          <w:tcPr>
            <w:tcW w:w="3653" w:type="dxa"/>
          </w:tcPr>
          <w:p>
            <w:pPr>
              <w:pStyle w:val="Compact"/>
              <w:jc w:val="left"/>
            </w:pPr>
            <w:r>
              <w:rPr>
                <w:sz w:val="18"/>
              </w:rPr>
              <w:t xml:space="preserve">National model; check your state’s CCBHC participation under SAMHSA.</w:t>
            </w:r>
          </w:p>
        </w:tc>
      </w:tr>
      <w:tr>
        <w:trPr/>
        <w:tc>
          <w:tcPr>
            <w:tcW w:w="1765" w:type="dxa"/>
          </w:tcPr>
          <w:p>
            <w:pPr>
              <w:pStyle w:val="Compact"/>
              <w:jc w:val="left"/>
            </w:pPr>
            <w:r>
              <w:rPr>
                <w:b/>
                <w:bCs/>
                <w:sz w:val="18"/>
              </w:rPr>
              <w:t xml:space="preserve">RHRC</w:t>
            </w:r>
          </w:p>
        </w:tc>
        <w:tc>
          <w:tcPr>
            <w:tcW w:w="3653" w:type="dxa"/>
          </w:tcPr>
          <w:p>
            <w:pPr>
              <w:pStyle w:val="Compact"/>
              <w:jc w:val="left"/>
            </w:pPr>
            <w:r>
              <w:rPr>
                <w:sz w:val="18"/>
              </w:rPr>
              <w:t xml:space="preserve">Rural Health Redesign Center — provides the technical-assistance methodology referenced for Vermont’s rural hospital transformation.</w:t>
            </w:r>
          </w:p>
        </w:tc>
        <w:tc>
          <w:tcPr>
            <w:tcW w:w="3653" w:type="dxa"/>
          </w:tcPr>
          <w:p>
            <w:pPr>
              <w:pStyle w:val="Compact"/>
              <w:jc w:val="left"/>
            </w:pPr>
            <w:r>
              <w:rPr>
                <w:sz w:val="18"/>
              </w:rPr>
              <w:t xml:space="preserve">National technical-assistance provider, not Vermont-specific.</w:t>
            </w:r>
          </w:p>
        </w:tc>
      </w:tr>
      <w:tr>
        <w:trPr/>
        <w:tc>
          <w:tcPr>
            <w:tcW w:w="1765" w:type="dxa"/>
          </w:tcPr>
          <w:p>
            <w:pPr>
              <w:pStyle w:val="Compact"/>
              <w:jc w:val="left"/>
            </w:pPr>
            <w:r>
              <w:rPr>
                <w:b/>
                <w:bCs/>
                <w:sz w:val="18"/>
              </w:rPr>
              <w:t xml:space="preserve">RHT Program</w:t>
            </w:r>
          </w:p>
        </w:tc>
        <w:tc>
          <w:tcPr>
            <w:tcW w:w="3653" w:type="dxa"/>
          </w:tcPr>
          <w:p>
            <w:pPr>
              <w:pStyle w:val="Compact"/>
              <w:jc w:val="left"/>
            </w:pPr>
            <w:r>
              <w:rPr>
                <w:sz w:val="18"/>
              </w:rPr>
              <w:t xml:space="preserve">Rural Health Transformation Program — the federal capital program from which Vermont received a $195M, five-year award.</w:t>
            </w:r>
          </w:p>
        </w:tc>
        <w:tc>
          <w:tcPr>
            <w:tcW w:w="3653" w:type="dxa"/>
          </w:tcPr>
          <w:p>
            <w:pPr>
              <w:pStyle w:val="Compact"/>
              <w:jc w:val="left"/>
            </w:pPr>
            <w:r>
              <w:rPr>
                <w:sz w:val="18"/>
              </w:rPr>
              <w:t xml:space="preserve">Every state was eligible; check your state’s RHT award and use-of-funds plan.</w:t>
            </w:r>
          </w:p>
        </w:tc>
      </w:tr>
      <w:tr>
        <w:trPr/>
        <w:tc>
          <w:tcPr>
            <w:tcW w:w="1765" w:type="dxa"/>
          </w:tcPr>
          <w:p>
            <w:pPr>
              <w:pStyle w:val="Compact"/>
              <w:jc w:val="left"/>
            </w:pPr>
            <w:r>
              <w:rPr>
                <w:b/>
                <w:bCs/>
                <w:sz w:val="18"/>
              </w:rPr>
              <w:t xml:space="preserve">HSA</w:t>
            </w:r>
          </w:p>
        </w:tc>
        <w:tc>
          <w:tcPr>
            <w:tcW w:w="3653" w:type="dxa"/>
          </w:tcPr>
          <w:p>
            <w:pPr>
              <w:pStyle w:val="Compact"/>
              <w:jc w:val="left"/>
            </w:pPr>
            <w:r>
              <w:rPr>
                <w:sz w:val="18"/>
              </w:rPr>
              <w:t xml:space="preserve">Hospital Service Area — Vermont’s 14 sub-state geographic planning units.</w:t>
            </w:r>
          </w:p>
        </w:tc>
        <w:tc>
          <w:tcPr>
            <w:tcW w:w="3653" w:type="dxa"/>
          </w:tcPr>
          <w:p>
            <w:pPr>
              <w:pStyle w:val="Compact"/>
              <w:jc w:val="left"/>
            </w:pPr>
            <w:r>
              <w:rPr>
                <w:sz w:val="18"/>
              </w:rPr>
              <w:t xml:space="preserve">Your state’s hospital referral region or service-area equivalent.</w:t>
            </w:r>
          </w:p>
        </w:tc>
      </w:tr>
      <w:tr>
        <w:trPr/>
        <w:tc>
          <w:tcPr>
            <w:tcW w:w="1765" w:type="dxa"/>
          </w:tcPr>
          <w:p>
            <w:pPr>
              <w:pStyle w:val="Compact"/>
              <w:jc w:val="left"/>
            </w:pPr>
            <w:r>
              <w:rPr>
                <w:b/>
                <w:bCs/>
                <w:sz w:val="18"/>
              </w:rPr>
              <w:t xml:space="preserve">Northeast Kingdom</w:t>
            </w:r>
          </w:p>
        </w:tc>
        <w:tc>
          <w:tcPr>
            <w:tcW w:w="3653" w:type="dxa"/>
          </w:tcPr>
          <w:p>
            <w:pPr>
              <w:pStyle w:val="Compact"/>
              <w:jc w:val="left"/>
            </w:pPr>
            <w:r>
              <w:rPr>
                <w:sz w:val="18"/>
              </w:rPr>
              <w:t xml:space="preserve">Vermont’s three northeasternmost counties (Caledonia, Essex, Orleans) — the state’s most severe rural access and equity challenge.</w:t>
            </w:r>
          </w:p>
        </w:tc>
        <w:tc>
          <w:tcPr>
            <w:tcW w:w="3653" w:type="dxa"/>
          </w:tcPr>
          <w:p>
            <w:pPr>
              <w:pStyle w:val="Compact"/>
              <w:jc w:val="left"/>
            </w:pPr>
            <w:r>
              <w:rPr>
                <w:sz w:val="18"/>
              </w:rPr>
              <w:t xml:space="preserve">The equivalent hardest-to-serve rural region in your state.</w:t>
            </w:r>
          </w:p>
        </w:tc>
      </w:tr>
    </w:tbl>
    <w:p>
      <w:pPr>
        <w:pStyle w:val="Heading2"/>
        <w:pBdr>
          <w:top w:val="single" w:sz="6" w:space="10" w:color="C9D2DF"/>
        </w:pBdr>
      </w:pPr>
      <w:r>
        <w:rPr>
          <w:color w:val="161B22"/>
        </w:rPr>
        <w:t xml:space="preserve">H.2  </w:t>
      </w:r>
      <w:bookmarkStart w:id="1467" w:name="_Toc1466"/>
      <w:r>
        <w:rPr>
          <w:b/>
          <w:bCs/>
          <w:color w:val="161B22"/>
        </w:rPr>
        <w:t xml:space="preserve">H.2 Worksheet — Adapt This Framework to Your State</w:t>
      </w:r>
      <w:bookmarkEnd w:id="1467"/>
    </w:p>
    <w:p>
      <w:pPr>
        <w:pStyle w:val="FirstParagraph"/>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pPr>
      <w:r>
        <w:rPr>
          <w:color w:val="161B22"/>
        </w:rPr>
        <w:t xml:space="preserve">H.3.1  </w:t>
      </w:r>
      <w:bookmarkStart w:id="1469" w:name="_Toc1468"/>
      <w:r>
        <w:rPr>
          <w:b/>
          <w:bCs/>
          <w:color w:val="161B22"/>
        </w:rPr>
        <w:t xml:space="preserve">What bridges exist</w:t>
      </w:r>
      <w:bookmarkEnd w:id="1469"/>
    </w:p>
    <w:p>
      <w:pPr>
        <w:pStyle w:val="FirstParagraph"/>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pPr>
      <w:r>
        <w:rPr>
          <w:color w:val="161B22"/>
        </w:rPr>
        <w:t xml:space="preserve">H.5.2  </w:t>
      </w:r>
      <w:bookmarkStart w:id="1474" w:name="_Toc1473"/>
      <w:r>
        <w:rPr>
          <w:b/>
          <w:bCs/>
          <w:color w:val="161B22"/>
        </w:rPr>
        <w:t xml:space="preserve">The test case: GMCB v. UVMMC</w:t>
      </w:r>
      <w:bookmarkEnd w:id="1474"/>
    </w:p>
    <w:p>
      <w:pPr>
        <w:pStyle w:val="FirstParagraph"/>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2026-07-28T14:45:06Z</dcterms:created>
  <dcterms:modified xsi:type="dcterms:W3CDTF">2026-07-28T14:45:06Z</dcterms:modified>
</cp:coreProperties>
</file>

<file path=docProps/custom.xml><?xml version="1.0" encoding="utf-8"?>
<Properties xmlns="http://schemas.openxmlformats.org/officeDocument/2006/custom-properties" xmlns:vt="http://schemas.openxmlformats.org/officeDocument/2006/docPropsVTypes"/>
</file>