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Tier 2 (COE designations TBD);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