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autofit"/>
      </w:tblPr>
      <w:tblGrid>
        <w:gridCol w:w="608"/>
        <w:gridCol w:w="1156"/>
        <w:gridCol w:w="3653"/>
        <w:gridCol w:w="3653"/>
      </w:tblGrid>
      <w:tr>
        <w:trPr>
          <w:tblHeader w:val="on"/>
          <w:cantSplit/>
        </w:trPr>
        <w:tc>
          <w:tcPr>
            <w:shd w:val="clear" w:color="auto" w:fill="1B3A6B"/>
            <w:tcW w:w="608" w:type="dxa"/>
          </w:tcPr>
          <w:p>
            <w:pPr>
              <w:pStyle w:val="Compact"/>
              <w:jc w:val="left"/>
            </w:pPr>
            <w:r>
              <w:rPr>
                <w:b/>
                <w:color w:val="FFFFFF"/>
                <w:sz w:val="18"/>
              </w:rPr>
              <w:t xml:space="preserve">Pillar</w:t>
            </w:r>
          </w:p>
        </w:tc>
        <w:tc>
          <w:tcPr>
            <w:shd w:val="clear" w:color="auto" w:fill="1B3A6B"/>
            <w:tcW w:w="1156" w:type="dxa"/>
          </w:tcPr>
          <w:p>
            <w:pPr>
              <w:pStyle w:val="Compact"/>
              <w:jc w:val="left"/>
            </w:pPr>
            <w:r>
              <w:rPr>
                <w:b/>
                <w:color w:val="FFFFFF"/>
                <w:sz w:val="18"/>
              </w:rPr>
              <w:t xml:space="preserve">Diagnostic question</w:t>
            </w:r>
          </w:p>
        </w:tc>
        <w:tc>
          <w:tcPr>
            <w:shd w:val="clear" w:color="auto" w:fill="1B3A6B"/>
            <w:tcW w:w="3653" w:type="dxa"/>
          </w:tcPr>
          <w:p>
            <w:pPr>
              <w:pStyle w:val="Compact"/>
              <w:jc w:val="left"/>
            </w:pPr>
            <w:r>
              <w:rPr>
                <w:b/>
                <w:color w:val="FFFFFF"/>
                <w:sz w:val="18"/>
              </w:rPr>
              <w:t xml:space="preserve">Structural role in the system</w:t>
            </w:r>
          </w:p>
        </w:tc>
        <w:tc>
          <w:tcPr>
            <w:shd w:val="clear" w:color="auto" w:fill="1B3A6B"/>
            <w:tcW w:w="3653" w:type="dxa"/>
          </w:tcPr>
          <w:p>
            <w:pPr>
              <w:pStyle w:val="Compact"/>
              <w:jc w:val="left"/>
            </w:pPr>
            <w:r>
              <w:rPr>
                <w:b/>
                <w:color w:val="FFFFFF"/>
                <w:sz w:val="18"/>
              </w:rPr>
              <w:t xml:space="preserve">What it produces when functioning</w:t>
            </w:r>
          </w:p>
        </w:tc>
      </w:tr>
      <w:tr>
        <w:trPr>
          <w:cantSplit/>
        </w:trPr>
        <w:tc>
          <w:tcPr>
            <w:tcW w:w="608" w:type="dxa"/>
          </w:tcPr>
          <w:p>
            <w:pPr>
              <w:pStyle w:val="Compact"/>
              <w:jc w:val="left"/>
            </w:pPr>
            <w:r>
              <w:rPr>
                <w:b/>
                <w:bCs/>
                <w:sz w:val="18"/>
              </w:rPr>
              <w:t xml:space="preserve">Policy</w:t>
            </w:r>
          </w:p>
        </w:tc>
        <w:tc>
          <w:tcPr>
            <w:tcW w:w="1156" w:type="dxa"/>
          </w:tcPr>
          <w:p>
            <w:pPr>
              <w:pStyle w:val="Compact"/>
              <w:jc w:val="left"/>
            </w:pPr>
            <w:r>
              <w:rPr>
                <w:sz w:val="18"/>
              </w:rPr>
              <w:t xml:space="preserve">Is it permissible?</w:t>
            </w:r>
          </w:p>
        </w:tc>
        <w:tc>
          <w:tcPr>
            <w:tcW w:w="3653"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8"/>
              </w:rPr>
              <w:t xml:space="preserve">Technology</w:t>
            </w:r>
          </w:p>
        </w:tc>
        <w:tc>
          <w:tcPr>
            <w:tcW w:w="1156" w:type="dxa"/>
          </w:tcPr>
          <w:p>
            <w:pPr>
              <w:pStyle w:val="Compact"/>
              <w:jc w:val="left"/>
            </w:pPr>
            <w:r>
              <w:rPr>
                <w:sz w:val="18"/>
              </w:rPr>
              <w:t xml:space="preserve">Is it possible?</w:t>
            </w:r>
          </w:p>
        </w:tc>
        <w:tc>
          <w:tcPr>
            <w:tcW w:w="3653"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8"/>
              </w:rPr>
              <w:t xml:space="preserve">Economics</w:t>
            </w:r>
          </w:p>
        </w:tc>
        <w:tc>
          <w:tcPr>
            <w:tcW w:w="1156" w:type="dxa"/>
          </w:tcPr>
          <w:p>
            <w:pPr>
              <w:pStyle w:val="Compact"/>
              <w:jc w:val="left"/>
            </w:pPr>
            <w:r>
              <w:rPr>
                <w:sz w:val="18"/>
              </w:rPr>
              <w:t xml:space="preserve">Is it sustainable?</w:t>
            </w:r>
          </w:p>
        </w:tc>
        <w:tc>
          <w:tcPr>
            <w:tcW w:w="3653"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8"/>
              </w:rPr>
              <w:t xml:space="preserve">Clinical</w:t>
            </w:r>
          </w:p>
        </w:tc>
        <w:tc>
          <w:tcPr>
            <w:tcW w:w="1156" w:type="dxa"/>
          </w:tcPr>
          <w:p>
            <w:pPr>
              <w:pStyle w:val="Compact"/>
              <w:jc w:val="left"/>
            </w:pPr>
            <w:r>
              <w:rPr>
                <w:sz w:val="18"/>
              </w:rPr>
              <w:t xml:space="preserve">Is it effective?</w:t>
            </w:r>
          </w:p>
        </w:tc>
        <w:tc>
          <w:tcPr>
            <w:tcW w:w="3653"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8"/>
              </w:rPr>
              <w:t xml:space="preserve">Equity</w:t>
            </w:r>
          </w:p>
        </w:tc>
        <w:tc>
          <w:tcPr>
            <w:tcW w:w="1156" w:type="dxa"/>
          </w:tcPr>
          <w:p>
            <w:pPr>
              <w:pStyle w:val="Compact"/>
              <w:jc w:val="left"/>
            </w:pPr>
            <w:r>
              <w:rPr>
                <w:sz w:val="18"/>
              </w:rPr>
              <w:t xml:space="preserve">Is it just?</w:t>
            </w:r>
          </w:p>
        </w:tc>
        <w:tc>
          <w:tcPr>
            <w:tcW w:w="3653"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8"/>
              </w:rPr>
              <w:t xml:space="preserve">Operations</w:t>
            </w:r>
          </w:p>
        </w:tc>
        <w:tc>
          <w:tcPr>
            <w:tcW w:w="1156" w:type="dxa"/>
          </w:tcPr>
          <w:p>
            <w:pPr>
              <w:pStyle w:val="Compact"/>
              <w:jc w:val="left"/>
            </w:pPr>
            <w:r>
              <w:rPr>
                <w:sz w:val="18"/>
              </w:rPr>
              <w:t xml:space="preserve">Is it executable?</w:t>
            </w:r>
          </w:p>
        </w:tc>
        <w:tc>
          <w:tcPr>
            <w:tcW w:w="3653"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autofit"/>
      </w:tblPr>
      <w:tblGrid>
        <w:gridCol w:w="500"/>
        <w:gridCol w:w="2142"/>
        <w:gridCol w:w="2142"/>
        <w:gridCol w:w="2142"/>
        <w:gridCol w:w="2142"/>
      </w:tblGrid>
      <w:tr>
        <w:trPr>
          <w:tblHeader w:val="on"/>
          <w:cantSplit/>
        </w:trPr>
        <w:tc>
          <w:tcPr>
            <w:shd w:val="clear" w:color="auto" w:fill="1B3A6B"/>
            <w:tcW w:w="500" w:type="dxa"/>
          </w:tcPr>
          <w:p>
            <w:pPr>
              <w:pStyle w:val="Compact"/>
              <w:jc w:val="left"/>
            </w:pPr>
            <w:r>
              <w:rPr>
                <w:b/>
                <w:color w:val="FFFFFF"/>
                <w:sz w:val="18"/>
              </w:rPr>
              <w:t xml:space="preserve">Pillar removed</w:t>
            </w:r>
          </w:p>
        </w:tc>
        <w:tc>
          <w:tcPr>
            <w:shd w:val="clear" w:color="auto" w:fill="1B3A6B"/>
            <w:tcW w:w="2142" w:type="dxa"/>
          </w:tcPr>
          <w:p>
            <w:pPr>
              <w:pStyle w:val="Compact"/>
              <w:jc w:val="left"/>
            </w:pPr>
            <w:r>
              <w:rPr>
                <w:b/>
                <w:color w:val="FFFFFF"/>
                <w:sz w:val="18"/>
              </w:rPr>
              <w:t xml:space="preserve">Immediate failure</w:t>
            </w:r>
          </w:p>
        </w:tc>
        <w:tc>
          <w:tcPr>
            <w:shd w:val="clear" w:color="auto" w:fill="1B3A6B"/>
            <w:tcW w:w="2142" w:type="dxa"/>
          </w:tcPr>
          <w:p>
            <w:pPr>
              <w:pStyle w:val="Compact"/>
              <w:jc w:val="left"/>
            </w:pPr>
            <w:r>
              <w:rPr>
                <w:b/>
                <w:color w:val="FFFFFF"/>
                <w:sz w:val="18"/>
              </w:rPr>
              <w:t xml:space="preserve">Second-order failure</w:t>
            </w:r>
          </w:p>
        </w:tc>
        <w:tc>
          <w:tcPr>
            <w:shd w:val="clear" w:color="auto" w:fill="1B3A6B"/>
            <w:tcW w:w="2142" w:type="dxa"/>
          </w:tcPr>
          <w:p>
            <w:pPr>
              <w:pStyle w:val="Compact"/>
              <w:jc w:val="left"/>
            </w:pPr>
            <w:r>
              <w:rPr>
                <w:b/>
                <w:color w:val="FFFFFF"/>
                <w:sz w:val="18"/>
              </w:rPr>
              <w:t xml:space="preserve">System-level outcome</w:t>
            </w:r>
          </w:p>
        </w:tc>
        <w:tc>
          <w:tcPr>
            <w:shd w:val="clear" w:color="auto" w:fill="1B3A6B"/>
            <w:tcW w:w="2142" w:type="dxa"/>
          </w:tcPr>
          <w:p>
            <w:pPr>
              <w:pStyle w:val="Compact"/>
              <w:jc w:val="left"/>
            </w:pPr>
            <w:r>
              <w:rPr>
                <w:b/>
                <w:color w:val="FFFFFF"/>
                <w:sz w:val="18"/>
              </w:rPr>
              <w:t xml:space="preserve">Historical example</w:t>
            </w:r>
          </w:p>
        </w:tc>
      </w:tr>
      <w:tr>
        <w:trPr>
          <w:cantSplit/>
        </w:trPr>
        <w:tc>
          <w:tcPr>
            <w:tcW w:w="500" w:type="dxa"/>
          </w:tcPr>
          <w:p>
            <w:pPr>
              <w:pStyle w:val="Compact"/>
              <w:jc w:val="left"/>
            </w:pPr>
            <w:r>
              <w:rPr>
                <w:b/>
                <w:bCs/>
                <w:sz w:val="18"/>
              </w:rPr>
              <w:t xml:space="preserve">Policy</w:t>
            </w:r>
          </w:p>
        </w:tc>
        <w:tc>
          <w:tcPr>
            <w:tcW w:w="2142" w:type="dxa"/>
          </w:tcPr>
          <w:p>
            <w:pPr>
              <w:pStyle w:val="Compact"/>
              <w:jc w:val="left"/>
            </w:pPr>
            <w:r>
              <w:rPr>
                <w:sz w:val="18"/>
              </w:rPr>
              <w:t xml:space="preserve">Payment reform remains voluntary; highest-cost actors opt out; rate benchmarks have no enforcement.</w:t>
            </w:r>
          </w:p>
        </w:tc>
        <w:tc>
          <w:tcPr>
            <w:tcW w:w="2142"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8"/>
              </w:rPr>
              <w:t xml:space="preserve">Incremental improvement among willing participants; no system-level change; ongoing premium inflation; hospital financial crisis continues.</w:t>
            </w:r>
          </w:p>
        </w:tc>
        <w:tc>
          <w:tcPr>
            <w:tcW w:w="2142" w:type="dxa"/>
          </w:tcPr>
          <w:p>
            <w:pPr>
              <w:pStyle w:val="Compact"/>
              <w:jc w:val="left"/>
            </w:pPr>
            <w:r>
              <w:rPr>
                <w:sz w:val="18"/>
              </w:rPr>
              <w:t xml:space="preserve">Vermont 2010–2022: OneCare voluntary ACO. Modest results; 9/14 hospitals in losses by 2023.</w:t>
            </w:r>
          </w:p>
        </w:tc>
      </w:tr>
      <w:tr>
        <w:trPr/>
        <w:tc>
          <w:tcPr>
            <w:tcW w:w="500" w:type="dxa"/>
          </w:tcPr>
          <w:p>
            <w:pPr>
              <w:pStyle w:val="Compact"/>
              <w:jc w:val="left"/>
            </w:pPr>
            <w:r>
              <w:rPr>
                <w:b/>
                <w:bCs/>
                <w:sz w:val="18"/>
              </w:rPr>
              <w:t xml:space="preserve">Technology</w:t>
            </w:r>
          </w:p>
        </w:tc>
        <w:tc>
          <w:tcPr>
            <w:tcW w:w="2142" w:type="dxa"/>
          </w:tcPr>
          <w:p>
            <w:pPr>
              <w:pStyle w:val="Compact"/>
              <w:jc w:val="left"/>
            </w:pPr>
            <w:r>
              <w:rPr>
                <w:sz w:val="18"/>
              </w:rPr>
              <w:t xml:space="preserve">VBC contracts signed but not managed; attribution errors undetected; TCOC measurement unreliable; quality measures cannot be stratified.</w:t>
            </w:r>
          </w:p>
        </w:tc>
        <w:tc>
          <w:tcPr>
            <w:tcW w:w="2142"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8"/>
              </w:rPr>
              <w:t xml:space="preserve">VBC produces losses for providers who cannot manage it; organizations exit VBC; payment reform stalls; equity gaps widen invisibly.</w:t>
            </w:r>
          </w:p>
        </w:tc>
        <w:tc>
          <w:tcPr>
            <w:tcW w:w="2142" w:type="dxa"/>
          </w:tcPr>
          <w:p>
            <w:pPr>
              <w:pStyle w:val="Compact"/>
              <w:jc w:val="left"/>
            </w:pPr>
            <w:r>
              <w:rPr>
                <w:sz w:val="18"/>
              </w:rPr>
              <w:t xml:space="preserve">Most early-CMMI ACO failures: organizations entered models without analytics and produced unexpected losses.</w:t>
            </w:r>
          </w:p>
        </w:tc>
      </w:tr>
      <w:tr>
        <w:trPr/>
        <w:tc>
          <w:tcPr>
            <w:tcW w:w="500" w:type="dxa"/>
          </w:tcPr>
          <w:p>
            <w:pPr>
              <w:pStyle w:val="Compact"/>
              <w:jc w:val="left"/>
            </w:pPr>
            <w:r>
              <w:rPr>
                <w:b/>
                <w:bCs/>
                <w:sz w:val="18"/>
              </w:rPr>
              <w:t xml:space="preserve">Economics</w:t>
            </w:r>
          </w:p>
        </w:tc>
        <w:tc>
          <w:tcPr>
            <w:tcW w:w="2142" w:type="dxa"/>
          </w:tcPr>
          <w:p>
            <w:pPr>
              <w:pStyle w:val="Compact"/>
              <w:jc w:val="left"/>
            </w:pPr>
            <w:r>
              <w:rPr>
                <w:sz w:val="18"/>
              </w:rPr>
              <w:t xml:space="preserve">Clinical programs continue under fee-for-service incentives; hospitals remain rewarded for volume, not value.</w:t>
            </w:r>
          </w:p>
        </w:tc>
        <w:tc>
          <w:tcPr>
            <w:tcW w:w="2142" w:type="dxa"/>
          </w:tcPr>
          <w:p>
            <w:pPr>
              <w:pStyle w:val="Compact"/>
              <w:jc w:val="left"/>
            </w:pPr>
            <w:r>
              <w:rPr>
                <w:sz w:val="18"/>
              </w:rPr>
              <w:t xml:space="preserve">Primary care investment produces outcomes but cannot capture the financial return — the 5.8:1 ROI accrues to payers, not providers.</w:t>
            </w:r>
          </w:p>
        </w:tc>
        <w:tc>
          <w:tcPr>
            <w:tcW w:w="2142" w:type="dxa"/>
          </w:tcPr>
          <w:p>
            <w:pPr>
              <w:pStyle w:val="Compact"/>
              <w:jc w:val="left"/>
            </w:pPr>
            <w:r>
              <w:rPr>
                <w:sz w:val="18"/>
              </w:rPr>
              <w:t xml:space="preserve">Clinical quality improves at the margin; costs keep rising; the financial case for transformation cannot be made; fragility deepens.</w:t>
            </w:r>
          </w:p>
        </w:tc>
        <w:tc>
          <w:tcPr>
            <w:tcW w:w="2142" w:type="dxa"/>
          </w:tcPr>
          <w:p>
            <w:pPr>
              <w:pStyle w:val="Compact"/>
              <w:jc w:val="left"/>
            </w:pPr>
            <w:r>
              <w:rPr>
                <w:sz w:val="18"/>
              </w:rPr>
              <w:t xml:space="preserve">U.S. national experience: 20+ years of quality improvement without payment reform. Quality rose; cost growth continued.</w:t>
            </w:r>
          </w:p>
        </w:tc>
      </w:tr>
      <w:tr>
        <w:trPr/>
        <w:tc>
          <w:tcPr>
            <w:tcW w:w="500" w:type="dxa"/>
          </w:tcPr>
          <w:p>
            <w:pPr>
              <w:pStyle w:val="Compact"/>
              <w:jc w:val="left"/>
            </w:pPr>
            <w:r>
              <w:rPr>
                <w:b/>
                <w:bCs/>
                <w:sz w:val="18"/>
              </w:rPr>
              <w:t xml:space="preserve">Clinical</w:t>
            </w:r>
          </w:p>
        </w:tc>
        <w:tc>
          <w:tcPr>
            <w:tcW w:w="2142" w:type="dxa"/>
          </w:tcPr>
          <w:p>
            <w:pPr>
              <w:pStyle w:val="Compact"/>
              <w:jc w:val="left"/>
            </w:pPr>
            <w:r>
              <w:rPr>
                <w:sz w:val="18"/>
              </w:rPr>
              <w:t xml:space="preserve">Payment reform changes incentives but has nothing to incentivize; global budgets create pressure without the programs that reduce cost.</w:t>
            </w:r>
          </w:p>
        </w:tc>
        <w:tc>
          <w:tcPr>
            <w:tcW w:w="2142"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8"/>
              </w:rPr>
              <w:t xml:space="preserve">Hospital financial crisis accelerates under global-budget pressure; rural hospitals close.</w:t>
            </w:r>
          </w:p>
        </w:tc>
        <w:tc>
          <w:tcPr>
            <w:tcW w:w="2142" w:type="dxa"/>
          </w:tcPr>
          <w:p>
            <w:pPr>
              <w:pStyle w:val="Compact"/>
              <w:jc w:val="left"/>
            </w:pPr>
            <w:r>
              <w:rPr>
                <w:sz w:val="18"/>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8"/>
              </w:rPr>
              <w:t xml:space="preserve">Equity</w:t>
            </w:r>
          </w:p>
        </w:tc>
        <w:tc>
          <w:tcPr>
            <w:tcW w:w="2142" w:type="dxa"/>
          </w:tcPr>
          <w:p>
            <w:pPr>
              <w:pStyle w:val="Compact"/>
              <w:jc w:val="left"/>
            </w:pPr>
            <w:r>
              <w:rPr>
                <w:sz w:val="18"/>
              </w:rPr>
              <w:t xml:space="preserve">Transformation proceeds but disparities widen; average outcomes improve while geographic and demographic gaps grow.</w:t>
            </w:r>
          </w:p>
        </w:tc>
        <w:tc>
          <w:tcPr>
            <w:tcW w:w="2142"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8"/>
              </w:rPr>
              <w:t xml:space="preserve">Transformation that increases efficiency while reducing equity — technically successful, ethically failed.</w:t>
            </w:r>
          </w:p>
        </w:tc>
        <w:tc>
          <w:tcPr>
            <w:tcW w:w="2142" w:type="dxa"/>
          </w:tcPr>
          <w:p>
            <w:pPr>
              <w:pStyle w:val="Compact"/>
              <w:jc w:val="left"/>
            </w:pPr>
            <w:r>
              <w:rPr>
                <w:sz w:val="18"/>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8"/>
              </w:rPr>
              <w:t xml:space="preserve">Operations</w:t>
            </w:r>
          </w:p>
        </w:tc>
        <w:tc>
          <w:tcPr>
            <w:tcW w:w="2142" w:type="dxa"/>
          </w:tcPr>
          <w:p>
            <w:pPr>
              <w:pStyle w:val="Compact"/>
              <w:jc w:val="left"/>
            </w:pPr>
            <w:r>
              <w:rPr>
                <w:sz w:val="18"/>
              </w:rPr>
              <w:t xml:space="preserve">Statutory mandates exist on paper; clinical programs are designed; data platforms are procured; nothing is implemented.</w:t>
            </w:r>
          </w:p>
        </w:tc>
        <w:tc>
          <w:tcPr>
            <w:tcW w:w="2142" w:type="dxa"/>
          </w:tcPr>
          <w:p>
            <w:pPr>
              <w:pStyle w:val="Compact"/>
              <w:jc w:val="left"/>
            </w:pPr>
            <w:r>
              <w:rPr>
                <w:sz w:val="18"/>
              </w:rPr>
              <w:t xml:space="preserve">Policy accountability fails without capacity to meet deadlines; platforms deployed but unused for management; contracts signed but not managed.</w:t>
            </w:r>
          </w:p>
        </w:tc>
        <w:tc>
          <w:tcPr>
            <w:tcW w:w="2142" w:type="dxa"/>
          </w:tcPr>
          <w:p>
            <w:pPr>
              <w:pStyle w:val="Compact"/>
              <w:jc w:val="left"/>
            </w:pPr>
            <w:r>
              <w:rPr>
                <w:sz w:val="18"/>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autofit"/>
      </w:tblPr>
      <w:tblGrid>
        <w:gridCol w:w="625"/>
        <w:gridCol w:w="3754"/>
        <w:gridCol w:w="3754"/>
        <w:gridCol w:w="938"/>
      </w:tblGrid>
      <w:tr>
        <w:trPr>
          <w:tblHeader w:val="on"/>
          <w:cantSplit/>
        </w:trPr>
        <w:tc>
          <w:tcPr>
            <w:shd w:val="clear" w:color="auto" w:fill="1B3A6B"/>
            <w:tcW w:w="625"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Primary Vermont intervention</w:t>
            </w:r>
          </w:p>
        </w:tc>
        <w:tc>
          <w:tcPr>
            <w:shd w:val="clear" w:color="auto" w:fill="1B3A6B"/>
            <w:tcW w:w="3754" w:type="dxa"/>
          </w:tcPr>
          <w:p>
            <w:pPr>
              <w:pStyle w:val="Compact"/>
              <w:jc w:val="left"/>
            </w:pPr>
            <w:r>
              <w:rPr>
                <w:b/>
                <w:color w:val="FFFFFF"/>
                <w:sz w:val="18"/>
              </w:rPr>
              <w:t xml:space="preserve">Secondary interventions</w:t>
            </w:r>
          </w:p>
        </w:tc>
        <w:tc>
          <w:tcPr>
            <w:shd w:val="clear" w:color="auto" w:fill="1B3A6B"/>
            <w:tcW w:w="938" w:type="dxa"/>
          </w:tcPr>
          <w:p>
            <w:pPr>
              <w:pStyle w:val="Compact"/>
              <w:jc w:val="left"/>
            </w:pPr>
            <w:r>
              <w:rPr>
                <w:b/>
                <w:color w:val="FFFFFF"/>
                <w:sz w:val="18"/>
              </w:rPr>
              <w:t xml:space="preserve">Developed in</w:t>
            </w:r>
          </w:p>
        </w:tc>
      </w:tr>
      <w:tr>
        <w:trPr>
          <w:cantSplit/>
        </w:trPr>
        <w:tc>
          <w:tcPr>
            <w:tcW w:w="625" w:type="dxa"/>
          </w:tcPr>
          <w:p>
            <w:pPr>
              <w:pStyle w:val="Compact"/>
              <w:jc w:val="left"/>
            </w:pPr>
            <w:r>
              <w:rPr>
                <w:b/>
                <w:bCs/>
                <w:sz w:val="18"/>
              </w:rPr>
              <w:t xml:space="preserve">Policy</w:t>
            </w:r>
          </w:p>
        </w:tc>
        <w:tc>
          <w:tcPr>
            <w:tcW w:w="3754" w:type="dxa"/>
          </w:tcPr>
          <w:p>
            <w:pPr>
              <w:pStyle w:val="Compact"/>
              <w:jc w:val="left"/>
            </w:pPr>
            <w:r>
              <w:rPr>
                <w:sz w:val="18"/>
              </w:rPr>
              <w:t xml:space="preserve">Acts 167 (2022), 51 (2023), 68 (2025): the legislative reform cascade; AHEAD Model State Agreement (January 2025)</w:t>
            </w:r>
          </w:p>
        </w:tc>
        <w:tc>
          <w:tcPr>
            <w:tcW w:w="3754" w:type="dxa"/>
          </w:tcPr>
          <w:p>
            <w:pPr>
              <w:pStyle w:val="Compact"/>
              <w:jc w:val="left"/>
            </w:pPr>
            <w:r>
              <w:rPr>
                <w:sz w:val="18"/>
              </w:rPr>
              <w:t xml:space="preserve">Act 55 (drug pricing); Act 49 (insurer solvency); Act 62 (HIE governance); federal RHT Program award</w:t>
            </w:r>
          </w:p>
        </w:tc>
        <w:tc>
          <w:tcPr>
            <w:tcW w:w="938" w:type="dxa"/>
          </w:tcPr>
          <w:p>
            <w:pPr>
              <w:pStyle w:val="Compact"/>
              <w:jc w:val="left"/>
            </w:pPr>
            <w:r>
              <w:rPr>
                <w:sz w:val="18"/>
              </w:rPr>
              <w:t xml:space="preserve">Chapters 2–3</w:t>
            </w:r>
          </w:p>
        </w:tc>
      </w:tr>
      <w:tr>
        <w:trPr/>
        <w:tc>
          <w:tcPr>
            <w:tcW w:w="625" w:type="dxa"/>
          </w:tcPr>
          <w:p>
            <w:pPr>
              <w:pStyle w:val="Compact"/>
              <w:jc w:val="left"/>
            </w:pPr>
            <w:r>
              <w:rPr>
                <w:b/>
                <w:bCs/>
                <w:sz w:val="18"/>
              </w:rPr>
              <w:t xml:space="preserve">Technology</w:t>
            </w:r>
          </w:p>
        </w:tc>
        <w:tc>
          <w:tcPr>
            <w:tcW w:w="3754" w:type="dxa"/>
          </w:tcPr>
          <w:p>
            <w:pPr>
              <w:pStyle w:val="Compact"/>
              <w:jc w:val="left"/>
            </w:pPr>
            <w:r>
              <w:rPr>
                <w:sz w:val="18"/>
              </w:rPr>
              <w:t xml:space="preserve">VHCURES all-payer claims database; Vermont CIN (RHT Program); AHS-GMCB data integration and analytics capability; AI scribe and RPM grants</w:t>
            </w:r>
          </w:p>
        </w:tc>
        <w:tc>
          <w:tcPr>
            <w:tcW w:w="3754" w:type="dxa"/>
          </w:tcPr>
          <w:p>
            <w:pPr>
              <w:pStyle w:val="Compact"/>
              <w:jc w:val="left"/>
            </w:pPr>
            <w:r>
              <w:rPr>
                <w:sz w:val="18"/>
              </w:rPr>
              <w:t xml:space="preserve">VITL/VHIE HIE; DVHA HIT Plan (Act 62); statewide EHR feasibility assessment; FHIR compliance investments</w:t>
            </w:r>
          </w:p>
        </w:tc>
        <w:tc>
          <w:tcPr>
            <w:tcW w:w="938" w:type="dxa"/>
          </w:tcPr>
          <w:p>
            <w:pPr>
              <w:pStyle w:val="Compact"/>
              <w:jc w:val="left"/>
            </w:pPr>
            <w:r>
              <w:rPr>
                <w:sz w:val="18"/>
              </w:rPr>
              <w:t xml:space="preserve">Chapters 4–5</w:t>
            </w:r>
          </w:p>
        </w:tc>
      </w:tr>
      <w:tr>
        <w:trPr/>
        <w:tc>
          <w:tcPr>
            <w:tcW w:w="625" w:type="dxa"/>
          </w:tcPr>
          <w:p>
            <w:pPr>
              <w:pStyle w:val="Compact"/>
              <w:jc w:val="left"/>
            </w:pPr>
            <w:r>
              <w:rPr>
                <w:b/>
                <w:bCs/>
                <w:sz w:val="18"/>
              </w:rPr>
              <w:t xml:space="preserve">Economics</w:t>
            </w:r>
          </w:p>
        </w:tc>
        <w:tc>
          <w:tcPr>
            <w:tcW w:w="3754" w:type="dxa"/>
          </w:tcPr>
          <w:p>
            <w:pPr>
              <w:pStyle w:val="Compact"/>
              <w:jc w:val="left"/>
            </w:pPr>
            <w:r>
              <w:rPr>
                <w:sz w:val="18"/>
              </w:rPr>
              <w:t xml:space="preserve">Reference-based pricing (mandatory, FY2027); global hospital budgets (FY2028–2030); AHEAD total cost of care accountability</w:t>
            </w:r>
          </w:p>
        </w:tc>
        <w:tc>
          <w:tcPr>
            <w:tcW w:w="3754" w:type="dxa"/>
          </w:tcPr>
          <w:p>
            <w:pPr>
              <w:pStyle w:val="Compact"/>
              <w:jc w:val="left"/>
            </w:pPr>
            <w:r>
              <w:rPr>
                <w:sz w:val="18"/>
              </w:rPr>
              <w:t xml:space="preserve">Act 68 hospital spending reduction (2.5%, FY2026); GMCB FY27 budget guidance (−1% commercial rate); Act 55 drug cap ($135M savings)</w:t>
            </w:r>
          </w:p>
        </w:tc>
        <w:tc>
          <w:tcPr>
            <w:tcW w:w="938" w:type="dxa"/>
          </w:tcPr>
          <w:p>
            <w:pPr>
              <w:pStyle w:val="Compact"/>
              <w:jc w:val="left"/>
            </w:pPr>
            <w:r>
              <w:rPr>
                <w:sz w:val="18"/>
              </w:rPr>
              <w:t xml:space="preserve">Chapters 6–7</w:t>
            </w:r>
          </w:p>
        </w:tc>
      </w:tr>
      <w:tr>
        <w:trPr/>
        <w:tc>
          <w:tcPr>
            <w:tcW w:w="625" w:type="dxa"/>
          </w:tcPr>
          <w:p>
            <w:pPr>
              <w:pStyle w:val="Compact"/>
              <w:jc w:val="left"/>
            </w:pPr>
            <w:r>
              <w:rPr>
                <w:b/>
                <w:bCs/>
                <w:sz w:val="18"/>
              </w:rPr>
              <w:t xml:space="preserve">Clinical</w:t>
            </w:r>
          </w:p>
        </w:tc>
        <w:tc>
          <w:tcPr>
            <w:tcW w:w="3754" w:type="dxa"/>
          </w:tcPr>
          <w:p>
            <w:pPr>
              <w:pStyle w:val="Compact"/>
              <w:jc w:val="left"/>
            </w:pPr>
            <w:r>
              <w:rPr>
                <w:sz w:val="18"/>
              </w:rPr>
              <w:t xml:space="preserve">Blueprint for Health (all-payer PCMH + CHT); CoCM and MHI behavioral health integration; CCBHC expansion (5 entities by July 2026)</w:t>
            </w:r>
          </w:p>
        </w:tc>
        <w:tc>
          <w:tcPr>
            <w:tcW w:w="3754" w:type="dxa"/>
          </w:tcPr>
          <w:p>
            <w:pPr>
              <w:pStyle w:val="Compact"/>
              <w:jc w:val="left"/>
            </w:pPr>
            <w:r>
              <w:rPr>
                <w:sz w:val="18"/>
              </w:rPr>
              <w:t xml:space="preserve">Hub-and-Spoke SUD model; PACE program development; COE regionalization; dementia care infrastructure</w:t>
            </w:r>
          </w:p>
        </w:tc>
        <w:tc>
          <w:tcPr>
            <w:tcW w:w="938" w:type="dxa"/>
          </w:tcPr>
          <w:p>
            <w:pPr>
              <w:pStyle w:val="Compact"/>
              <w:jc w:val="left"/>
            </w:pPr>
            <w:r>
              <w:rPr>
                <w:sz w:val="18"/>
              </w:rPr>
              <w:t xml:space="preserve">Chapters 8–9</w:t>
            </w:r>
          </w:p>
        </w:tc>
      </w:tr>
      <w:tr>
        <w:trPr/>
        <w:tc>
          <w:tcPr>
            <w:tcW w:w="625" w:type="dxa"/>
          </w:tcPr>
          <w:p>
            <w:pPr>
              <w:pStyle w:val="Compact"/>
              <w:jc w:val="left"/>
            </w:pPr>
            <w:r>
              <w:rPr>
                <w:b/>
                <w:bCs/>
                <w:sz w:val="18"/>
              </w:rPr>
              <w:t xml:space="preserve">Equity</w:t>
            </w:r>
          </w:p>
        </w:tc>
        <w:tc>
          <w:tcPr>
            <w:tcW w:w="3754" w:type="dxa"/>
          </w:tcPr>
          <w:p>
            <w:pPr>
              <w:pStyle w:val="Compact"/>
              <w:jc w:val="left"/>
            </w:pPr>
            <w:r>
              <w:rPr>
                <w:sz w:val="18"/>
              </w:rPr>
              <w:t xml:space="preserve">Geographic equity monitoring (HSA-level); SDOH integration through AHS HSA Coordinators; rural access preservation in RBP/global budget design</w:t>
            </w:r>
          </w:p>
        </w:tc>
        <w:tc>
          <w:tcPr>
            <w:tcW w:w="3754" w:type="dxa"/>
          </w:tcPr>
          <w:p>
            <w:pPr>
              <w:pStyle w:val="Compact"/>
              <w:jc w:val="left"/>
            </w:pPr>
            <w:r>
              <w:rPr>
                <w:sz w:val="18"/>
              </w:rPr>
              <w:t xml:space="preserve">HRSN universal screening (Blueprint); CCBHC access for all populations; Northeast Kingdom focus; GLP-1 access advocacy</w:t>
            </w:r>
          </w:p>
        </w:tc>
        <w:tc>
          <w:tcPr>
            <w:tcW w:w="938" w:type="dxa"/>
          </w:tcPr>
          <w:p>
            <w:pPr>
              <w:pStyle w:val="Compact"/>
              <w:jc w:val="left"/>
            </w:pPr>
            <w:r>
              <w:rPr>
                <w:sz w:val="18"/>
              </w:rPr>
              <w:t xml:space="preserve">Chapter 10</w:t>
            </w:r>
          </w:p>
        </w:tc>
      </w:tr>
      <w:tr>
        <w:trPr>
          <w:cantSplit/>
        </w:trPr>
        <w:tc>
          <w:tcPr>
            <w:tcW w:w="625" w:type="dxa"/>
          </w:tcPr>
          <w:p>
            <w:pPr>
              <w:pStyle w:val="Compact"/>
              <w:jc w:val="left"/>
            </w:pPr>
            <w:r>
              <w:rPr>
                <w:b/>
                <w:bCs/>
                <w:sz w:val="18"/>
              </w:rPr>
              <w:t xml:space="preserve">Operations</w:t>
            </w:r>
          </w:p>
        </w:tc>
        <w:tc>
          <w:tcPr>
            <w:tcW w:w="3754" w:type="dxa"/>
          </w:tcPr>
          <w:p>
            <w:pPr>
              <w:pStyle w:val="Compact"/>
              <w:jc w:val="left"/>
            </w:pPr>
            <w:r>
              <w:rPr>
                <w:sz w:val="18"/>
              </w:rPr>
              <w:t xml:space="preserve">14-hospital transformation planning (RHRC + AHS); Vermont CIN shared services; Act 68 transformation grants ($2M); PMO establishment</w:t>
            </w:r>
          </w:p>
        </w:tc>
        <w:tc>
          <w:tcPr>
            <w:tcW w:w="3754" w:type="dxa"/>
          </w:tcPr>
          <w:p>
            <w:pPr>
              <w:pStyle w:val="Compact"/>
              <w:jc w:val="left"/>
            </w:pPr>
            <w:r>
              <w:rPr>
                <w:sz w:val="18"/>
              </w:rPr>
              <w:t xml:space="preserve">EMS regionalization; administrative simplification (CON, prior auth); AHS restructuring; Division of Planning and Effectiveness</w:t>
            </w:r>
          </w:p>
        </w:tc>
        <w:tc>
          <w:tcPr>
            <w:tcW w:w="938" w:type="dxa"/>
          </w:tcPr>
          <w:p>
            <w:pPr>
              <w:pStyle w:val="Compact"/>
              <w:jc w:val="left"/>
            </w:pPr>
            <w:r>
              <w:rPr>
                <w:sz w:val="18"/>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autofit"/>
      </w:tblPr>
      <w:tblGrid>
        <w:gridCol w:w="348"/>
        <w:gridCol w:w="458"/>
        <w:gridCol w:w="2755"/>
        <w:gridCol w:w="2755"/>
        <w:gridCol w:w="2755"/>
      </w:tblGrid>
      <w:tr>
        <w:trPr>
          <w:tblHeader w:val="on"/>
          <w:cantSplit/>
        </w:trPr>
        <w:tc>
          <w:tcPr>
            <w:shd w:val="clear" w:color="auto" w:fill="1B3A6B"/>
            <w:tcW w:w="348" w:type="dxa"/>
          </w:tcPr>
          <w:p>
            <w:pPr>
              <w:pStyle w:val="Compact"/>
              <w:jc w:val="center"/>
            </w:pPr>
            <w:r>
              <w:rPr>
                <w:b/>
                <w:color w:val="FFFFFF"/>
                <w:sz w:val="18"/>
              </w:rPr>
              <w:t xml:space="preserve">#</w:t>
            </w:r>
          </w:p>
        </w:tc>
        <w:tc>
          <w:tcPr>
            <w:shd w:val="clear" w:color="auto" w:fill="1B3A6B"/>
            <w:tcW w:w="458"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Key action</w:t>
            </w:r>
          </w:p>
        </w:tc>
        <w:tc>
          <w:tcPr>
            <w:shd w:val="clear" w:color="auto" w:fill="1B3A6B"/>
            <w:tcW w:w="2755" w:type="dxa"/>
          </w:tcPr>
          <w:p>
            <w:pPr>
              <w:pStyle w:val="Compact"/>
              <w:jc w:val="left"/>
            </w:pPr>
            <w:r>
              <w:rPr>
                <w:b/>
                <w:color w:val="FFFFFF"/>
                <w:sz w:val="18"/>
              </w:rPr>
              <w:t xml:space="preserve">Why this sequence</w:t>
            </w:r>
          </w:p>
        </w:tc>
        <w:tc>
          <w:tcPr>
            <w:shd w:val="clear" w:color="auto" w:fill="1B3A6B"/>
            <w:tcW w:w="2755" w:type="dxa"/>
          </w:tcPr>
          <w:p>
            <w:pPr>
              <w:pStyle w:val="Compact"/>
              <w:jc w:val="left"/>
            </w:pPr>
            <w:r>
              <w:rPr>
                <w:b/>
                <w:color w:val="FFFFFF"/>
                <w:sz w:val="18"/>
              </w:rPr>
              <w:t xml:space="preserve">Vermont anchor</w:t>
            </w:r>
          </w:p>
        </w:tc>
      </w:tr>
      <w:tr>
        <w:trPr>
          <w:cantSplit/>
        </w:trPr>
        <w:tc>
          <w:tcPr>
            <w:tcW w:w="348" w:type="dxa"/>
          </w:tcPr>
          <w:p>
            <w:pPr>
              <w:pStyle w:val="Compact"/>
              <w:jc w:val="center"/>
            </w:pPr>
            <w:r>
              <w:rPr>
                <w:sz w:val="18"/>
              </w:rPr>
              <w:t xml:space="preserve">1</w:t>
            </w:r>
          </w:p>
        </w:tc>
        <w:tc>
          <w:tcPr>
            <w:tcW w:w="458" w:type="dxa"/>
          </w:tcPr>
          <w:p>
            <w:pPr>
              <w:pStyle w:val="Compact"/>
              <w:jc w:val="left"/>
            </w:pPr>
            <w:r>
              <w:rPr>
                <w:sz w:val="18"/>
              </w:rPr>
              <w:t xml:space="preserve">Policy</w:t>
            </w:r>
          </w:p>
        </w:tc>
        <w:tc>
          <w:tcPr>
            <w:tcW w:w="2755" w:type="dxa"/>
          </w:tcPr>
          <w:p>
            <w:pPr>
              <w:pStyle w:val="Compact"/>
              <w:jc w:val="left"/>
            </w:pPr>
            <w:r>
              <w:rPr>
                <w:sz w:val="18"/>
              </w:rPr>
              <w:t xml:space="preserve">Establish enforceable authority, mandate participation, secure transformation capital</w:t>
            </w:r>
          </w:p>
        </w:tc>
        <w:tc>
          <w:tcPr>
            <w:tcW w:w="2755" w:type="dxa"/>
          </w:tcPr>
          <w:p>
            <w:pPr>
              <w:pStyle w:val="Compact"/>
              <w:jc w:val="left"/>
            </w:pPr>
            <w:r>
              <w:rPr>
                <w:sz w:val="18"/>
              </w:rPr>
              <w:t xml:space="preserve">Nothing can be authorized, built, or funded without statutory permission. Mandatory architecture prevents high-cost actors from opting out.</w:t>
            </w:r>
          </w:p>
        </w:tc>
        <w:tc>
          <w:tcPr>
            <w:tcW w:w="2755" w:type="dxa"/>
          </w:tcPr>
          <w:p>
            <w:pPr>
              <w:pStyle w:val="Compact"/>
              <w:jc w:val="left"/>
            </w:pPr>
            <w:r>
              <w:rPr>
                <w:sz w:val="18"/>
              </w:rPr>
              <w:t xml:space="preserve">Acts 167, 51, 68; AHEAD State Agreement; $195M RHT award</w:t>
            </w:r>
          </w:p>
        </w:tc>
      </w:tr>
      <w:tr>
        <w:trPr/>
        <w:tc>
          <w:tcPr>
            <w:tcW w:w="348" w:type="dxa"/>
          </w:tcPr>
          <w:p>
            <w:pPr>
              <w:pStyle w:val="Compact"/>
              <w:jc w:val="center"/>
            </w:pPr>
            <w:r>
              <w:rPr>
                <w:sz w:val="18"/>
              </w:rPr>
              <w:t xml:space="preserve">2</w:t>
            </w:r>
          </w:p>
        </w:tc>
        <w:tc>
          <w:tcPr>
            <w:tcW w:w="458" w:type="dxa"/>
          </w:tcPr>
          <w:p>
            <w:pPr>
              <w:pStyle w:val="Compact"/>
              <w:jc w:val="left"/>
            </w:pPr>
            <w:r>
              <w:rPr>
                <w:sz w:val="18"/>
              </w:rPr>
              <w:t xml:space="preserve">Technology</w:t>
            </w:r>
          </w:p>
        </w:tc>
        <w:tc>
          <w:tcPr>
            <w:tcW w:w="2755" w:type="dxa"/>
          </w:tcPr>
          <w:p>
            <w:pPr>
              <w:pStyle w:val="Compact"/>
              <w:jc w:val="left"/>
            </w:pPr>
            <w:r>
              <w:rPr>
                <w:sz w:val="18"/>
              </w:rPr>
              <w:t xml:space="preserve">Build integrated clinical + claims data infrastructure — real-time — before financial risk is assumed</w:t>
            </w:r>
          </w:p>
        </w:tc>
        <w:tc>
          <w:tcPr>
            <w:tcW w:w="2755"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755" w:type="dxa"/>
          </w:tcPr>
          <w:p>
            <w:pPr>
              <w:pStyle w:val="Compact"/>
              <w:jc w:val="left"/>
            </w:pPr>
            <w:r>
              <w:rPr>
                <w:sz w:val="18"/>
              </w:rPr>
              <w:t xml:space="preserve">VHCURES; VITL/VHIE; AHS-GMCB analytics capability; Vermont CIN</w:t>
            </w:r>
          </w:p>
        </w:tc>
      </w:tr>
      <w:tr>
        <w:trPr/>
        <w:tc>
          <w:tcPr>
            <w:tcW w:w="348" w:type="dxa"/>
          </w:tcPr>
          <w:p>
            <w:pPr>
              <w:pStyle w:val="Compact"/>
              <w:jc w:val="center"/>
            </w:pPr>
            <w:r>
              <w:rPr>
                <w:sz w:val="18"/>
              </w:rPr>
              <w:t xml:space="preserve">3</w:t>
            </w:r>
          </w:p>
        </w:tc>
        <w:tc>
          <w:tcPr>
            <w:tcW w:w="458" w:type="dxa"/>
          </w:tcPr>
          <w:p>
            <w:pPr>
              <w:pStyle w:val="Compact"/>
              <w:jc w:val="left"/>
            </w:pPr>
            <w:r>
              <w:rPr>
                <w:sz w:val="18"/>
              </w:rPr>
              <w:t xml:space="preserve">Economics</w:t>
            </w:r>
          </w:p>
        </w:tc>
        <w:tc>
          <w:tcPr>
            <w:tcW w:w="2755" w:type="dxa"/>
          </w:tcPr>
          <w:p>
            <w:pPr>
              <w:pStyle w:val="Compact"/>
              <w:jc w:val="left"/>
            </w:pPr>
            <w:r>
              <w:rPr>
                <w:sz w:val="18"/>
              </w:rPr>
              <w:t xml:space="preserve">Deploy global budgets and RBP onto a system that can already see itself</w:t>
            </w:r>
          </w:p>
        </w:tc>
        <w:tc>
          <w:tcPr>
            <w:tcW w:w="2755" w:type="dxa"/>
          </w:tcPr>
          <w:p>
            <w:pPr>
              <w:pStyle w:val="Compact"/>
              <w:jc w:val="left"/>
            </w:pPr>
            <w:r>
              <w:rPr>
                <w:sz w:val="18"/>
              </w:rPr>
              <w:t xml:space="preserve">Economics-as-management requires the technology substrate. Payment design (Economics-as-design) happens in parallel during Stage 2.</w:t>
            </w:r>
          </w:p>
        </w:tc>
        <w:tc>
          <w:tcPr>
            <w:tcW w:w="2755" w:type="dxa"/>
          </w:tcPr>
          <w:p>
            <w:pPr>
              <w:pStyle w:val="Compact"/>
              <w:jc w:val="left"/>
            </w:pPr>
            <w:r>
              <w:rPr>
                <w:sz w:val="18"/>
              </w:rPr>
              <w:t xml:space="preserve">Global hospital budgets; RBP at ≤200% Medicare; EAST Fund up to $150M annually</w:t>
            </w:r>
          </w:p>
        </w:tc>
      </w:tr>
      <w:tr>
        <w:trPr/>
        <w:tc>
          <w:tcPr>
            <w:tcW w:w="348" w:type="dxa"/>
          </w:tcPr>
          <w:p>
            <w:pPr>
              <w:pStyle w:val="Compact"/>
              <w:jc w:val="center"/>
            </w:pPr>
            <w:r>
              <w:rPr>
                <w:sz w:val="18"/>
              </w:rPr>
              <w:t xml:space="preserve">4</w:t>
            </w:r>
          </w:p>
        </w:tc>
        <w:tc>
          <w:tcPr>
            <w:tcW w:w="458" w:type="dxa"/>
          </w:tcPr>
          <w:p>
            <w:pPr>
              <w:pStyle w:val="Compact"/>
              <w:jc w:val="left"/>
            </w:pPr>
            <w:r>
              <w:rPr>
                <w:sz w:val="18"/>
              </w:rPr>
              <w:t xml:space="preserve">Clinical</w:t>
            </w:r>
          </w:p>
        </w:tc>
        <w:tc>
          <w:tcPr>
            <w:tcW w:w="2755" w:type="dxa"/>
          </w:tcPr>
          <w:p>
            <w:pPr>
              <w:pStyle w:val="Compact"/>
              <w:jc w:val="left"/>
            </w:pPr>
            <w:r>
              <w:rPr>
                <w:sz w:val="18"/>
              </w:rPr>
              <w:t xml:space="preserve">Redesign care on aligned incentives</w:t>
            </w:r>
          </w:p>
        </w:tc>
        <w:tc>
          <w:tcPr>
            <w:tcW w:w="2755"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8"/>
              </w:rPr>
              <w:t xml:space="preserve">PCMH transformation; CoCM; CCBHC expansion; Blueprint 5.8:1 ROI</w:t>
            </w:r>
          </w:p>
        </w:tc>
      </w:tr>
      <w:tr>
        <w:trPr/>
        <w:tc>
          <w:tcPr>
            <w:tcW w:w="348" w:type="dxa"/>
          </w:tcPr>
          <w:p>
            <w:pPr>
              <w:pStyle w:val="Compact"/>
              <w:jc w:val="center"/>
            </w:pPr>
            <w:r>
              <w:rPr>
                <w:sz w:val="18"/>
              </w:rPr>
              <w:t xml:space="preserve">5</w:t>
            </w:r>
          </w:p>
        </w:tc>
        <w:tc>
          <w:tcPr>
            <w:tcW w:w="458" w:type="dxa"/>
          </w:tcPr>
          <w:p>
            <w:pPr>
              <w:pStyle w:val="Compact"/>
              <w:jc w:val="left"/>
            </w:pPr>
            <w:r>
              <w:rPr>
                <w:sz w:val="18"/>
              </w:rPr>
              <w:t xml:space="preserve">Equity</w:t>
            </w:r>
          </w:p>
        </w:tc>
        <w:tc>
          <w:tcPr>
            <w:tcW w:w="2755" w:type="dxa"/>
          </w:tcPr>
          <w:p>
            <w:pPr>
              <w:pStyle w:val="Compact"/>
              <w:jc w:val="left"/>
            </w:pPr>
            <w:r>
              <w:rPr>
                <w:sz w:val="18"/>
              </w:rPr>
              <w:t xml:space="preserve">Audit, calibrate, correct — with social risk adjustment embedded in payment design</w:t>
            </w:r>
          </w:p>
        </w:tc>
        <w:tc>
          <w:tcPr>
            <w:tcW w:w="2755" w:type="dxa"/>
          </w:tcPr>
          <w:p>
            <w:pPr>
              <w:pStyle w:val="Compact"/>
              <w:jc w:val="left"/>
            </w:pPr>
            <w:r>
              <w:rPr>
                <w:sz w:val="18"/>
              </w:rPr>
              <w:t xml:space="preserve">Equity is a constraining dependency throughout. Without social risk adjustment, global budgets penalize safety-net providers.</w:t>
            </w:r>
          </w:p>
        </w:tc>
        <w:tc>
          <w:tcPr>
            <w:tcW w:w="2755" w:type="dxa"/>
          </w:tcPr>
          <w:p>
            <w:pPr>
              <w:pStyle w:val="Compact"/>
              <w:jc w:val="left"/>
            </w:pPr>
            <w:r>
              <w:rPr>
                <w:sz w:val="18"/>
              </w:rPr>
              <w:t xml:space="preserve">HRSN screening; EAST Fund for SDOH; SRA in global budgets; REH model</w:t>
            </w:r>
          </w:p>
        </w:tc>
      </w:tr>
      <w:tr>
        <w:trPr>
          <w:cantSplit/>
        </w:trPr>
        <w:tc>
          <w:tcPr>
            <w:tcW w:w="348" w:type="dxa"/>
          </w:tcPr>
          <w:p>
            <w:pPr>
              <w:pStyle w:val="Compact"/>
              <w:jc w:val="center"/>
            </w:pPr>
            <w:r>
              <w:rPr>
                <w:sz w:val="18"/>
              </w:rPr>
              <w:t xml:space="preserve">6</w:t>
            </w:r>
          </w:p>
        </w:tc>
        <w:tc>
          <w:tcPr>
            <w:tcW w:w="458" w:type="dxa"/>
          </w:tcPr>
          <w:p>
            <w:pPr>
              <w:pStyle w:val="Compact"/>
              <w:jc w:val="left"/>
            </w:pPr>
            <w:r>
              <w:rPr>
                <w:sz w:val="18"/>
              </w:rPr>
              <w:t xml:space="preserve">Operations</w:t>
            </w:r>
          </w:p>
        </w:tc>
        <w:tc>
          <w:tcPr>
            <w:tcW w:w="2755" w:type="dxa"/>
          </w:tcPr>
          <w:p>
            <w:pPr>
              <w:pStyle w:val="Compact"/>
              <w:jc w:val="left"/>
            </w:pPr>
            <w:r>
              <w:rPr>
                <w:sz w:val="18"/>
              </w:rPr>
              <w:t xml:space="preserve">Close the administrative cost gap and translate strategy into implemented programs</w:t>
            </w:r>
          </w:p>
        </w:tc>
        <w:tc>
          <w:tcPr>
            <w:tcW w:w="2755"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8"/>
              </w:rPr>
              <w:t xml:space="preserve">RHRC methodology; shared services; 14-hospital transformation planning</w:t>
            </w:r>
          </w:p>
        </w:tc>
      </w:tr>
    </w:tbl>
    <w:p>
      <w:pPr>
        <w:pStyle w:val="Caption"/>
      </w:pPr>
      <w:r>
        <w:rPr>
          <w:i/>
          <w:iCs/>
        </w:rPr>
        <w:t xml:space="preserve">Figure 1.2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autofit"/>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autofit"/>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autofit"/>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autofit"/>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autofit"/>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autofit"/>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autofit"/>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autofit"/>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autofit"/>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autofit"/>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autofit"/>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autofit"/>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autofit"/>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autofit"/>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autofit"/>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autofit"/>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autofit"/>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autofit"/>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autofit"/>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autofit"/>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keepNext/>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autofit"/>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autofit"/>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tbl>
      <w:tblPr>
        <w:tblStyle w:val="HTRTable"/>
        <w:tblLook w:firstRow="1" w:lastRow="0" w:firstColumn="0" w:lastColumn="0" w:noHBand="0" w:noVBand="1" w:val="0020"/>
        <w:tblW w:w="9072" w:type="dxa"/>
        <w:tblLayout w:type="autofit"/>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autofit"/>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46" w:name="_Toc1445"/>
      <w:r>
        <w:rPr>
          <w:b/>
          <w:bCs/>
          <w:color w:val="161B22"/>
        </w:rPr>
        <w:t xml:space="preserve">Appendix C — The 14-Hospital Centers of Excellence Assignment Framework</w:t>
      </w:r>
      <w:bookmarkEnd w:id="1446"/>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autofit"/>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2026-07-28T20:57:33Z</dcterms:created>
  <dcterms:modified xsi:type="dcterms:W3CDTF">2026-07-28T20:57:33Z</dcterms:modified>
</cp:coreProperties>
</file>

<file path=docProps/custom.xml><?xml version="1.0" encoding="utf-8"?>
<Properties xmlns="http://schemas.openxmlformats.org/officeDocument/2006/custom-properties" xmlns:vt="http://schemas.openxmlformats.org/officeDocument/2006/docPropsVTypes"/>
</file>