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600"/>
      </w:pPr>
    </w:p>
    <w:p>
      <w:pPr>
        <w:jc w:val="center"/>
      </w:pPr>
      <w:r>
        <w:drawing>
          <wp:inline>
            <wp:extent cx="5760720" cy="4631436"/>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760720" cy="4631436"/>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into Vermont’s Reform</w:t>
        </w:r>
      </w:hyperlink>
      <w:r>
        <w:tab/>
      </w:r>
      <w:r>
        <w:fldChar w:fldCharType="begin"/>
      </w:r>
      <w:r>
        <w:instrText xml:space="preserve"> PAGEREF _Toc1190 \h </w:instrText>
      </w:r>
      <w:r>
        <w:fldChar w:fldCharType="separate"/>
      </w:r>
      <w:r>
        <w:t>1</w:t>
      </w:r>
      <w:r>
        <w:fldChar w:fldCharType="end"/>
      </w:r>
    </w:p>
    <w:p>
      <w:pPr>
        <w:pStyle w:val="TOC2"/>
      </w:pPr>
      <w:hyperlink w:anchor="_Toc1193">
        <w:r>
          <w:t xml:space="preserve">Hospital Financial Modeling — Reading the Numbers That Matter</w:t>
        </w:r>
      </w:hyperlink>
      <w:r>
        <w:tab/>
      </w:r>
      <w:r>
        <w:fldChar w:fldCharType="begin"/>
      </w:r>
      <w:r>
        <w:instrText xml:space="preserve"> PAGEREF _Toc1193 \h </w:instrText>
      </w:r>
      <w:r>
        <w:fldChar w:fldCharType="separate"/>
      </w:r>
      <w:r>
        <w:t>1</w:t>
      </w:r>
      <w:r>
        <w:fldChar w:fldCharType="end"/>
      </w:r>
    </w:p>
    <w:p>
      <w:pPr>
        <w:pStyle w:val="TOC2"/>
      </w:pPr>
      <w:hyperlink w:anchor="_Toc1197">
        <w:r>
          <w:t xml:space="preserve">APM Transition Strategy for Vermont Healthcare Organizations</w:t>
        </w:r>
      </w:hyperlink>
      <w:r>
        <w:tab/>
      </w:r>
      <w:r>
        <w:fldChar w:fldCharType="begin"/>
      </w:r>
      <w:r>
        <w:instrText xml:space="preserve"> PAGEREF _Toc1197 \h </w:instrText>
      </w:r>
      <w:r>
        <w:fldChar w:fldCharType="separate"/>
      </w:r>
      <w:r>
        <w:t>1</w:t>
      </w:r>
      <w:r>
        <w:fldChar w:fldCharType="end"/>
      </w:r>
    </w:p>
    <w:p>
      <w:pPr>
        <w:pStyle w:val="TOC2"/>
      </w:pPr>
      <w:hyperlink w:anchor="_Toc1200">
        <w:r>
          <w:t xml:space="preserve">Work This Chapter on the Platform</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Implications for You</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Key Concepts in This Chapter</w:t>
        </w:r>
      </w:hyperlink>
      <w:r>
        <w:tab/>
      </w:r>
      <w:r>
        <w:fldChar w:fldCharType="begin"/>
      </w:r>
      <w:r>
        <w:instrText xml:space="preserve"> PAGEREF _Toc1202 \h </w:instrText>
      </w:r>
      <w:r>
        <w:fldChar w:fldCharType="separate"/>
      </w:r>
      <w:r>
        <w:t>1</w:t>
      </w:r>
      <w:r>
        <w:fldChar w:fldCharType="end"/>
      </w:r>
    </w:p>
    <w:p>
      <w:pPr>
        <w:pStyle w:val="TOC1"/>
      </w:pPr>
      <w:hyperlink w:anchor="_Toc1203">
        <w:r>
          <w:t xml:space="preserve">Chapter 7: The Economics Pillar in Practice — VBC Financial Modeling and APM Readiness</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From Payment Architecture to Financial Practice</w:t>
        </w:r>
      </w:hyperlink>
      <w:r>
        <w:tab/>
      </w:r>
      <w:r>
        <w:fldChar w:fldCharType="begin"/>
      </w:r>
      <w:r>
        <w:instrText xml:space="preserve"> PAGEREF _Toc1204 \h </w:instrText>
      </w:r>
      <w:r>
        <w:fldChar w:fldCharType="separate"/>
      </w:r>
      <w:r>
        <w:t>1</w:t>
      </w:r>
      <w:r>
        <w:fldChar w:fldCharType="end"/>
      </w:r>
    </w:p>
    <w:p>
      <w:pPr>
        <w:pStyle w:val="TOC2"/>
      </w:pPr>
      <w:hyperlink w:anchor="_Toc1205">
        <w:r>
          <w:t xml:space="preserve">The APM Financial Modeling Framework</w:t>
        </w:r>
      </w:hyperlink>
      <w:r>
        <w:tab/>
      </w:r>
      <w:r>
        <w:fldChar w:fldCharType="begin"/>
      </w:r>
      <w:r>
        <w:instrText xml:space="preserve"> PAGEREF _Toc1205 \h </w:instrText>
      </w:r>
      <w:r>
        <w:fldChar w:fldCharType="separate"/>
      </w:r>
      <w:r>
        <w:t>1</w:t>
      </w:r>
      <w:r>
        <w:fldChar w:fldCharType="end"/>
      </w:r>
    </w:p>
    <w:p>
      <w:pPr>
        <w:pStyle w:val="TOC2"/>
      </w:pPr>
      <w:hyperlink w:anchor="_Toc1213">
        <w:r>
          <w:t xml:space="preserve">Economics Pillar Implementation Matrix</w:t>
        </w:r>
      </w:hyperlink>
      <w:r>
        <w:tab/>
      </w:r>
      <w:r>
        <w:fldChar w:fldCharType="begin"/>
      </w:r>
      <w:r>
        <w:instrText xml:space="preserve"> PAGEREF _Toc1213 \h </w:instrText>
      </w:r>
      <w:r>
        <w:fldChar w:fldCharType="separate"/>
      </w:r>
      <w:r>
        <w:t>1</w:t>
      </w:r>
      <w:r>
        <w:fldChar w:fldCharType="end"/>
      </w:r>
    </w:p>
    <w:p>
      <w:pPr>
        <w:pStyle w:val="TOC2"/>
      </w:pPr>
      <w:hyperlink w:anchor="_Toc1214">
        <w:r>
          <w:t xml:space="preserve">APM Readiness Assessment — The 30-Dimension Framework</w:t>
        </w:r>
      </w:hyperlink>
      <w:r>
        <w:tab/>
      </w:r>
      <w:r>
        <w:fldChar w:fldCharType="begin"/>
      </w:r>
      <w:r>
        <w:instrText xml:space="preserve"> PAGEREF _Toc1214 \h </w:instrText>
      </w:r>
      <w:r>
        <w:fldChar w:fldCharType="separate"/>
      </w:r>
      <w:r>
        <w:t>1</w:t>
      </w:r>
      <w:r>
        <w:fldChar w:fldCharType="end"/>
      </w:r>
    </w:p>
    <w:p>
      <w:pPr>
        <w:pStyle w:val="TOC2"/>
      </w:pPr>
      <w:hyperlink w:anchor="_Toc1217">
        <w:r>
          <w:t xml:space="preserve">Contract Analysis — Reading an APM Contract for Financial Risk</w:t>
        </w:r>
      </w:hyperlink>
      <w:r>
        <w:tab/>
      </w:r>
      <w:r>
        <w:fldChar w:fldCharType="begin"/>
      </w:r>
      <w:r>
        <w:instrText xml:space="preserve"> PAGEREF _Toc1217 \h </w:instrText>
      </w:r>
      <w:r>
        <w:fldChar w:fldCharType="separate"/>
      </w:r>
      <w:r>
        <w:t>1</w:t>
      </w:r>
      <w:r>
        <w:fldChar w:fldCharType="end"/>
      </w:r>
    </w:p>
    <w:p>
      <w:pPr>
        <w:pStyle w:val="TOC2"/>
      </w:pPr>
      <w:hyperlink w:anchor="_Toc1219">
        <w:r>
          <w:t xml:space="preserve">Hospital Financial Modeling Under Global Budgets — The Vermont Framework</w:t>
        </w:r>
      </w:hyperlink>
      <w:r>
        <w:tab/>
      </w:r>
      <w:r>
        <w:fldChar w:fldCharType="begin"/>
      </w:r>
      <w:r>
        <w:instrText xml:space="preserve"> PAGEREF _Toc1219 \h </w:instrText>
      </w:r>
      <w:r>
        <w:fldChar w:fldCharType="separate"/>
      </w:r>
      <w:r>
        <w:t>1</w:t>
      </w:r>
      <w:r>
        <w:fldChar w:fldCharType="end"/>
      </w:r>
    </w:p>
    <w:p>
      <w:pPr>
        <w:pStyle w:val="TOC2"/>
      </w:pPr>
      <w:hyperlink w:anchor="_Toc1222">
        <w:r>
          <w:t xml:space="preserve">The ROI of Transformation — Building the Financial Case</w:t>
        </w:r>
      </w:hyperlink>
      <w:r>
        <w:tab/>
      </w:r>
      <w:r>
        <w:fldChar w:fldCharType="begin"/>
      </w:r>
      <w:r>
        <w:instrText xml:space="preserve"> PAGEREF _Toc1222 \h </w:instrText>
      </w:r>
      <w:r>
        <w:fldChar w:fldCharType="separate"/>
      </w:r>
      <w:r>
        <w:t>1</w:t>
      </w:r>
      <w:r>
        <w:fldChar w:fldCharType="end"/>
      </w:r>
    </w:p>
    <w:p>
      <w:pPr>
        <w:pStyle w:val="TOC2"/>
      </w:pPr>
      <w:hyperlink w:anchor="_Toc1224">
        <w:r>
          <w:t xml:space="preserve">Making Care Primary — Vermont’s Primary Care Economics</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Work This Chapter on the Platform</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Implications for You</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Key Concepts in This Chapter</w:t>
        </w:r>
      </w:hyperlink>
      <w:r>
        <w:tab/>
      </w:r>
      <w:r>
        <w:fldChar w:fldCharType="begin"/>
      </w:r>
      <w:r>
        <w:instrText xml:space="preserve"> PAGEREF _Toc1227 \h </w:instrText>
      </w:r>
      <w:r>
        <w:fldChar w:fldCharType="separate"/>
      </w:r>
      <w:r>
        <w:t>1</w:t>
      </w:r>
      <w:r>
        <w:fldChar w:fldCharType="end"/>
      </w:r>
    </w:p>
    <w:p>
      <w:pPr>
        <w:pStyle w:val="TOC1"/>
      </w:pPr>
      <w:hyperlink w:anchor="_Toc1228">
        <w:r>
          <w:t xml:space="preserve">Chapter 8: The Clinical Pillar — Redesigning Care Delivery for a Transformed System</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Clinical Pillar: What It Is and Why It Is Not the Same as Clinical Quality</w:t>
        </w:r>
      </w:hyperlink>
      <w:r>
        <w:tab/>
      </w:r>
      <w:r>
        <w:fldChar w:fldCharType="begin"/>
      </w:r>
      <w:r>
        <w:instrText xml:space="preserve"> PAGEREF _Toc1229 \h </w:instrText>
      </w:r>
      <w:r>
        <w:fldChar w:fldCharType="separate"/>
      </w:r>
      <w:r>
        <w:t>1</w:t>
      </w:r>
      <w:r>
        <w:fldChar w:fldCharType="end"/>
      </w:r>
    </w:p>
    <w:p>
      <w:pPr>
        <w:pStyle w:val="TOC2"/>
      </w:pPr>
      <w:hyperlink w:anchor="_Toc1230">
        <w:r>
          <w:t xml:space="preserve">The Vermont Blueprint for Health — Two Decades of Primary Care Transformation</w:t>
        </w:r>
      </w:hyperlink>
      <w:r>
        <w:tab/>
      </w:r>
      <w:r>
        <w:fldChar w:fldCharType="begin"/>
      </w:r>
      <w:r>
        <w:instrText xml:space="preserve"> PAGEREF _Toc1230 \h </w:instrText>
      </w:r>
      <w:r>
        <w:fldChar w:fldCharType="separate"/>
      </w:r>
      <w:r>
        <w:t>1</w:t>
      </w:r>
      <w:r>
        <w:fldChar w:fldCharType="end"/>
      </w:r>
    </w:p>
    <w:p>
      <w:pPr>
        <w:pStyle w:val="TOC2"/>
      </w:pPr>
      <w:hyperlink w:anchor="_Toc1234">
        <w:r>
          <w:t xml:space="preserve">The Behavioral Health Crisis — Vermont’s Most Urgent Clinical Challenge</w:t>
        </w:r>
      </w:hyperlink>
      <w:r>
        <w:tab/>
      </w:r>
      <w:r>
        <w:fldChar w:fldCharType="begin"/>
      </w:r>
      <w:r>
        <w:instrText xml:space="preserve"> PAGEREF _Toc1234 \h </w:instrText>
      </w:r>
      <w:r>
        <w:fldChar w:fldCharType="separate"/>
      </w:r>
      <w:r>
        <w:t>1</w:t>
      </w:r>
      <w:r>
        <w:fldChar w:fldCharType="end"/>
      </w:r>
    </w:p>
    <w:p>
      <w:pPr>
        <w:pStyle w:val="TOC2"/>
      </w:pPr>
      <w:hyperlink w:anchor="_Toc1238">
        <w:r>
          <w:t xml:space="preserve">Primary Care Redesign — Vermont’s Strategy for the Front Door</w:t>
        </w:r>
      </w:hyperlink>
      <w:r>
        <w:tab/>
      </w:r>
      <w:r>
        <w:fldChar w:fldCharType="begin"/>
      </w:r>
      <w:r>
        <w:instrText xml:space="preserve"> PAGEREF _Toc1238 \h </w:instrText>
      </w:r>
      <w:r>
        <w:fldChar w:fldCharType="separate"/>
      </w:r>
      <w:r>
        <w:t>1</w:t>
      </w:r>
      <w:r>
        <w:fldChar w:fldCharType="end"/>
      </w:r>
    </w:p>
    <w:p>
      <w:pPr>
        <w:pStyle w:val="TOC2"/>
      </w:pPr>
      <w:hyperlink w:anchor="_Toc1241">
        <w:r>
          <w:t xml:space="preserve">Vermont’s Clinical Quality Architecture — Measuring What Matters</w:t>
        </w:r>
      </w:hyperlink>
      <w:r>
        <w:tab/>
      </w:r>
      <w:r>
        <w:fldChar w:fldCharType="begin"/>
      </w:r>
      <w:r>
        <w:instrText xml:space="preserve"> PAGEREF _Toc1241 \h </w:instrText>
      </w:r>
      <w:r>
        <w:fldChar w:fldCharType="separate"/>
      </w:r>
      <w:r>
        <w:t>1</w:t>
      </w:r>
      <w:r>
        <w:fldChar w:fldCharType="end"/>
      </w:r>
    </w:p>
    <w:p>
      <w:pPr>
        <w:pStyle w:val="TOC2"/>
      </w:pPr>
      <w:hyperlink w:anchor="_Toc1243">
        <w:r>
          <w:t xml:space="preserve">Care for Vermont’s Aging Population — The Clinical Imperative</w:t>
        </w:r>
      </w:hyperlink>
      <w:r>
        <w:tab/>
      </w:r>
      <w:r>
        <w:fldChar w:fldCharType="begin"/>
      </w:r>
      <w:r>
        <w:instrText xml:space="preserve"> PAGEREF _Toc1243 \h </w:instrText>
      </w:r>
      <w:r>
        <w:fldChar w:fldCharType="separate"/>
      </w:r>
      <w:r>
        <w:t>1</w:t>
      </w:r>
      <w:r>
        <w:fldChar w:fldCharType="end"/>
      </w:r>
    </w:p>
    <w:p>
      <w:pPr>
        <w:pStyle w:val="TOC2"/>
      </w:pPr>
      <w:hyperlink w:anchor="_Toc1246">
        <w:r>
          <w:t xml:space="preserve">Clinical Pillar Implications for AHS’s Statewide Strategic Plan</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Work This Chapter on the Platform</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Implications for You</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Key Concepts in This Chapter</w:t>
        </w:r>
      </w:hyperlink>
      <w:r>
        <w:tab/>
      </w:r>
      <w:r>
        <w:fldChar w:fldCharType="begin"/>
      </w:r>
      <w:r>
        <w:instrText xml:space="preserve"> PAGEREF _Toc1249 \h </w:instrText>
      </w:r>
      <w:r>
        <w:fldChar w:fldCharType="separate"/>
      </w:r>
      <w:r>
        <w:t>1</w:t>
      </w:r>
      <w:r>
        <w:fldChar w:fldCharType="end"/>
      </w:r>
    </w:p>
    <w:p>
      <w:pPr>
        <w:pStyle w:val="TOC1"/>
      </w:pPr>
      <w:hyperlink w:anchor="_Toc1250">
        <w:r>
          <w:t xml:space="preserve">Chapter 9: The Clinical Pillar in Practice — Care Model Implementation, Quality Mechanics, and the Vermont Clinical Transformation Toolkit</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From Clinical Architecture to Clinical Practice</w:t>
        </w:r>
      </w:hyperlink>
      <w:r>
        <w:tab/>
      </w:r>
      <w:r>
        <w:fldChar w:fldCharType="begin"/>
      </w:r>
      <w:r>
        <w:instrText xml:space="preserve"> PAGEREF _Toc1251 \h </w:instrText>
      </w:r>
      <w:r>
        <w:fldChar w:fldCharType="separate"/>
      </w:r>
      <w:r>
        <w:t>1</w:t>
      </w:r>
      <w:r>
        <w:fldChar w:fldCharType="end"/>
      </w:r>
    </w:p>
    <w:p>
      <w:pPr>
        <w:pStyle w:val="TOC2"/>
      </w:pPr>
      <w:hyperlink w:anchor="_Toc1252">
        <w:r>
          <w:t xml:space="preserve">PCMH Transformation — The Blueprint Practice Implementation Playbook</w:t>
        </w:r>
      </w:hyperlink>
      <w:r>
        <w:tab/>
      </w:r>
      <w:r>
        <w:fldChar w:fldCharType="begin"/>
      </w:r>
      <w:r>
        <w:instrText xml:space="preserve"> PAGEREF _Toc1252 \h </w:instrText>
      </w:r>
      <w:r>
        <w:fldChar w:fldCharType="separate"/>
      </w:r>
      <w:r>
        <w:t>1</w:t>
      </w:r>
      <w:r>
        <w:fldChar w:fldCharType="end"/>
      </w:r>
    </w:p>
    <w:p>
      <w:pPr>
        <w:pStyle w:val="TOC2"/>
      </w:pPr>
      <w:hyperlink w:anchor="_Toc1256">
        <w:r>
          <w:t xml:space="preserve">Deploying the Collaborative Care Model — Operational Requirements</w:t>
        </w:r>
      </w:hyperlink>
      <w:r>
        <w:tab/>
      </w:r>
      <w:r>
        <w:fldChar w:fldCharType="begin"/>
      </w:r>
      <w:r>
        <w:instrText xml:space="preserve"> PAGEREF _Toc1256 \h </w:instrText>
      </w:r>
      <w:r>
        <w:fldChar w:fldCharType="separate"/>
      </w:r>
      <w:r>
        <w:t>1</w:t>
      </w:r>
      <w:r>
        <w:fldChar w:fldCharType="end"/>
      </w:r>
    </w:p>
    <w:p>
      <w:pPr>
        <w:pStyle w:val="TOC2"/>
      </w:pPr>
      <w:hyperlink w:anchor="_Toc1260">
        <w:r>
          <w:t xml:space="preserve">HEDIS Improvement Methodology — Vermont Context</w:t>
        </w:r>
      </w:hyperlink>
      <w:r>
        <w:tab/>
      </w:r>
      <w:r>
        <w:fldChar w:fldCharType="begin"/>
      </w:r>
      <w:r>
        <w:instrText xml:space="preserve"> PAGEREF _Toc1260 \h </w:instrText>
      </w:r>
      <w:r>
        <w:fldChar w:fldCharType="separate"/>
      </w:r>
      <w:r>
        <w:t>1</w:t>
      </w:r>
      <w:r>
        <w:fldChar w:fldCharType="end"/>
      </w:r>
    </w:p>
    <w:p>
      <w:pPr>
        <w:pStyle w:val="TOC2"/>
      </w:pPr>
      <w:hyperlink w:anchor="_Toc1263">
        <w:r>
          <w:t xml:space="preserve">The Clinical Data Infrastructure — Connecting Care to Population Health Management</w:t>
        </w:r>
      </w:hyperlink>
      <w:r>
        <w:tab/>
      </w:r>
      <w:r>
        <w:fldChar w:fldCharType="begin"/>
      </w:r>
      <w:r>
        <w:instrText xml:space="preserve"> PAGEREF _Toc1263 \h </w:instrText>
      </w:r>
      <w:r>
        <w:fldChar w:fldCharType="separate"/>
      </w:r>
      <w:r>
        <w:t>1</w:t>
      </w:r>
      <w:r>
        <w:fldChar w:fldCharType="end"/>
      </w:r>
    </w:p>
    <w:p>
      <w:pPr>
        <w:pStyle w:val="TOC2"/>
      </w:pPr>
      <w:hyperlink w:anchor="_Toc1266">
        <w:r>
          <w:t xml:space="preserve">The Care Transition Protocol — Closing the Loop Between Hospital and Community</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Leadership in Transformation — The Under-Resourced Pillar</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Commitments for AHS’s Statewide Strategic Plan</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Clinical Pillar Implementation Matrix</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Work This Chapter on the Platform</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Implications for You</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Key Concepts in This Chapter</w:t>
        </w:r>
      </w:hyperlink>
      <w:r>
        <w:tab/>
      </w:r>
      <w:r>
        <w:fldChar w:fldCharType="begin"/>
      </w:r>
      <w:r>
        <w:instrText xml:space="preserve"> PAGEREF _Toc1272 \h </w:instrText>
      </w:r>
      <w:r>
        <w:fldChar w:fldCharType="separate"/>
      </w:r>
      <w:r>
        <w:t>1</w:t>
      </w:r>
      <w:r>
        <w:fldChar w:fldCharType="end"/>
      </w:r>
    </w:p>
    <w:p>
      <w:pPr>
        <w:pStyle w:val="TOC1"/>
      </w:pPr>
      <w:hyperlink w:anchor="_Toc1273">
        <w:r>
          <w:t xml:space="preserve">Chapter 10: The Equity Pillar — Closing Gaps, Not Just Averaging Them</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The Equity Pillar: Why Average Outcomes Are the Wrong Target</w:t>
        </w:r>
      </w:hyperlink>
      <w:r>
        <w:tab/>
      </w:r>
      <w:r>
        <w:fldChar w:fldCharType="begin"/>
      </w:r>
      <w:r>
        <w:instrText xml:space="preserve"> PAGEREF _Toc1274 \h </w:instrText>
      </w:r>
      <w:r>
        <w:fldChar w:fldCharType="separate"/>
      </w:r>
      <w:r>
        <w:t>1</w:t>
      </w:r>
      <w:r>
        <w:fldChar w:fldCharType="end"/>
      </w:r>
    </w:p>
    <w:p>
      <w:pPr>
        <w:pStyle w:val="TOC2"/>
      </w:pPr>
      <w:hyperlink w:anchor="_Toc1275">
        <w:r>
          <w:t xml:space="preserve">Vermont’s Equity Landscape — What the Data Shows</w:t>
        </w:r>
      </w:hyperlink>
      <w:r>
        <w:tab/>
      </w:r>
      <w:r>
        <w:fldChar w:fldCharType="begin"/>
      </w:r>
      <w:r>
        <w:instrText xml:space="preserve"> PAGEREF _Toc1275 \h </w:instrText>
      </w:r>
      <w:r>
        <w:fldChar w:fldCharType="separate"/>
      </w:r>
      <w:r>
        <w:t>1</w:t>
      </w:r>
      <w:r>
        <w:fldChar w:fldCharType="end"/>
      </w:r>
    </w:p>
    <w:p>
      <w:pPr>
        <w:pStyle w:val="TOC2"/>
      </w:pPr>
      <w:hyperlink w:anchor="_Toc1279">
        <w:r>
          <w:t xml:space="preserve">The Disparity Root Cause Taxonomy — Why Vermont’s Equity Gaps Exist</w:t>
        </w:r>
      </w:hyperlink>
      <w:r>
        <w:tab/>
      </w:r>
      <w:r>
        <w:fldChar w:fldCharType="begin"/>
      </w:r>
      <w:r>
        <w:instrText xml:space="preserve"> PAGEREF _Toc1279 \h </w:instrText>
      </w:r>
      <w:r>
        <w:fldChar w:fldCharType="separate"/>
      </w:r>
      <w:r>
        <w:t>1</w:t>
      </w:r>
      <w:r>
        <w:fldChar w:fldCharType="end"/>
      </w:r>
    </w:p>
    <w:p>
      <w:pPr>
        <w:pStyle w:val="TOC2"/>
      </w:pPr>
      <w:hyperlink w:anchor="_Toc1280">
        <w:r>
          <w:t xml:space="preserve">Rural Equity — Vermont’s Defining Challenge</w:t>
        </w:r>
      </w:hyperlink>
      <w:r>
        <w:tab/>
      </w:r>
      <w:r>
        <w:fldChar w:fldCharType="begin"/>
      </w:r>
      <w:r>
        <w:instrText xml:space="preserve"> PAGEREF _Toc1280 \h </w:instrText>
      </w:r>
      <w:r>
        <w:fldChar w:fldCharType="separate"/>
      </w:r>
      <w:r>
        <w:t>1</w:t>
      </w:r>
      <w:r>
        <w:fldChar w:fldCharType="end"/>
      </w:r>
    </w:p>
    <w:p>
      <w:pPr>
        <w:pStyle w:val="TOC2"/>
      </w:pPr>
      <w:hyperlink w:anchor="_Toc1282">
        <w:r>
          <w:t xml:space="preserve">The GLP-1 Access Crisis — The Most Important New Equity Issue</w:t>
        </w:r>
      </w:hyperlink>
      <w:r>
        <w:tab/>
      </w:r>
      <w:r>
        <w:fldChar w:fldCharType="begin"/>
      </w:r>
      <w:r>
        <w:instrText xml:space="preserve"> PAGEREF _Toc1282 \h </w:instrText>
      </w:r>
      <w:r>
        <w:fldChar w:fldCharType="separate"/>
      </w:r>
      <w:r>
        <w:t>1</w:t>
      </w:r>
      <w:r>
        <w:fldChar w:fldCharType="end"/>
      </w:r>
    </w:p>
    <w:p>
      <w:pPr>
        <w:pStyle w:val="TOC2"/>
      </w:pPr>
      <w:hyperlink w:anchor="_Toc1286">
        <w:r>
          <w:t xml:space="preserve">Vermont’s Equity Architecture — What Is Already Built and What Remains</w:t>
        </w:r>
      </w:hyperlink>
      <w:r>
        <w:tab/>
      </w:r>
      <w:r>
        <w:fldChar w:fldCharType="begin"/>
      </w:r>
      <w:r>
        <w:instrText xml:space="preserve"> PAGEREF _Toc1286 \h </w:instrText>
      </w:r>
      <w:r>
        <w:fldChar w:fldCharType="separate"/>
      </w:r>
      <w:r>
        <w:t>1</w:t>
      </w:r>
      <w:r>
        <w:fldChar w:fldCharType="end"/>
      </w:r>
    </w:p>
    <w:p>
      <w:pPr>
        <w:pStyle w:val="TOC2"/>
      </w:pPr>
      <w:hyperlink w:anchor="_Toc1289">
        <w:r>
          <w:t xml:space="preserve">Equity and the Six-Pillar Framework — How Every Pillar Has an Equity Dimension</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Vermont’s Equity Accountability Framework</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Work This Chapter on the Platform</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Implications for You</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Measuring Equity: HEROI, HEDIS Stratification, and VBC Safeguards</w:t>
        </w:r>
      </w:hyperlink>
      <w:r>
        <w:tab/>
      </w:r>
      <w:r>
        <w:fldChar w:fldCharType="begin"/>
      </w:r>
      <w:r>
        <w:instrText xml:space="preserve"> PAGEREF _Toc1293 \h </w:instrText>
      </w:r>
      <w:r>
        <w:fldChar w:fldCharType="separate"/>
      </w:r>
      <w:r>
        <w:t>1</w:t>
      </w:r>
      <w:r>
        <w:fldChar w:fldCharType="end"/>
      </w:r>
    </w:p>
    <w:p>
      <w:pPr>
        <w:pStyle w:val="TOC2"/>
      </w:pPr>
      <w:hyperlink w:anchor="_Toc1294">
        <w:r>
          <w:t xml:space="preserve">From Identifying Disparities to Eliminating Them</w:t>
        </w:r>
      </w:hyperlink>
      <w:r>
        <w:tab/>
      </w:r>
      <w:r>
        <w:fldChar w:fldCharType="begin"/>
      </w:r>
      <w:r>
        <w:instrText xml:space="preserve"> PAGEREF _Toc1294 \h </w:instrText>
      </w:r>
      <w:r>
        <w:fldChar w:fldCharType="separate"/>
      </w:r>
      <w:r>
        <w:t>1</w:t>
      </w:r>
      <w:r>
        <w:fldChar w:fldCharType="end"/>
      </w:r>
    </w:p>
    <w:p>
      <w:pPr>
        <w:pStyle w:val="TOC2"/>
      </w:pPr>
      <w:hyperlink w:anchor="_Toc1295">
        <w:r>
          <w:t xml:space="preserve">Stratified HEDIS Measurement — The Foundation of Equity Analytics</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Equity Pillar Implementation Matrix</w:t>
        </w:r>
      </w:hyperlink>
      <w:r>
        <w:tab/>
      </w:r>
      <w:r>
        <w:fldChar w:fldCharType="begin"/>
      </w:r>
      <w:r>
        <w:instrText xml:space="preserve"> PAGEREF _Toc1297 \h </w:instrText>
      </w:r>
      <w:r>
        <w:fldChar w:fldCharType="separate"/>
      </w:r>
      <w:r>
        <w:t>1</w:t>
      </w:r>
      <w:r>
        <w:fldChar w:fldCharType="end"/>
      </w:r>
    </w:p>
    <w:p>
      <w:pPr>
        <w:pStyle w:val="TOC2"/>
      </w:pPr>
      <w:hyperlink w:anchor="_Toc1299">
        <w:r>
          <w:t xml:space="preserve">The HEROI Framework — A Composite Equity Score</w:t>
        </w:r>
      </w:hyperlink>
      <w:r>
        <w:tab/>
      </w:r>
      <w:r>
        <w:fldChar w:fldCharType="begin"/>
      </w:r>
      <w:r>
        <w:instrText xml:space="preserve"> PAGEREF _Toc1299 \h </w:instrText>
      </w:r>
      <w:r>
        <w:fldChar w:fldCharType="separate"/>
      </w:r>
      <w:r>
        <w:t>1</w:t>
      </w:r>
      <w:r>
        <w:fldChar w:fldCharType="end"/>
      </w:r>
    </w:p>
    <w:p>
      <w:pPr>
        <w:pStyle w:val="TOC2"/>
      </w:pPr>
      <w:hyperlink w:anchor="_Toc1302">
        <w:r>
          <w:t xml:space="preserve">Root Cause Analytics — Matching Interventions to Causes</w:t>
        </w:r>
      </w:hyperlink>
      <w:r>
        <w:tab/>
      </w:r>
      <w:r>
        <w:fldChar w:fldCharType="begin"/>
      </w:r>
      <w:r>
        <w:instrText xml:space="preserve"> PAGEREF _Toc1302 \h </w:instrText>
      </w:r>
      <w:r>
        <w:fldChar w:fldCharType="separate"/>
      </w:r>
      <w:r>
        <w:t>1</w:t>
      </w:r>
      <w:r>
        <w:fldChar w:fldCharType="end"/>
      </w:r>
    </w:p>
    <w:p>
      <w:pPr>
        <w:pStyle w:val="TOC2"/>
      </w:pPr>
      <w:hyperlink w:anchor="_Toc1305">
        <w:r>
          <w:t xml:space="preserve">Equity in VBC Contracting — Protecting Against Unintended Consequences</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Vermont’s Population Health Equity Analytics Architecture</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Implications for You — Equity Measurement</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Key Concepts in This Chapter</w:t>
        </w:r>
      </w:hyperlink>
      <w:r>
        <w:tab/>
      </w:r>
      <w:r>
        <w:fldChar w:fldCharType="begin"/>
      </w:r>
      <w:r>
        <w:instrText xml:space="preserve"> PAGEREF _Toc1310 \h </w:instrText>
      </w:r>
      <w:r>
        <w:fldChar w:fldCharType="separate"/>
      </w:r>
      <w:r>
        <w:t>1</w:t>
      </w:r>
      <w:r>
        <w:fldChar w:fldCharType="end"/>
      </w:r>
    </w:p>
    <w:p>
      <w:pPr>
        <w:pStyle w:val="TOC1"/>
      </w:pPr>
      <w:hyperlink w:anchor="_Toc1311">
        <w:r>
          <w:t xml:space="preserve">Chapter 11: The Operations Pillar — Executing Hospital System Transformation</w:t>
        </w:r>
      </w:hyperlink>
      <w:r>
        <w:tab/>
      </w:r>
      <w:r>
        <w:fldChar w:fldCharType="begin"/>
      </w:r>
      <w:r>
        <w:instrText xml:space="preserve"> PAGEREF _Toc1311 \h </w:instrText>
      </w:r>
      <w:r>
        <w:fldChar w:fldCharType="separate"/>
      </w:r>
      <w:r>
        <w:t>1</w:t>
      </w:r>
      <w:r>
        <w:fldChar w:fldCharType="end"/>
      </w:r>
    </w:p>
    <w:p>
      <w:pPr>
        <w:pStyle w:val="TOC2"/>
      </w:pPr>
      <w:hyperlink w:anchor="_Toc1312">
        <w:r>
          <w:t xml:space="preserve">The Operations Pillar: Where Strategy Meets Reality</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The Vermont Transformation Operating Model</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RHRC Methodology — Technical Assistance for Rural Hospital Transformation</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Vermont Hospital Performance Dashboard — Where Each Hospital Stands</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Regionalization — The Operational Logic of Right-Sizing a 14-Hospital System</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The Workforce Crisis — Vermont’s Most Binding Operational Constraint</w:t>
        </w:r>
      </w:hyperlink>
      <w:r>
        <w:tab/>
      </w:r>
      <w:r>
        <w:fldChar w:fldCharType="begin"/>
      </w:r>
      <w:r>
        <w:instrText xml:space="preserve"> PAGEREF _Toc1324 \h </w:instrText>
      </w:r>
      <w:r>
        <w:fldChar w:fldCharType="separate"/>
      </w:r>
      <w:r>
        <w:t>1</w:t>
      </w:r>
      <w:r>
        <w:fldChar w:fldCharType="end"/>
      </w:r>
    </w:p>
    <w:p>
      <w:pPr>
        <w:pStyle w:val="TOC2"/>
      </w:pPr>
      <w:hyperlink w:anchor="_Toc1328">
        <w:r>
          <w:t xml:space="preserve">The Operations Metrics Framework — What AHS Must Track</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AHS as System Operator — Organizational Design for the 2028 Mandate</w:t>
        </w:r>
      </w:hyperlink>
      <w:r>
        <w:tab/>
      </w:r>
      <w:r>
        <w:fldChar w:fldCharType="begin"/>
      </w:r>
      <w:r>
        <w:instrText xml:space="preserve"> PAGEREF _Toc1329 \h </w:instrText>
      </w:r>
      <w:r>
        <w:fldChar w:fldCharType="separate"/>
      </w:r>
      <w:r>
        <w:t>1</w:t>
      </w:r>
      <w:r>
        <w:fldChar w:fldCharType="end"/>
      </w:r>
    </w:p>
    <w:p>
      <w:pPr>
        <w:pStyle w:val="TOC2"/>
      </w:pPr>
      <w:hyperlink w:anchor="_Toc1332">
        <w:r>
          <w:t xml:space="preserve">Work This Chapter on the Platform</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Implications for You</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HCC Coding, Credentialing, and Administrative Simplification</w:t>
        </w:r>
      </w:hyperlink>
      <w:r>
        <w:tab/>
      </w:r>
      <w:r>
        <w:fldChar w:fldCharType="begin"/>
      </w:r>
      <w:r>
        <w:instrText xml:space="preserve"> PAGEREF _Toc1334 \h </w:instrText>
      </w:r>
      <w:r>
        <w:fldChar w:fldCharType="separate"/>
      </w:r>
      <w:r>
        <w:t>1</w:t>
      </w:r>
      <w:r>
        <w:fldChar w:fldCharType="end"/>
      </w:r>
    </w:p>
    <w:p>
      <w:pPr>
        <w:pStyle w:val="TOC2"/>
      </w:pPr>
      <w:hyperlink w:anchor="_Toc1335">
        <w:r>
          <w:t xml:space="preserve">Operations Where Money Actually Lives</w:t>
        </w:r>
      </w:hyperlink>
      <w:r>
        <w:tab/>
      </w:r>
      <w:r>
        <w:fldChar w:fldCharType="begin"/>
      </w:r>
      <w:r>
        <w:instrText xml:space="preserve"> PAGEREF _Toc1335 \h </w:instrText>
      </w:r>
      <w:r>
        <w:fldChar w:fldCharType="separate"/>
      </w:r>
      <w:r>
        <w:t>1</w:t>
      </w:r>
      <w:r>
        <w:fldChar w:fldCharType="end"/>
      </w:r>
    </w:p>
    <w:p>
      <w:pPr>
        <w:pStyle w:val="TOC2"/>
      </w:pPr>
      <w:hyperlink w:anchor="_Toc1336">
        <w:r>
          <w:t xml:space="preserve">Revenue Cycle Transformation — From FFS Optimization to VBC Management</w:t>
        </w:r>
      </w:hyperlink>
      <w:r>
        <w:tab/>
      </w:r>
      <w:r>
        <w:fldChar w:fldCharType="begin"/>
      </w:r>
      <w:r>
        <w:instrText xml:space="preserve"> PAGEREF _Toc1336 \h </w:instrText>
      </w:r>
      <w:r>
        <w:fldChar w:fldCharType="separate"/>
      </w:r>
      <w:r>
        <w:t>1</w:t>
      </w:r>
      <w:r>
        <w:fldChar w:fldCharType="end"/>
      </w:r>
    </w:p>
    <w:p>
      <w:pPr>
        <w:pStyle w:val="TOC2"/>
      </w:pPr>
      <w:hyperlink w:anchor="_Toc1339">
        <w:r>
          <w:t xml:space="preserve">HCC Coding Excellence — The Risk Adjustment Foundation</w:t>
        </w:r>
      </w:hyperlink>
      <w:r>
        <w:tab/>
      </w:r>
      <w:r>
        <w:fldChar w:fldCharType="begin"/>
      </w:r>
      <w:r>
        <w:instrText xml:space="preserve"> PAGEREF _Toc1339 \h </w:instrText>
      </w:r>
      <w:r>
        <w:fldChar w:fldCharType="separate"/>
      </w:r>
      <w:r>
        <w:t>1</w:t>
      </w:r>
      <w:r>
        <w:fldChar w:fldCharType="end"/>
      </w:r>
    </w:p>
    <w:p>
      <w:pPr>
        <w:pStyle w:val="TOC2"/>
      </w:pPr>
      <w:hyperlink w:anchor="_Toc1343">
        <w:r>
          <w:t xml:space="preserve">Credentialing Efficiency — The Hidden Operations Bottleneck</w:t>
        </w:r>
      </w:hyperlink>
      <w:r>
        <w:tab/>
      </w:r>
      <w:r>
        <w:fldChar w:fldCharType="begin"/>
      </w:r>
      <w:r>
        <w:instrText xml:space="preserve"> PAGEREF _Toc1343 \h </w:instrText>
      </w:r>
      <w:r>
        <w:fldChar w:fldCharType="separate"/>
      </w:r>
      <w:r>
        <w:t>1</w:t>
      </w:r>
      <w:r>
        <w:fldChar w:fldCharType="end"/>
      </w:r>
    </w:p>
    <w:p>
      <w:pPr>
        <w:pStyle w:val="TOC2"/>
      </w:pPr>
      <w:hyperlink w:anchor="_Toc1346">
        <w:r>
          <w:t xml:space="preserve">Workforce Operations — Managing the Care Team in a Transformed System</w:t>
        </w:r>
      </w:hyperlink>
      <w:r>
        <w:tab/>
      </w:r>
      <w:r>
        <w:fldChar w:fldCharType="begin"/>
      </w:r>
      <w:r>
        <w:instrText xml:space="preserve"> PAGEREF _Toc1346 \h </w:instrText>
      </w:r>
      <w:r>
        <w:fldChar w:fldCharType="separate"/>
      </w:r>
      <w:r>
        <w:t>1</w:t>
      </w:r>
      <w:r>
        <w:fldChar w:fldCharType="end"/>
      </w:r>
    </w:p>
    <w:p>
      <w:pPr>
        <w:pStyle w:val="TOC2"/>
      </w:pPr>
      <w:hyperlink w:anchor="_Toc1350">
        <w:r>
          <w:t xml:space="preserve">Administrative Simplification — The Vermont Agenda</w:t>
        </w:r>
      </w:hyperlink>
      <w:r>
        <w:tab/>
      </w:r>
      <w:r>
        <w:fldChar w:fldCharType="begin"/>
      </w:r>
      <w:r>
        <w:instrText xml:space="preserve"> PAGEREF _Toc1350 \h </w:instrText>
      </w:r>
      <w:r>
        <w:fldChar w:fldCharType="separate"/>
      </w:r>
      <w:r>
        <w:t>1</w:t>
      </w:r>
      <w:r>
        <w:fldChar w:fldCharType="end"/>
      </w:r>
    </w:p>
    <w:p>
      <w:pPr>
        <w:pStyle w:val="TOC2"/>
      </w:pPr>
      <w:hyperlink w:anchor="_Toc1352">
        <w:r>
          <w:t xml:space="preserve">Operations Pillar Implementation Matrix</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Implications for You — Revenue Cycle and Coding</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Key Concepts in This Chapter</w:t>
        </w:r>
      </w:hyperlink>
      <w:r>
        <w:tab/>
      </w:r>
      <w:r>
        <w:fldChar w:fldCharType="begin"/>
      </w:r>
      <w:r>
        <w:instrText xml:space="preserve"> PAGEREF _Toc1354 \h </w:instrText>
      </w:r>
      <w:r>
        <w:fldChar w:fldCharType="separate"/>
      </w:r>
      <w:r>
        <w:t>1</w:t>
      </w:r>
      <w:r>
        <w:fldChar w:fldCharType="end"/>
      </w:r>
    </w:p>
    <w:p>
      <w:pPr>
        <w:pStyle w:val="TOC1"/>
      </w:pPr>
      <w:hyperlink w:anchor="_Toc1355">
        <w:r>
          <w:t xml:space="preserve">Chapter 12: Infrastructure for Knowledge Transfer and Implementation</w:t>
        </w:r>
      </w:hyperlink>
      <w:r>
        <w:tab/>
      </w:r>
      <w:r>
        <w:fldChar w:fldCharType="begin"/>
      </w:r>
      <w:r>
        <w:instrText xml:space="preserve"> PAGEREF _Toc1355 \h </w:instrText>
      </w:r>
      <w:r>
        <w:fldChar w:fldCharType="separate"/>
      </w:r>
      <w:r>
        <w:t>1</w:t>
      </w:r>
      <w:r>
        <w:fldChar w:fldCharType="end"/>
      </w:r>
    </w:p>
    <w:p>
      <w:pPr>
        <w:pStyle w:val="TOC2"/>
      </w:pPr>
      <w:hyperlink w:anchor="_Toc1356">
        <w:r>
          <w:t xml:space="preserve">The Gap Between Understanding and Doing</w:t>
        </w:r>
      </w:hyperlink>
      <w:r>
        <w:tab/>
      </w:r>
      <w:r>
        <w:fldChar w:fldCharType="begin"/>
      </w:r>
      <w:r>
        <w:instrText xml:space="preserve"> PAGEREF _Toc1356 \h </w:instrText>
      </w:r>
      <w:r>
        <w:fldChar w:fldCharType="separate"/>
      </w:r>
      <w:r>
        <w:t>1</w:t>
      </w:r>
      <w:r>
        <w:fldChar w:fldCharType="end"/>
      </w:r>
    </w:p>
    <w:p>
      <w:pPr>
        <w:pStyle w:val="TOC2"/>
      </w:pPr>
      <w:hyperlink w:anchor="_Toc1357">
        <w:r>
          <w:t xml:space="preserve">The Knowledge and Implementation Infrastructure</w:t>
        </w:r>
      </w:hyperlink>
      <w:r>
        <w:tab/>
      </w:r>
      <w:r>
        <w:fldChar w:fldCharType="begin"/>
      </w:r>
      <w:r>
        <w:instrText xml:space="preserve"> PAGEREF _Toc1357 \h </w:instrText>
      </w:r>
      <w:r>
        <w:fldChar w:fldCharType="separate"/>
      </w:r>
      <w:r>
        <w:t>1</w:t>
      </w:r>
      <w:r>
        <w:fldChar w:fldCharType="end"/>
      </w:r>
    </w:p>
    <w:p>
      <w:pPr>
        <w:pStyle w:val="TOC2"/>
      </w:pPr>
      <w:hyperlink w:anchor="_Toc1360">
        <w:r>
          <w:t xml:space="preserve">The Transformation Advisory Domains — Structured for the Six Pillars</w:t>
        </w:r>
      </w:hyperlink>
      <w:r>
        <w:tab/>
      </w:r>
      <w:r>
        <w:fldChar w:fldCharType="begin"/>
      </w:r>
      <w:r>
        <w:instrText xml:space="preserve"> PAGEREF _Toc1360 \h </w:instrText>
      </w:r>
      <w:r>
        <w:fldChar w:fldCharType="separate"/>
      </w:r>
      <w:r>
        <w:t>1</w:t>
      </w:r>
      <w:r>
        <w:fldChar w:fldCharType="end"/>
      </w:r>
    </w:p>
    <w:p>
      <w:pPr>
        <w:pStyle w:val="TOC2"/>
      </w:pPr>
      <w:hyperlink w:anchor="_Toc1366">
        <w:r>
          <w:t xml:space="preserve">The Change Management Science Behind Healthcare Transformation</w:t>
        </w:r>
      </w:hyperlink>
      <w:r>
        <w:tab/>
      </w:r>
      <w:r>
        <w:fldChar w:fldCharType="begin"/>
      </w:r>
      <w:r>
        <w:instrText xml:space="preserve"> PAGEREF _Toc1366 \h </w:instrText>
      </w:r>
      <w:r>
        <w:fldChar w:fldCharType="separate"/>
      </w:r>
      <w:r>
        <w:t>1</w:t>
      </w:r>
      <w:r>
        <w:fldChar w:fldCharType="end"/>
      </w:r>
    </w:p>
    <w:p>
      <w:pPr>
        <w:pStyle w:val="TOC2"/>
      </w:pPr>
      <w:hyperlink w:anchor="_Toc1369">
        <w:r>
          <w:t xml:space="preserve">The HTR Implementation Toolkit</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A Framework for Selecting Advisory Support</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The Role of External Technical Assistance in State-Level Transformation</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Work This Chapter on the Platform</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Implications for You</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Key Concepts in This Chapter</w:t>
        </w:r>
      </w:hyperlink>
      <w:r>
        <w:tab/>
      </w:r>
      <w:r>
        <w:fldChar w:fldCharType="begin"/>
      </w:r>
      <w:r>
        <w:instrText xml:space="preserve"> PAGEREF _Toc1374 \h </w:instrText>
      </w:r>
      <w:r>
        <w:fldChar w:fldCharType="separate"/>
      </w:r>
      <w:r>
        <w:t>1</w:t>
      </w:r>
      <w:r>
        <w:fldChar w:fldCharType="end"/>
      </w:r>
    </w:p>
    <w:p>
      <w:pPr>
        <w:pStyle w:val="TOC1"/>
      </w:pPr>
      <w:hyperlink w:anchor="_Toc1375">
        <w:r>
          <w:t xml:space="preserve">Chapter 13 — The Future of Healthcare Transformation: 2026, What Vermont Proves, and What Remains</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 Transformation Scorecard: Six-Pillar Status, April 2026</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Where the System Stands in April 2026 — A Necessary Update</w:t>
        </w:r>
      </w:hyperlink>
      <w:r>
        <w:tab/>
      </w:r>
      <w:r>
        <w:fldChar w:fldCharType="begin"/>
      </w:r>
      <w:r>
        <w:instrText xml:space="preserve"> PAGEREF _Toc1377 \h </w:instrText>
      </w:r>
      <w:r>
        <w:fldChar w:fldCharType="separate"/>
      </w:r>
      <w:r>
        <w:t>1</w:t>
      </w:r>
      <w:r>
        <w:fldChar w:fldCharType="end"/>
      </w:r>
    </w:p>
    <w:p>
      <w:pPr>
        <w:pStyle w:val="TOC2"/>
      </w:pPr>
      <w:hyperlink w:anchor="_Toc1378">
        <w:r>
          <w:t xml:space="preserve">Five Forces Shaping the Next Decade</w:t>
        </w:r>
      </w:hyperlink>
      <w:r>
        <w:tab/>
      </w:r>
      <w:r>
        <w:fldChar w:fldCharType="begin"/>
      </w:r>
      <w:r>
        <w:instrText xml:space="preserve"> PAGEREF _Toc1378 \h </w:instrText>
      </w:r>
      <w:r>
        <w:fldChar w:fldCharType="separate"/>
      </w:r>
      <w:r>
        <w:t>1</w:t>
      </w:r>
      <w:r>
        <w:fldChar w:fldCharType="end"/>
      </w:r>
    </w:p>
    <w:p>
      <w:pPr>
        <w:pStyle w:val="TOC2"/>
      </w:pPr>
      <w:hyperlink w:anchor="_Toc1384">
        <w:r>
          <w:t xml:space="preserve">The Six-Pillar Forecast: 2026–2035</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Vermont’s Ten-Year Trajectory: Two Scenarios</w:t>
        </w:r>
      </w:hyperlink>
      <w:r>
        <w:tab/>
      </w:r>
      <w:r>
        <w:fldChar w:fldCharType="begin"/>
      </w:r>
      <w:r>
        <w:instrText xml:space="preserve"> PAGEREF _Toc1385 \h </w:instrText>
      </w:r>
      <w:r>
        <w:fldChar w:fldCharType="separate"/>
      </w:r>
      <w:r>
        <w:t>1</w:t>
      </w:r>
      <w:r>
        <w:fldChar w:fldCharType="end"/>
      </w:r>
    </w:p>
    <w:p>
      <w:pPr>
        <w:pStyle w:val="TOC2"/>
      </w:pPr>
      <w:hyperlink w:anchor="_Toc1388">
        <w:r>
          <w:t xml:space="preserve">Vermont as National Template — The Decisions That Will Determine Outcomes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Work This Chapter on the Platform</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Implications for You</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Key Concepts in This Chapter</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A Closing Note: What This Book Is Betting On</w:t>
        </w:r>
      </w:hyperlink>
      <w:r>
        <w:tab/>
      </w:r>
      <w:r>
        <w:fldChar w:fldCharType="begin"/>
      </w:r>
      <w:r>
        <w:instrText xml:space="preserve"> PAGEREF _Toc1392 \h </w:instrText>
      </w:r>
      <w:r>
        <w:fldChar w:fldCharType="separate"/>
      </w:r>
      <w:r>
        <w:t>1</w:t>
      </w:r>
      <w:r>
        <w:fldChar w:fldCharType="end"/>
      </w:r>
    </w:p>
    <w:p>
      <w:pPr>
        <w:pStyle w:val="TOC1"/>
      </w:pPr>
      <w:hyperlink w:anchor="_Toc1393">
        <w:r>
          <w:t xml:space="preserve">Chapter 14 — Political Sustainability: Protecting Transformation Across Election Cycles</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Why Political Sustainability Is an Analytical Problem, Not Only a Political One</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Structural Durability of Vermont’s Reform Architecture</w:t>
        </w:r>
      </w:hyperlink>
      <w:r>
        <w:tab/>
      </w:r>
      <w:r>
        <w:fldChar w:fldCharType="begin"/>
      </w:r>
      <w:r>
        <w:instrText xml:space="preserve"> PAGEREF _Toc1395 \h </w:instrText>
      </w:r>
      <w:r>
        <w:fldChar w:fldCharType="separate"/>
      </w:r>
      <w:r>
        <w:t>1</w:t>
      </w:r>
      <w:r>
        <w:fldChar w:fldCharType="end"/>
      </w:r>
    </w:p>
    <w:p>
      <w:pPr>
        <w:pStyle w:val="TOC2"/>
      </w:pPr>
      <w:hyperlink w:anchor="_Toc1398">
        <w:r>
          <w:t xml:space="preserve">Early-Warning Signals of Political Risk</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Organizational Strategies for Political Risk Management</w:t>
        </w:r>
      </w:hyperlink>
      <w:r>
        <w:tab/>
      </w:r>
      <w:r>
        <w:fldChar w:fldCharType="begin"/>
      </w:r>
      <w:r>
        <w:instrText xml:space="preserve"> PAGEREF _Toc1399 \h </w:instrText>
      </w:r>
      <w:r>
        <w:fldChar w:fldCharType="separate"/>
      </w:r>
      <w:r>
        <w:t>1</w:t>
      </w:r>
      <w:r>
        <w:fldChar w:fldCharType="end"/>
      </w:r>
    </w:p>
    <w:p>
      <w:pPr>
        <w:pStyle w:val="TOC2"/>
      </w:pPr>
      <w:hyperlink w:anchor="_Toc1404">
        <w:r>
          <w:t xml:space="preserve">Vermont’s Reform Cascade as Political-Sustainability Architecture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Work This Chapter on the Platform</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Implications for You</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15 — Healthcare Transformation as Portfolio Management: Applying PMI Standards to Six-Pillar Reform</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Project-Management Gap in Healthcare Transformation</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Project, Program, and Portfolio: Getting the Levels Right</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Vermont’s Transformation Portfolio: 19 Components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Case for a Portfolio Manager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Pillar-Level Project Managers: Six Roles, One Framework</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Governance Architecture and the Ten Knowledge Areas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Portfolio Sequence Is Dependency Sequence</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Predictive vs. Adaptive Approaches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Portfolio Risk Register</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Benefits Realization: Connecting the PMO to Act 167’s Five Goals</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Business Case</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Implementation Roadmap</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Answering the Four Objections</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Work This Chapter on the Platform</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Implications for You</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Key Concepts in This Chapter</w:t>
        </w:r>
      </w:hyperlink>
      <w:r>
        <w:tab/>
      </w:r>
      <w:r>
        <w:fldChar w:fldCharType="begin"/>
      </w:r>
      <w:r>
        <w:instrText xml:space="preserve"> PAGEREF _Toc1424 \h </w:instrText>
      </w:r>
      <w:r>
        <w:fldChar w:fldCharType="separate"/>
      </w:r>
      <w:r>
        <w:t>1</w:t>
      </w:r>
      <w:r>
        <w:fldChar w:fldCharType="end"/>
      </w:r>
    </w:p>
    <w:p>
      <w:pPr>
        <w:pStyle w:val="TOC1"/>
      </w:pPr>
      <w:hyperlink w:anchor="_Toc1425">
        <w:r>
          <w:t xml:space="preserve">Chapter 16 — The AHS Restructuring Roadmap: A Six-Pillar Framework for System Architects</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Statutory Mandate — What Act 68 Actually Requires AHS to Do</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The Organizational Diagnosis — Why AHS Must Restructure, Not Just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The Redesigned AHS Operating Model — A Population Health System Operator</w:t>
        </w:r>
      </w:hyperlink>
      <w:r>
        <w:tab/>
      </w:r>
      <w:r>
        <w:fldChar w:fldCharType="begin"/>
      </w:r>
      <w:r>
        <w:instrText xml:space="preserve"> PAGEREF _Toc1429 \h </w:instrText>
      </w:r>
      <w:r>
        <w:fldChar w:fldCharType="separate"/>
      </w:r>
      <w:r>
        <w:t>1</w:t>
      </w:r>
      <w:r>
        <w:fldChar w:fldCharType="end"/>
      </w:r>
    </w:p>
    <w:p>
      <w:pPr>
        <w:pStyle w:val="TOC2"/>
      </w:pPr>
      <w:hyperlink w:anchor="_Toc1433">
        <w:r>
          <w:t xml:space="preserve">The Six-Pillar Framework Applied to AHS’s Mandate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The AHS Restructuring Implementation Timeline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 Framework for the 2028 Statewide Strategic Plan</w:t>
        </w:r>
      </w:hyperlink>
      <w:r>
        <w:tab/>
      </w:r>
      <w:r>
        <w:fldChar w:fldCharType="begin"/>
      </w:r>
      <w:r>
        <w:instrText xml:space="preserve"> PAGEREF _Toc1435 \h </w:instrText>
      </w:r>
      <w:r>
        <w:fldChar w:fldCharType="separate"/>
      </w:r>
      <w:r>
        <w:t>1</w:t>
      </w:r>
      <w:r>
        <w:fldChar w:fldCharType="end"/>
      </w:r>
    </w:p>
    <w:p>
      <w:pPr>
        <w:pStyle w:val="TOC2"/>
      </w:pPr>
      <w:hyperlink w:anchor="_Toc1437">
        <w:r>
          <w:t xml:space="preserve">Vermont as National Template — Why This Restructuring Matters Beyond Vermont</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Work This Chapter on the Platform</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Implications for You</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Key Concepts in This Chapter</w:t>
        </w:r>
      </w:hyperlink>
      <w:r>
        <w:tab/>
      </w:r>
      <w:r>
        <w:fldChar w:fldCharType="begin"/>
      </w:r>
      <w:r>
        <w:instrText xml:space="preserve"> PAGEREF _Toc1440 \h </w:instrText>
      </w:r>
      <w:r>
        <w:fldChar w:fldCharType="separate"/>
      </w:r>
      <w:r>
        <w:t>1</w:t>
      </w:r>
      <w:r>
        <w:fldChar w:fldCharType="end"/>
      </w:r>
    </w:p>
    <w:p>
      <w:pPr>
        <w:pStyle w:val="TOC1"/>
      </w:pPr>
      <w:hyperlink w:anchor="_Toc1441">
        <w:r>
          <w:t xml:space="preserve">Conclusion — What Vermont Proves, and What Remains to Be Proven</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What Failure Actually Looks Like</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Three Decisions That Are Not Yet Made</w:t>
        </w:r>
      </w:hyperlink>
      <w:r>
        <w:tab/>
      </w:r>
      <w:r>
        <w:fldChar w:fldCharType="begin"/>
      </w:r>
      <w:r>
        <w:instrText xml:space="preserve"> PAGEREF _Toc1443 \h </w:instrText>
      </w:r>
      <w:r>
        <w:fldChar w:fldCharType="separate"/>
      </w:r>
      <w:r>
        <w:t>1</w:t>
      </w:r>
      <w:r>
        <w:fldChar w:fldCharType="end"/>
      </w:r>
    </w:p>
    <w:p>
      <w:pPr>
        <w:pStyle w:val="TOC2"/>
      </w:pPr>
      <w:hyperlink w:anchor="_Toc1447">
        <w:r>
          <w:t xml:space="preserve">What Vermont Has Proved — As of April 2026</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The People This Book Cannot Reach</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The Call</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Key Concepts in This Chapter</w:t>
        </w:r>
      </w:hyperlink>
      <w:r>
        <w:tab/>
      </w:r>
      <w:r>
        <w:fldChar w:fldCharType="begin"/>
      </w:r>
      <w:r>
        <w:instrText xml:space="preserve"> PAGEREF _Toc1450 \h </w:instrText>
      </w:r>
      <w:r>
        <w:fldChar w:fldCharType="separate"/>
      </w:r>
      <w:r>
        <w:t>1</w:t>
      </w:r>
      <w:r>
        <w:fldChar w:fldCharType="end"/>
      </w:r>
    </w:p>
    <w:p>
      <w:pPr>
        <w:pStyle w:val="TOC1"/>
      </w:pPr>
      <w:hyperlink w:anchor="_Toc1451">
        <w:r>
          <w:t xml:space="preserve">Appendix A — Vermont System Portrait</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A.1 Vermont: The State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A.2 Demographics and Population Projections</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A.3 Regulatory Architecture: The Green Mountain Care Board</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A.4 The Hospital System</w:t>
        </w:r>
      </w:hyperlink>
      <w:r>
        <w:tab/>
      </w:r>
      <w:r>
        <w:fldChar w:fldCharType="begin"/>
      </w:r>
      <w:r>
        <w:instrText xml:space="preserve"> PAGEREF _Toc1455 \h </w:instrText>
      </w:r>
      <w:r>
        <w:fldChar w:fldCharType="separate"/>
      </w:r>
      <w:r>
        <w:t>1</w:t>
      </w:r>
      <w:r>
        <w:fldChar w:fldCharType="end"/>
      </w:r>
    </w:p>
    <w:p>
      <w:pPr>
        <w:pStyle w:val="TOC2"/>
      </w:pPr>
      <w:hyperlink w:anchor="_Toc1458">
        <w:r>
          <w:t xml:space="preserve">A.5 The Transformation Plans: A System in Motion</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A.6 The Insurance and Premium Crisis</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A.7 Healthcare Workforce</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A.8 Clinical Quality Indicators</w:t>
        </w:r>
      </w:hyperlink>
      <w:r>
        <w:tab/>
      </w:r>
      <w:r>
        <w:fldChar w:fldCharType="begin"/>
      </w:r>
      <w:r>
        <w:instrText xml:space="preserve"> PAGEREF _Toc1461 \h </w:instrText>
      </w:r>
      <w:r>
        <w:fldChar w:fldCharType="separate"/>
      </w:r>
      <w:r>
        <w:t>1</w:t>
      </w:r>
      <w:r>
        <w:fldChar w:fldCharType="end"/>
      </w:r>
    </w:p>
    <w:p>
      <w:pPr>
        <w:pStyle w:val="TOC1"/>
      </w:pPr>
      <w:hyperlink w:anchor="_Toc1462">
        <w:r>
          <w:t xml:space="preserve">Appendix B — Act 68 Statutory Timeline and Milestones</w:t>
        </w:r>
      </w:hyperlink>
      <w:r>
        <w:tab/>
      </w:r>
      <w:r>
        <w:fldChar w:fldCharType="begin"/>
      </w:r>
      <w:r>
        <w:instrText xml:space="preserve"> PAGEREF _Toc1462 \h </w:instrText>
      </w:r>
      <w:r>
        <w:fldChar w:fldCharType="separate"/>
      </w:r>
      <w:r>
        <w:t>1</w:t>
      </w:r>
      <w:r>
        <w:fldChar w:fldCharType="end"/>
      </w:r>
    </w:p>
    <w:p>
      <w:pPr>
        <w:pStyle w:val="TOC1"/>
      </w:pPr>
      <w:hyperlink w:anchor="_Toc1464">
        <w:r>
          <w:t xml:space="preserve">Appendix C — The 14-Hospital Centers of Excellence Assignment Framework</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D — AHEAD State Agreement: Key Terms and Provisions</w:t>
        </w:r>
      </w:hyperlink>
      <w:r>
        <w:tab/>
      </w:r>
      <w:r>
        <w:fldChar w:fldCharType="begin"/>
      </w:r>
      <w:r>
        <w:instrText xml:space="preserve"> PAGEREF _Toc1465 \h </w:instrText>
      </w:r>
      <w:r>
        <w:fldChar w:fldCharType="separate"/>
      </w:r>
      <w:r>
        <w:t>1</w:t>
      </w:r>
      <w:r>
        <w:fldChar w:fldCharType="end"/>
      </w:r>
    </w:p>
    <w:p>
      <w:pPr>
        <w:pStyle w:val="TOC1"/>
      </w:pPr>
      <w:hyperlink w:anchor="_Toc1466">
        <w:r>
          <w:t xml:space="preserve">Appendix E — HTR Platform Tools and Methodology Overview</w:t>
        </w:r>
      </w:hyperlink>
      <w:r>
        <w:tab/>
      </w:r>
      <w:r>
        <w:fldChar w:fldCharType="begin"/>
      </w:r>
      <w:r>
        <w:instrText xml:space="preserve"> PAGEREF _Toc1466 \h </w:instrText>
      </w:r>
      <w:r>
        <w:fldChar w:fldCharType="separate"/>
      </w:r>
      <w:r>
        <w:t>1</w:t>
      </w:r>
      <w:r>
        <w:fldChar w:fldCharType="end"/>
      </w:r>
    </w:p>
    <w:p>
      <w:pPr>
        <w:pStyle w:val="TOC1"/>
      </w:pPr>
      <w:hyperlink w:anchor="_Toc1467">
        <w:r>
          <w:t xml:space="preserve">Appendix F — Vermont Transformation Scorecard: 2022 Baseline, 2026 Status, 2028 Target</w:t>
        </w:r>
      </w:hyperlink>
      <w:r>
        <w:tab/>
      </w:r>
      <w:r>
        <w:fldChar w:fldCharType="begin"/>
      </w:r>
      <w:r>
        <w:instrText xml:space="preserve"> PAGEREF _Toc1467 \h </w:instrText>
      </w:r>
      <w:r>
        <w:fldChar w:fldCharType="separate"/>
      </w:r>
      <w:r>
        <w:t>1</w:t>
      </w:r>
      <w:r>
        <w:fldChar w:fldCharType="end"/>
      </w:r>
    </w:p>
    <w:p>
      <w:pPr>
        <w:pStyle w:val="TOC1"/>
      </w:pPr>
      <w:hyperlink w:anchor="_Toc1474">
        <w:r>
          <w:t xml:space="preserve">Appendix G — A Reader’s Guide to the Health Transformation Review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What This Platform Is</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Navigating the Platform</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Six Pillars of Intelligence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The Academy</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The Research Lab</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States &amp; Programs</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Advisory &amp; Services and the AI Analyst</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Reader Profiles and Recommended Paths</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Appendix H — Adapting and Stress-Testing the Framework</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H.1 Glossary of Vermont-Specific Acronyms and Institutions</w:t>
        </w:r>
      </w:hyperlink>
      <w:r>
        <w:tab/>
      </w:r>
      <w:r>
        <w:fldChar w:fldCharType="begin"/>
      </w:r>
      <w:r>
        <w:instrText xml:space="preserve"> PAGEREF _Toc1484 \h </w:instrText>
      </w:r>
      <w:r>
        <w:fldChar w:fldCharType="separate"/>
      </w:r>
      <w:r>
        <w:t>1</w:t>
      </w:r>
      <w:r>
        <w:fldChar w:fldCharType="end"/>
      </w:r>
    </w:p>
    <w:p>
      <w:pPr>
        <w:pStyle w:val="TOC2"/>
      </w:pPr>
      <w:hyperlink w:anchor="_Toc1485">
        <w:r>
          <w:t xml:space="preserve">H.2 Worksheet — Adapt This Framework to Your State</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H.3 The Transition Window — Financing FY2027–2030</w:t>
        </w:r>
      </w:hyperlink>
      <w:r>
        <w:tab/>
      </w:r>
      <w:r>
        <w:fldChar w:fldCharType="begin"/>
      </w:r>
      <w:r>
        <w:instrText xml:space="preserve"> PAGEREF _Toc1486 \h </w:instrText>
      </w:r>
      <w:r>
        <w:fldChar w:fldCharType="separate"/>
      </w:r>
      <w:r>
        <w:t>1</w:t>
      </w:r>
      <w:r>
        <w:fldChar w:fldCharType="end"/>
      </w:r>
    </w:p>
    <w:p>
      <w:pPr>
        <w:pStyle w:val="TOC2"/>
      </w:pPr>
      <w:hyperlink w:anchor="_Toc1489">
        <w:r>
          <w:t xml:space="preserve">H.4 Two Clocks — Reconciling Act 68 and AHEAD Cohort 2 Timelines</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H.5 Enforcement Mechanics — What “Mandatory” Means in Practice</w:t>
        </w:r>
      </w:hyperlink>
      <w:r>
        <w:tab/>
      </w:r>
      <w:r>
        <w:fldChar w:fldCharType="begin"/>
      </w:r>
      <w:r>
        <w:instrText xml:space="preserve"> PAGEREF _Toc1490 \h </w:instrText>
      </w:r>
      <w:r>
        <w:fldChar w:fldCharType="separate"/>
      </w:r>
      <w:r>
        <w:t>1</w:t>
      </w:r>
      <w:r>
        <w:fldChar w:fldCharType="end"/>
      </w:r>
    </w:p>
    <w:p>
      <w:pPr>
        <w:pStyle w:val="TOC1"/>
      </w:pPr>
      <w:hyperlink w:anchor="_Toc1493">
        <w:r>
          <w:t xml:space="preserve">Appendix I — The HTR Lab Workbook: A Six-Pillar Practicum</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How to Use This Workbook</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1 — Policy: Establish the Mandate</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2 — Technology: Build the Substrate</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3 — Economics: Put Incentives on a Visible System</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4 — Clinical: Redesign Care on Aligned Incentives</w:t>
        </w:r>
      </w:hyperlink>
      <w:r>
        <w:tab/>
      </w:r>
      <w:r>
        <w:fldChar w:fldCharType="begin"/>
      </w:r>
      <w:r>
        <w:instrText xml:space="preserve"> PAGEREF _Toc1498 \h </w:instrText>
      </w:r>
      <w:r>
        <w:fldChar w:fldCharType="separate"/>
      </w:r>
      <w:r>
        <w:t>1</w:t>
      </w:r>
      <w:r>
        <w:fldChar w:fldCharType="end"/>
      </w:r>
    </w:p>
    <w:p>
      <w:pPr>
        <w:pStyle w:val="TOC2"/>
      </w:pPr>
      <w:hyperlink w:anchor="_Toc1499">
        <w:r>
          <w:t xml:space="preserve">Stage 5 — Equity: Calibrate for the Gap, Not the Average</w:t>
        </w:r>
      </w:hyperlink>
      <w:r>
        <w:tab/>
      </w:r>
      <w:r>
        <w:fldChar w:fldCharType="begin"/>
      </w:r>
      <w:r>
        <w:instrText xml:space="preserve"> PAGEREF _Toc1499 \h </w:instrText>
      </w:r>
      <w:r>
        <w:fldChar w:fldCharType="separate"/>
      </w:r>
      <w:r>
        <w:t>1</w:t>
      </w:r>
      <w:r>
        <w:fldChar w:fldCharType="end"/>
      </w:r>
    </w:p>
    <w:p>
      <w:pPr>
        <w:pStyle w:val="TOC2"/>
      </w:pPr>
      <w:hyperlink w:anchor="_Toc1500">
        <w:r>
          <w:t xml:space="preserve">Stage 6 — Operations: Close the Execution Gap</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Figure Index</w:t>
        </w:r>
      </w:hyperlink>
      <w:r>
        <w:tab/>
      </w:r>
      <w:r>
        <w:fldChar w:fldCharType="begin"/>
      </w:r>
      <w:r>
        <w:instrText xml:space="preserve"> PAGEREF _Toc1501 \h </w:instrText>
      </w:r>
      <w:r>
        <w:fldChar w:fldCharType="separate"/>
      </w:r>
      <w:r>
        <w:t>1</w:t>
      </w:r>
      <w:r>
        <w:fldChar w:fldCharType="end"/>
      </w:r>
    </w:p>
    <w:p>
      <w:pPr>
        <w:pStyle w:val="TOC1"/>
      </w:pPr>
      <w:hyperlink w:anchor="_Toc1502">
        <w:r>
          <w:t xml:space="preserve">Bibliography and Source Notes</w:t>
        </w:r>
      </w:hyperlink>
      <w:r>
        <w:tab/>
      </w:r>
      <w:r>
        <w:fldChar w:fldCharType="begin"/>
      </w:r>
      <w:r>
        <w:instrText xml:space="preserve"> PAGEREF _Toc1502 \h </w:instrText>
      </w:r>
      <w:r>
        <w:fldChar w:fldCharType="separate"/>
      </w:r>
      <w:r>
        <w:t>1</w:t>
      </w:r>
      <w:r>
        <w:fldChar w:fldCharType="end"/>
      </w:r>
    </w:p>
    <w:p>
      <w:pPr>
        <w:pStyle w:val="TOC1"/>
      </w:pPr>
      <w:hyperlink w:anchor="_Toc1503">
        <w:r>
          <w:t xml:space="preserve">Index (Selected)</w:t>
        </w:r>
      </w:hyperlink>
      <w:r>
        <w:tab/>
      </w:r>
      <w:r>
        <w:fldChar w:fldCharType="begin"/>
      </w:r>
      <w:r>
        <w:instrText xml:space="preserve"> PAGEREF _Toc1503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130"/>
        <w:gridCol w:w="2625"/>
        <w:gridCol w:w="297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13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13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13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13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13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425"/>
        <w:gridCol w:w="3360"/>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425" w:type="dxa"/>
          </w:tcPr>
          <w:p>
            <w:pPr>
              <w:pStyle w:val="Compact"/>
              <w:jc w:val="left"/>
            </w:pPr>
            <w:r>
              <w:rPr>
                <w:b/>
                <w:color w:val="FFFFFF"/>
                <w:sz w:val="18"/>
              </w:rPr>
              <w:t xml:space="preserve">Diagnostic question</w:t>
            </w:r>
          </w:p>
        </w:tc>
        <w:tc>
          <w:tcPr>
            <w:shd w:val="clear" w:color="auto" w:fill="1B3A6B"/>
            <w:tcW w:w="3360"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425" w:type="dxa"/>
          </w:tcPr>
          <w:p>
            <w:pPr>
              <w:pStyle w:val="Compact"/>
              <w:jc w:val="left"/>
            </w:pPr>
            <w:r>
              <w:rPr>
                <w:sz w:val="18"/>
              </w:rPr>
              <w:t xml:space="preserve">Is it permissible?</w:t>
            </w:r>
          </w:p>
        </w:tc>
        <w:tc>
          <w:tcPr>
            <w:tcW w:w="3360"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425" w:type="dxa"/>
          </w:tcPr>
          <w:p>
            <w:pPr>
              <w:pStyle w:val="Compact"/>
              <w:jc w:val="left"/>
            </w:pPr>
            <w:r>
              <w:rPr>
                <w:sz w:val="18"/>
              </w:rPr>
              <w:t xml:space="preserve">Is it possible?</w:t>
            </w:r>
          </w:p>
        </w:tc>
        <w:tc>
          <w:tcPr>
            <w:tcW w:w="3360"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425" w:type="dxa"/>
          </w:tcPr>
          <w:p>
            <w:pPr>
              <w:pStyle w:val="Compact"/>
              <w:jc w:val="left"/>
            </w:pPr>
            <w:r>
              <w:rPr>
                <w:sz w:val="18"/>
              </w:rPr>
              <w:t xml:space="preserve">Is it sustainable?</w:t>
            </w:r>
          </w:p>
        </w:tc>
        <w:tc>
          <w:tcPr>
            <w:tcW w:w="3360"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425" w:type="dxa"/>
          </w:tcPr>
          <w:p>
            <w:pPr>
              <w:pStyle w:val="Compact"/>
              <w:jc w:val="left"/>
            </w:pPr>
            <w:r>
              <w:rPr>
                <w:sz w:val="18"/>
              </w:rPr>
              <w:t xml:space="preserve">Is it effective?</w:t>
            </w:r>
          </w:p>
        </w:tc>
        <w:tc>
          <w:tcPr>
            <w:tcW w:w="3360"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425" w:type="dxa"/>
          </w:tcPr>
          <w:p>
            <w:pPr>
              <w:pStyle w:val="Compact"/>
              <w:jc w:val="left"/>
            </w:pPr>
            <w:r>
              <w:rPr>
                <w:sz w:val="18"/>
              </w:rPr>
              <w:t xml:space="preserve">Is it just?</w:t>
            </w:r>
          </w:p>
        </w:tc>
        <w:tc>
          <w:tcPr>
            <w:tcW w:w="3360"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425" w:type="dxa"/>
          </w:tcPr>
          <w:p>
            <w:pPr>
              <w:pStyle w:val="Compact"/>
              <w:jc w:val="left"/>
            </w:pPr>
            <w:r>
              <w:rPr>
                <w:sz w:val="18"/>
              </w:rPr>
              <w:t xml:space="preserve">Is it executable?</w:t>
            </w:r>
          </w:p>
        </w:tc>
        <w:tc>
          <w:tcPr>
            <w:tcW w:w="3360"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providers stay out; redesigns driven by adverse selection</w:t>
            </w:r>
          </w:p>
        </w:tc>
        <w:tc>
          <w:tcPr>
            <w:tcW w:w="2925"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AHEAD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186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2625"/>
        <w:gridCol w:w="6450"/>
      </w:tblGrid>
      <w:tr>
        <w:trPr>
          <w:tblHeader w:val="on"/>
          <w:cantSplit/>
        </w:trPr>
        <w:tc>
          <w:tcPr>
            <w:shd w:val="clear" w:color="auto" w:fill="1B3A6B"/>
            <w:tcW w:w="2625" w:type="dxa"/>
          </w:tcPr>
          <w:p>
            <w:pPr>
              <w:pStyle w:val="Compact"/>
              <w:jc w:val="left"/>
            </w:pPr>
            <w:r>
              <w:rPr>
                <w:b/>
                <w:color w:val="FFFFFF"/>
                <w:sz w:val="18"/>
              </w:rPr>
              <w:t xml:space="preserve">Common perception</w:t>
            </w:r>
          </w:p>
        </w:tc>
        <w:tc>
          <w:tcPr>
            <w:shd w:val="clear" w:color="auto" w:fill="1B3A6B"/>
            <w:tcW w:w="6450" w:type="dxa"/>
          </w:tcPr>
          <w:p>
            <w:pPr>
              <w:pStyle w:val="Compact"/>
              <w:jc w:val="left"/>
            </w:pPr>
            <w:r>
              <w:rPr>
                <w:b/>
                <w:color w:val="FFFFFF"/>
                <w:sz w:val="18"/>
              </w:rPr>
              <w:t xml:space="preserve">What the data actually shows</w:t>
            </w:r>
          </w:p>
        </w:tc>
      </w:tr>
      <w:tr>
        <w:trPr>
          <w:cantSplit/>
        </w:trPr>
        <w:tc>
          <w:tcPr>
            <w:tcW w:w="2625"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6450"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2625" w:type="dxa"/>
          </w:tcPr>
          <w:p>
            <w:pPr>
              <w:pStyle w:val="Compact"/>
              <w:jc w:val="left"/>
            </w:pPr>
            <w:r>
              <w:rPr>
                <w:sz w:val="18"/>
              </w:rPr>
              <w:t xml:space="preserve">Vermont has a statewide ACO (OneCare)</w:t>
            </w:r>
          </w:p>
        </w:tc>
        <w:tc>
          <w:tcPr>
            <w:tcW w:w="6450"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2625" w:type="dxa"/>
          </w:tcPr>
          <w:p>
            <w:pPr>
              <w:pStyle w:val="Compact"/>
              <w:jc w:val="left"/>
            </w:pPr>
            <w:r>
              <w:rPr>
                <w:sz w:val="18"/>
              </w:rPr>
              <w:t xml:space="preserve">Vermont has a functioning State HIE (VITL)</w:t>
            </w:r>
          </w:p>
        </w:tc>
        <w:tc>
          <w:tcPr>
            <w:tcW w:w="6450"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2625" w:type="dxa"/>
          </w:tcPr>
          <w:p>
            <w:pPr>
              <w:pStyle w:val="Compact"/>
              <w:jc w:val="left"/>
            </w:pPr>
            <w:r>
              <w:rPr>
                <w:sz w:val="18"/>
              </w:rPr>
              <w:t xml:space="preserve">Vermont does not have enough primary care providers</w:t>
            </w:r>
          </w:p>
        </w:tc>
        <w:tc>
          <w:tcPr>
            <w:tcW w:w="6450"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Figure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Figure 2.2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2.3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010"/>
        <w:gridCol w:w="7065"/>
      </w:tblGrid>
      <w:tr>
        <w:trPr>
          <w:tblHeader w:val="on"/>
          <w:cantSplit/>
        </w:trPr>
        <w:tc>
          <w:tcPr>
            <w:shd w:val="clear" w:color="auto" w:fill="1B3A6B"/>
            <w:tcW w:w="2010" w:type="dxa"/>
          </w:tcPr>
          <w:p>
            <w:pPr>
              <w:pStyle w:val="Compact"/>
              <w:jc w:val="left"/>
            </w:pPr>
            <w:r>
              <w:rPr>
                <w:b/>
                <w:color w:val="FFFFFF"/>
                <w:sz w:val="18"/>
              </w:rPr>
              <w:t xml:space="preserve">State / Program</w:t>
            </w:r>
          </w:p>
        </w:tc>
        <w:tc>
          <w:tcPr>
            <w:shd w:val="clear" w:color="auto" w:fill="1B3A6B"/>
            <w:tcW w:w="7065" w:type="dxa"/>
          </w:tcPr>
          <w:p>
            <w:pPr>
              <w:pStyle w:val="Compact"/>
              <w:jc w:val="left"/>
            </w:pPr>
            <w:r>
              <w:rPr>
                <w:b/>
                <w:color w:val="FFFFFF"/>
                <w:sz w:val="18"/>
              </w:rPr>
              <w:t xml:space="preserve">Key design features and outcomes</w:t>
            </w:r>
          </w:p>
        </w:tc>
      </w:tr>
      <w:tr>
        <w:trPr>
          <w:cantSplit/>
        </w:trPr>
        <w:tc>
          <w:tcPr>
            <w:tcW w:w="2010" w:type="dxa"/>
          </w:tcPr>
          <w:p>
            <w:pPr>
              <w:pStyle w:val="Compact"/>
              <w:jc w:val="left"/>
            </w:pPr>
            <w:r>
              <w:rPr>
                <w:sz w:val="18"/>
              </w:rPr>
              <w:t xml:space="preserve">Vermont Act 68</w:t>
            </w:r>
          </w:p>
        </w:tc>
        <w:tc>
          <w:tcPr>
            <w:tcW w:w="7065"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010" w:type="dxa"/>
          </w:tcPr>
          <w:p>
            <w:pPr>
              <w:pStyle w:val="Compact"/>
              <w:jc w:val="left"/>
            </w:pPr>
            <w:r>
              <w:rPr>
                <w:sz w:val="18"/>
              </w:rPr>
              <w:t xml:space="preserve">Oregon (2019)</w:t>
            </w:r>
          </w:p>
        </w:tc>
        <w:tc>
          <w:tcPr>
            <w:tcW w:w="7065"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010" w:type="dxa"/>
          </w:tcPr>
          <w:p>
            <w:pPr>
              <w:pStyle w:val="Compact"/>
              <w:jc w:val="left"/>
            </w:pPr>
            <w:r>
              <w:rPr>
                <w:sz w:val="18"/>
              </w:rPr>
              <w:t xml:space="preserve">Montana (2016)</w:t>
            </w:r>
          </w:p>
        </w:tc>
        <w:tc>
          <w:tcPr>
            <w:tcW w:w="7065"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010" w:type="dxa"/>
          </w:tcPr>
          <w:p>
            <w:pPr>
              <w:pStyle w:val="Compact"/>
              <w:jc w:val="left"/>
            </w:pPr>
            <w:r>
              <w:rPr>
                <w:sz w:val="18"/>
              </w:rPr>
              <w:t xml:space="preserve">Washington (2021)</w:t>
            </w:r>
          </w:p>
        </w:tc>
        <w:tc>
          <w:tcPr>
            <w:tcW w:w="7065"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010" w:type="dxa"/>
          </w:tcPr>
          <w:p>
            <w:pPr>
              <w:pStyle w:val="Compact"/>
              <w:jc w:val="left"/>
            </w:pPr>
            <w:r>
              <w:rPr>
                <w:sz w:val="18"/>
              </w:rPr>
              <w:t xml:space="preserve">Maryland (2014–present)</w:t>
            </w:r>
          </w:p>
        </w:tc>
        <w:tc>
          <w:tcPr>
            <w:tcW w:w="7065"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Figure 2.4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spacing w:before="120"/>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Figure 3.2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0"/>
        <w:gridCol w:w="2640"/>
        <w:gridCol w:w="2790"/>
        <w:gridCol w:w="2490"/>
      </w:tblGrid>
      <w:tr>
        <w:trPr>
          <w:tblHeader w:val="on"/>
          <w:cantSplit/>
        </w:trPr>
        <w:tc>
          <w:tcPr>
            <w:shd w:val="clear" w:color="auto" w:fill="1B3A6B"/>
            <w:tcW w:w="1140" w:type="dxa"/>
          </w:tcPr>
          <w:p>
            <w:pPr>
              <w:pStyle w:val="Compact"/>
              <w:jc w:val="left"/>
            </w:pPr>
            <w:r>
              <w:rPr>
                <w:b/>
                <w:color w:val="FFFFFF"/>
                <w:sz w:val="18"/>
              </w:rPr>
              <w:t xml:space="preserve">Function</w:t>
            </w:r>
          </w:p>
        </w:tc>
        <w:tc>
          <w:tcPr>
            <w:shd w:val="clear" w:color="auto" w:fill="1B3A6B"/>
            <w:tcW w:w="2640" w:type="dxa"/>
          </w:tcPr>
          <w:p>
            <w:pPr>
              <w:pStyle w:val="Compact"/>
              <w:jc w:val="left"/>
            </w:pPr>
            <w:r>
              <w:rPr>
                <w:b/>
                <w:color w:val="FFFFFF"/>
                <w:sz w:val="18"/>
              </w:rPr>
              <w:t xml:space="preserve">Key activities</w:t>
            </w:r>
          </w:p>
        </w:tc>
        <w:tc>
          <w:tcPr>
            <w:shd w:val="clear" w:color="auto" w:fill="1B3A6B"/>
            <w:tcW w:w="2790" w:type="dxa"/>
          </w:tcPr>
          <w:p>
            <w:pPr>
              <w:pStyle w:val="Compact"/>
              <w:jc w:val="left"/>
            </w:pPr>
            <w:r>
              <w:rPr>
                <w:b/>
                <w:color w:val="FFFFFF"/>
                <w:sz w:val="18"/>
              </w:rPr>
              <w:t xml:space="preserve">Vermont-specific examples</w:t>
            </w:r>
          </w:p>
        </w:tc>
        <w:tc>
          <w:tcPr>
            <w:shd w:val="clear" w:color="auto" w:fill="1B3A6B"/>
            <w:tcW w:w="2490" w:type="dxa"/>
          </w:tcPr>
          <w:p>
            <w:pPr>
              <w:pStyle w:val="Compact"/>
              <w:jc w:val="left"/>
            </w:pPr>
            <w:r>
              <w:rPr>
                <w:b/>
                <w:color w:val="FFFFFF"/>
                <w:sz w:val="18"/>
              </w:rPr>
              <w:t xml:space="preserve">HTR Advisory service</w:t>
            </w:r>
          </w:p>
        </w:tc>
      </w:tr>
      <w:tr>
        <w:trPr>
          <w:cantSplit/>
        </w:trPr>
        <w:tc>
          <w:tcPr>
            <w:tcW w:w="1140" w:type="dxa"/>
          </w:tcPr>
          <w:p>
            <w:pPr>
              <w:pStyle w:val="Compact"/>
              <w:jc w:val="left"/>
            </w:pPr>
            <w:r>
              <w:rPr>
                <w:sz w:val="18"/>
              </w:rPr>
              <w:t xml:space="preserve">Regulatory compliance</w:t>
            </w:r>
          </w:p>
        </w:tc>
        <w:tc>
          <w:tcPr>
            <w:tcW w:w="2640" w:type="dxa"/>
          </w:tcPr>
          <w:p>
            <w:pPr>
              <w:pStyle w:val="Compact"/>
              <w:jc w:val="left"/>
            </w:pPr>
            <w:r>
              <w:rPr>
                <w:sz w:val="18"/>
              </w:rPr>
              <w:t xml:space="preserve">Monitor rulemaking; assess financial and operational impact of new requirements; develop compliance roadmaps; manage comment letter processes</w:t>
            </w:r>
          </w:p>
        </w:tc>
        <w:tc>
          <w:tcPr>
            <w:tcW w:w="2790" w:type="dxa"/>
          </w:tcPr>
          <w:p>
            <w:pPr>
              <w:pStyle w:val="Compact"/>
              <w:jc w:val="left"/>
            </w:pPr>
            <w:r>
              <w:rPr>
                <w:sz w:val="18"/>
              </w:rPr>
              <w:t xml:space="preserve">Act 68 RBP compliance planning for FY2027; AHEAD hospital global budget participation; H.R. 1 Medicaid work requirement implementation timeline</w:t>
            </w:r>
          </w:p>
        </w:tc>
        <w:tc>
          <w:tcPr>
            <w:tcW w:w="2490" w:type="dxa"/>
          </w:tcPr>
          <w:p>
            <w:pPr>
              <w:pStyle w:val="Compact"/>
              <w:jc w:val="left"/>
            </w:pPr>
            <w:r>
              <w:rPr>
                <w:sz w:val="18"/>
              </w:rPr>
              <w:t xml:space="preserve">Policy Strategy service line: Phase 1 Landscape and Exposure Assessment</w:t>
            </w:r>
          </w:p>
        </w:tc>
      </w:tr>
      <w:tr>
        <w:trPr/>
        <w:tc>
          <w:tcPr>
            <w:tcW w:w="1140" w:type="dxa"/>
          </w:tcPr>
          <w:p>
            <w:pPr>
              <w:pStyle w:val="Compact"/>
              <w:jc w:val="left"/>
            </w:pPr>
            <w:r>
              <w:rPr>
                <w:sz w:val="18"/>
              </w:rPr>
              <w:t xml:space="preserve">Opportunity identification</w:t>
            </w:r>
          </w:p>
        </w:tc>
        <w:tc>
          <w:tcPr>
            <w:tcW w:w="2640"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790" w:type="dxa"/>
          </w:tcPr>
          <w:p>
            <w:pPr>
              <w:pStyle w:val="Compact"/>
              <w:jc w:val="left"/>
            </w:pPr>
            <w:r>
              <w:rPr>
                <w:sz w:val="18"/>
              </w:rPr>
              <w:t xml:space="preserve">Vermont hospitals: Act 68 transformation grants ($2M); AHEAD EAST Fund; RHT Program subrecipient grants; BALANCE Model GLP-1 coverage</w:t>
            </w:r>
          </w:p>
        </w:tc>
        <w:tc>
          <w:tcPr>
            <w:tcW w:w="2490" w:type="dxa"/>
          </w:tcPr>
          <w:p>
            <w:pPr>
              <w:pStyle w:val="Compact"/>
              <w:jc w:val="left"/>
            </w:pPr>
            <w:r>
              <w:rPr>
                <w:sz w:val="18"/>
              </w:rPr>
              <w:t xml:space="preserve">Policy Strategy service line: federal program opportunity assessment</w:t>
            </w:r>
          </w:p>
        </w:tc>
      </w:tr>
      <w:tr>
        <w:trPr>
          <w:cantSplit/>
        </w:trPr>
        <w:tc>
          <w:tcPr>
            <w:tcW w:w="1140" w:type="dxa"/>
          </w:tcPr>
          <w:p>
            <w:pPr>
              <w:pStyle w:val="Compact"/>
              <w:jc w:val="left"/>
            </w:pPr>
            <w:r>
              <w:rPr>
                <w:sz w:val="18"/>
              </w:rPr>
              <w:t xml:space="preserve">Policy advocacy</w:t>
            </w:r>
          </w:p>
        </w:tc>
        <w:tc>
          <w:tcPr>
            <w:tcW w:w="2640"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790"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490"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3.3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00"/>
        <w:gridCol w:w="1695"/>
        <w:gridCol w:w="2265"/>
        <w:gridCol w:w="3015"/>
      </w:tblGrid>
      <w:tr>
        <w:trPr>
          <w:tblHeader w:val="on"/>
          <w:cantSplit/>
        </w:trPr>
        <w:tc>
          <w:tcPr>
            <w:shd w:val="clear" w:color="auto" w:fill="1B3A6B"/>
            <w:tcW w:w="2100" w:type="dxa"/>
          </w:tcPr>
          <w:p>
            <w:pPr>
              <w:pStyle w:val="Compact"/>
              <w:jc w:val="left"/>
            </w:pPr>
            <w:r>
              <w:rPr>
                <w:b/>
                <w:color w:val="FFFFFF"/>
                <w:sz w:val="18"/>
              </w:rPr>
              <w:t xml:space="preserve">H.R. 1 Medicaid provision</w:t>
            </w:r>
          </w:p>
        </w:tc>
        <w:tc>
          <w:tcPr>
            <w:shd w:val="clear" w:color="auto" w:fill="1B3A6B"/>
            <w:tcW w:w="1695" w:type="dxa"/>
          </w:tcPr>
          <w:p>
            <w:pPr>
              <w:pStyle w:val="Compact"/>
              <w:jc w:val="left"/>
            </w:pPr>
            <w:r>
              <w:rPr>
                <w:b/>
                <w:color w:val="FFFFFF"/>
                <w:sz w:val="18"/>
              </w:rPr>
              <w:t xml:space="preserve">When it takes effect</w:t>
            </w:r>
          </w:p>
        </w:tc>
        <w:tc>
          <w:tcPr>
            <w:shd w:val="clear" w:color="auto" w:fill="1B3A6B"/>
            <w:tcW w:w="2265" w:type="dxa"/>
          </w:tcPr>
          <w:p>
            <w:pPr>
              <w:pStyle w:val="Compact"/>
              <w:jc w:val="left"/>
            </w:pPr>
            <w:r>
              <w:rPr>
                <w:b/>
                <w:color w:val="FFFFFF"/>
                <w:sz w:val="18"/>
              </w:rPr>
              <w:t xml:space="preserve">Financial impact</w:t>
            </w:r>
          </w:p>
        </w:tc>
        <w:tc>
          <w:tcPr>
            <w:shd w:val="clear" w:color="auto" w:fill="1B3A6B"/>
            <w:tcW w:w="3015" w:type="dxa"/>
          </w:tcPr>
          <w:p>
            <w:pPr>
              <w:pStyle w:val="Compact"/>
              <w:jc w:val="left"/>
            </w:pPr>
            <w:r>
              <w:rPr>
                <w:b/>
                <w:color w:val="FFFFFF"/>
                <w:sz w:val="18"/>
              </w:rPr>
              <w:t xml:space="preserve">Vermont-specific implications</w:t>
            </w:r>
          </w:p>
        </w:tc>
      </w:tr>
      <w:tr>
        <w:trPr>
          <w:cantSplit/>
        </w:trPr>
        <w:tc>
          <w:tcPr>
            <w:tcW w:w="2100" w:type="dxa"/>
          </w:tcPr>
          <w:p>
            <w:pPr>
              <w:pStyle w:val="Compact"/>
              <w:jc w:val="left"/>
            </w:pPr>
            <w:r>
              <w:rPr>
                <w:sz w:val="18"/>
              </w:rPr>
              <w:t xml:space="preserve">Provider tax restrictions: ban on new or higher provider taxes in expansion states; phase-down of existing taxes</w:t>
            </w:r>
          </w:p>
        </w:tc>
        <w:tc>
          <w:tcPr>
            <w:tcW w:w="1695" w:type="dxa"/>
          </w:tcPr>
          <w:p>
            <w:pPr>
              <w:pStyle w:val="Compact"/>
              <w:jc w:val="left"/>
            </w:pPr>
            <w:r>
              <w:rPr>
                <w:sz w:val="18"/>
              </w:rPr>
              <w:t xml:space="preserve">In effect for new taxes; phase-down beginning 2027</w:t>
            </w:r>
          </w:p>
        </w:tc>
        <w:tc>
          <w:tcPr>
            <w:tcW w:w="2265" w:type="dxa"/>
          </w:tcPr>
          <w:p>
            <w:pPr>
              <w:pStyle w:val="Compact"/>
              <w:jc w:val="left"/>
            </w:pPr>
            <w:r>
              <w:rPr>
                <w:sz w:val="18"/>
              </w:rPr>
              <w:t xml:space="preserve">Reduces states’ ability to finance their Medicaid matching share; intensifies pressure on state Medicaid budgets</w:t>
            </w:r>
          </w:p>
        </w:tc>
        <w:tc>
          <w:tcPr>
            <w:tcW w:w="3015" w:type="dxa"/>
          </w:tcPr>
          <w:p>
            <w:pPr>
              <w:pStyle w:val="Compact"/>
              <w:jc w:val="left"/>
            </w:pPr>
            <w:r>
              <w:rPr>
                <w:sz w:val="18"/>
              </w:rPr>
              <w:t xml:space="preserve">Vermont’s financing mechanisms will need review; state budget implications require modeling through 2031</w:t>
            </w:r>
          </w:p>
        </w:tc>
      </w:tr>
      <w:tr>
        <w:trPr/>
        <w:tc>
          <w:tcPr>
            <w:tcW w:w="2100" w:type="dxa"/>
          </w:tcPr>
          <w:p>
            <w:pPr>
              <w:pStyle w:val="Compact"/>
              <w:jc w:val="left"/>
            </w:pPr>
            <w:r>
              <w:rPr>
                <w:sz w:val="18"/>
              </w:rPr>
              <w:t xml:space="preserve">State-directed payment caps at 100% of Medicare (expansion states)</w:t>
            </w:r>
          </w:p>
        </w:tc>
        <w:tc>
          <w:tcPr>
            <w:tcW w:w="1695" w:type="dxa"/>
          </w:tcPr>
          <w:p>
            <w:pPr>
              <w:pStyle w:val="Compact"/>
              <w:jc w:val="left"/>
            </w:pPr>
            <w:r>
              <w:rPr>
                <w:sz w:val="18"/>
              </w:rPr>
              <w:t xml:space="preserve">2027</w:t>
            </w:r>
          </w:p>
        </w:tc>
        <w:tc>
          <w:tcPr>
            <w:tcW w:w="2265"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3015"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00" w:type="dxa"/>
          </w:tcPr>
          <w:p>
            <w:pPr>
              <w:pStyle w:val="Compact"/>
              <w:jc w:val="left"/>
            </w:pPr>
            <w:r>
              <w:rPr>
                <w:sz w:val="18"/>
              </w:rPr>
              <w:t xml:space="preserve">Work and community engagement requirements (80 hours/month)</w:t>
            </w:r>
          </w:p>
        </w:tc>
        <w:tc>
          <w:tcPr>
            <w:tcW w:w="1695" w:type="dxa"/>
          </w:tcPr>
          <w:p>
            <w:pPr>
              <w:pStyle w:val="Compact"/>
              <w:jc w:val="left"/>
            </w:pPr>
            <w:r>
              <w:rPr>
                <w:sz w:val="18"/>
              </w:rPr>
              <w:t xml:space="preserve">Late 2026 (states must implement by December 31, 2026)</w:t>
            </w:r>
          </w:p>
        </w:tc>
        <w:tc>
          <w:tcPr>
            <w:tcW w:w="2265"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3015"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00" w:type="dxa"/>
          </w:tcPr>
          <w:p>
            <w:pPr>
              <w:pStyle w:val="Compact"/>
              <w:jc w:val="left"/>
            </w:pPr>
            <w:r>
              <w:rPr>
                <w:sz w:val="18"/>
              </w:rPr>
              <w:t xml:space="preserve">Eligibility redetermination every 6 months (vs. annual)</w:t>
            </w:r>
          </w:p>
        </w:tc>
        <w:tc>
          <w:tcPr>
            <w:tcW w:w="1695" w:type="dxa"/>
          </w:tcPr>
          <w:p>
            <w:pPr>
              <w:pStyle w:val="Compact"/>
              <w:jc w:val="left"/>
            </w:pPr>
            <w:r>
              <w:rPr>
                <w:sz w:val="18"/>
              </w:rPr>
              <w:t xml:space="preserve">2026</w:t>
            </w:r>
          </w:p>
        </w:tc>
        <w:tc>
          <w:tcPr>
            <w:tcW w:w="2265"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3015"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00" w:type="dxa"/>
          </w:tcPr>
          <w:p>
            <w:pPr>
              <w:pStyle w:val="Compact"/>
              <w:jc w:val="left"/>
            </w:pPr>
            <w:r>
              <w:rPr>
                <w:sz w:val="18"/>
              </w:rPr>
              <w:t xml:space="preserve">Medicaid reimbursement reductions (DSH cuts, payment rate changes)</w:t>
            </w:r>
          </w:p>
        </w:tc>
        <w:tc>
          <w:tcPr>
            <w:tcW w:w="1695" w:type="dxa"/>
          </w:tcPr>
          <w:p>
            <w:pPr>
              <w:pStyle w:val="Compact"/>
              <w:jc w:val="left"/>
            </w:pPr>
            <w:r>
              <w:rPr>
                <w:sz w:val="18"/>
              </w:rPr>
              <w:t xml:space="preserve">2026-2031 (phased)</w:t>
            </w:r>
          </w:p>
        </w:tc>
        <w:tc>
          <w:tcPr>
            <w:tcW w:w="2265" w:type="dxa"/>
          </w:tcPr>
          <w:p>
            <w:pPr>
              <w:pStyle w:val="Compact"/>
              <w:jc w:val="left"/>
            </w:pPr>
            <w:r>
              <w:rPr>
                <w:sz w:val="18"/>
              </w:rPr>
              <w:t xml:space="preserve">$911B over 10 years nationally; $137B in rural areas; hospitals will experience revenue reductions</w:t>
            </w:r>
          </w:p>
        </w:tc>
        <w:tc>
          <w:tcPr>
            <w:tcW w:w="3015"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3.4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225"/>
        <w:gridCol w:w="5835"/>
      </w:tblGrid>
      <w:tr>
        <w:trPr>
          <w:tblHeader w:val="on"/>
          <w:cantSplit/>
        </w:trPr>
        <w:tc>
          <w:tcPr>
            <w:shd w:val="clear" w:color="auto" w:fill="1B3A6B"/>
            <w:tcW w:w="3225" w:type="dxa"/>
          </w:tcPr>
          <w:p>
            <w:pPr>
              <w:pStyle w:val="Compact"/>
            </w:pPr>
            <w:r>
              <w:rPr>
                <w:b/>
                <w:color w:val="FFFFFF"/>
                <w:sz w:val="18"/>
              </w:rPr>
              <w:t xml:space="preserve">Layer</w:t>
            </w:r>
          </w:p>
        </w:tc>
        <w:tc>
          <w:tcPr>
            <w:shd w:val="clear" w:color="auto" w:fill="1B3A6B"/>
            <w:tcW w:w="5835" w:type="dxa"/>
          </w:tcPr>
          <w:p>
            <w:pPr>
              <w:pStyle w:val="Compact"/>
            </w:pPr>
            <w:r>
              <w:rPr>
                <w:b/>
                <w:color w:val="FFFFFF"/>
                <w:sz w:val="18"/>
              </w:rPr>
              <w:t xml:space="preserve">Role in the data stack</w:t>
            </w:r>
          </w:p>
        </w:tc>
      </w:tr>
      <w:tr>
        <w:trPr>
          <w:cantSplit/>
        </w:trPr>
        <w:tc>
          <w:tcPr>
            <w:tcW w:w="3225"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5835"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3225"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5835"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3225"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5835"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Caption"/>
      </w:pPr>
      <w:r>
        <w:rPr>
          <w:i/>
          <w:iCs/>
        </w:rPr>
        <w:t xml:space="preserve">Figure 4.2 — VHCURES data coverage summary. Commercial coverage is partial because ERISA exempts self-insured employers; extracts hold up to five years of eligibility and paid claims.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485"/>
        <w:gridCol w:w="5010"/>
        <w:gridCol w:w="2580"/>
      </w:tblGrid>
      <w:tr>
        <w:trPr>
          <w:tblHeader w:val="on"/>
          <w:cantSplit/>
        </w:trPr>
        <w:tc>
          <w:tcPr>
            <w:shd w:val="clear" w:color="auto" w:fill="1B3A6B"/>
            <w:tcW w:w="1485" w:type="dxa"/>
          </w:tcPr>
          <w:p>
            <w:pPr>
              <w:pStyle w:val="Compact"/>
              <w:jc w:val="left"/>
            </w:pPr>
            <w:r>
              <w:rPr>
                <w:b/>
                <w:color w:val="FFFFFF"/>
                <w:sz w:val="18"/>
              </w:rPr>
              <w:t xml:space="preserve">Limitation</w:t>
            </w:r>
          </w:p>
        </w:tc>
        <w:tc>
          <w:tcPr>
            <w:shd w:val="clear" w:color="auto" w:fill="1B3A6B"/>
            <w:tcW w:w="5010" w:type="dxa"/>
          </w:tcPr>
          <w:p>
            <w:pPr>
              <w:pStyle w:val="Compact"/>
              <w:jc w:val="left"/>
            </w:pPr>
            <w:r>
              <w:rPr>
                <w:b/>
                <w:color w:val="FFFFFF"/>
                <w:sz w:val="18"/>
              </w:rPr>
              <w:t xml:space="preserve">What it means for transformation</w:t>
            </w:r>
          </w:p>
        </w:tc>
        <w:tc>
          <w:tcPr>
            <w:shd w:val="clear" w:color="auto" w:fill="1B3A6B"/>
            <w:tcW w:w="2580" w:type="dxa"/>
          </w:tcPr>
          <w:p>
            <w:pPr>
              <w:pStyle w:val="Compact"/>
              <w:jc w:val="left"/>
            </w:pPr>
            <w:r>
              <w:rPr>
                <w:b/>
                <w:color w:val="FFFFFF"/>
                <w:sz w:val="18"/>
              </w:rPr>
              <w:t xml:space="preserve">Required improvement</w:t>
            </w:r>
          </w:p>
        </w:tc>
      </w:tr>
      <w:tr>
        <w:trPr>
          <w:cantSplit/>
        </w:trPr>
        <w:tc>
          <w:tcPr>
            <w:tcW w:w="1485" w:type="dxa"/>
          </w:tcPr>
          <w:p>
            <w:pPr>
              <w:pStyle w:val="Compact"/>
              <w:jc w:val="left"/>
            </w:pPr>
            <w:r>
              <w:rPr>
                <w:sz w:val="18"/>
              </w:rPr>
              <w:t xml:space="preserve">Incomplete commercial coverage (60%)</w:t>
            </w:r>
          </w:p>
        </w:tc>
        <w:tc>
          <w:tcPr>
            <w:tcW w:w="501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580"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485" w:type="dxa"/>
          </w:tcPr>
          <w:p>
            <w:pPr>
              <w:pStyle w:val="Compact"/>
              <w:jc w:val="left"/>
            </w:pPr>
            <w:r>
              <w:rPr>
                <w:sz w:val="18"/>
              </w:rPr>
              <w:t xml:space="preserve">Data lag of 12-18+ months</w:t>
            </w:r>
          </w:p>
        </w:tc>
        <w:tc>
          <w:tcPr>
            <w:tcW w:w="501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580"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1485" w:type="dxa"/>
          </w:tcPr>
          <w:p>
            <w:pPr>
              <w:pStyle w:val="Compact"/>
              <w:jc w:val="left"/>
            </w:pPr>
            <w:r>
              <w:rPr>
                <w:sz w:val="18"/>
              </w:rPr>
              <w:t xml:space="preserve">No behavioral health or SDOH data integration</w:t>
            </w:r>
          </w:p>
        </w:tc>
        <w:tc>
          <w:tcPr>
            <w:tcW w:w="501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580"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485" w:type="dxa"/>
          </w:tcPr>
          <w:p>
            <w:pPr>
              <w:pStyle w:val="Compact"/>
              <w:jc w:val="left"/>
            </w:pPr>
            <w:r>
              <w:rPr>
                <w:sz w:val="18"/>
              </w:rPr>
              <w:t xml:space="preserve">No clinical results, only billing records</w:t>
            </w:r>
          </w:p>
        </w:tc>
        <w:tc>
          <w:tcPr>
            <w:tcW w:w="501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580"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4.3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pStyle w:val="Compact"/>
        <w:numPr>
          <w:ilvl w:val="0"/>
          <w:numId w:val="1010"/>
        </w:numPr>
        <w:keepLines w:val="true"/>
        <w:keepNext w:val="true"/>
      </w:pPr>
      <w:r>
        <w:t xml:space="preserve">Perception: Vermont has a statewide Health Information Exchange, operated under exclusive statutory designation by VITL.</w:t>
      </w:r>
    </w:p>
    <w:p>
      <w:pPr>
        <w:pStyle w:val="Compact"/>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05"/>
        <w:gridCol w:w="3225"/>
        <w:gridCol w:w="1815"/>
        <w:gridCol w:w="2445"/>
      </w:tblGrid>
      <w:tr>
        <w:trPr>
          <w:tblHeader w:val="on"/>
          <w:cantSplit/>
        </w:trPr>
        <w:tc>
          <w:tcPr>
            <w:shd w:val="clear" w:color="auto" w:fill="1B3A6B"/>
            <w:tcW w:w="1605" w:type="dxa"/>
          </w:tcPr>
          <w:p>
            <w:pPr>
              <w:pStyle w:val="Compact"/>
              <w:jc w:val="left"/>
            </w:pPr>
            <w:r>
              <w:rPr>
                <w:b/>
                <w:color w:val="FFFFFF"/>
                <w:sz w:val="18"/>
              </w:rPr>
              <w:t xml:space="preserve">Step</w:t>
            </w:r>
          </w:p>
        </w:tc>
        <w:tc>
          <w:tcPr>
            <w:shd w:val="clear" w:color="auto" w:fill="1B3A6B"/>
            <w:tcW w:w="322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05" w:type="dxa"/>
          </w:tcPr>
          <w:p>
            <w:pPr>
              <w:pStyle w:val="Compact"/>
              <w:jc w:val="left"/>
            </w:pPr>
            <w:r>
              <w:rPr>
                <w:sz w:val="18"/>
              </w:rPr>
              <w:t xml:space="preserve">1. VHCURES-VHIE claims-clinical integration</w:t>
            </w:r>
          </w:p>
        </w:tc>
        <w:tc>
          <w:tcPr>
            <w:tcW w:w="322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AHEAD Model requires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05" w:type="dxa"/>
          </w:tcPr>
          <w:p>
            <w:pPr>
              <w:pStyle w:val="Compact"/>
              <w:jc w:val="left"/>
            </w:pPr>
            <w:r>
              <w:rPr>
                <w:sz w:val="18"/>
              </w:rPr>
              <w:t xml:space="preserve">2. Mental health and SUD data integration</w:t>
            </w:r>
          </w:p>
        </w:tc>
        <w:tc>
          <w:tcPr>
            <w:tcW w:w="322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05" w:type="dxa"/>
          </w:tcPr>
          <w:p>
            <w:pPr>
              <w:pStyle w:val="Compact"/>
              <w:jc w:val="left"/>
            </w:pPr>
            <w:r>
              <w:rPr>
                <w:sz w:val="18"/>
              </w:rPr>
              <w:t xml:space="preserve">3. SDOH data integration</w:t>
            </w:r>
          </w:p>
        </w:tc>
        <w:tc>
          <w:tcPr>
            <w:tcW w:w="322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4.4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050"/>
        <w:gridCol w:w="3105"/>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050" w:type="dxa"/>
          </w:tcPr>
          <w:p>
            <w:pPr>
              <w:pStyle w:val="Compact"/>
              <w:jc w:val="left"/>
            </w:pPr>
            <w:r>
              <w:rPr>
                <w:b/>
                <w:color w:val="FFFFFF"/>
                <w:sz w:val="18"/>
              </w:rPr>
              <w:t xml:space="preserve">Name</w:t>
            </w:r>
          </w:p>
        </w:tc>
        <w:tc>
          <w:tcPr>
            <w:shd w:val="clear" w:color="auto" w:fill="1B3A6B"/>
            <w:tcW w:w="3105"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050" w:type="dxa"/>
          </w:tcPr>
          <w:p>
            <w:pPr>
              <w:pStyle w:val="Compact"/>
              <w:jc w:val="left"/>
            </w:pPr>
            <w:r>
              <w:rPr>
                <w:sz w:val="18"/>
              </w:rPr>
              <w:t xml:space="preserve">End-User Services</w:t>
            </w:r>
          </w:p>
        </w:tc>
        <w:tc>
          <w:tcPr>
            <w:tcW w:w="3105"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050" w:type="dxa"/>
          </w:tcPr>
          <w:p>
            <w:pPr>
              <w:pStyle w:val="Compact"/>
              <w:jc w:val="left"/>
            </w:pPr>
            <w:r>
              <w:rPr>
                <w:sz w:val="18"/>
              </w:rPr>
              <w:t xml:space="preserve">Exchange Services</w:t>
            </w:r>
          </w:p>
        </w:tc>
        <w:tc>
          <w:tcPr>
            <w:tcW w:w="3105"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050" w:type="dxa"/>
          </w:tcPr>
          <w:p>
            <w:pPr>
              <w:pStyle w:val="Compact"/>
              <w:jc w:val="left"/>
            </w:pPr>
            <w:r>
              <w:rPr>
                <w:sz w:val="18"/>
              </w:rPr>
              <w:t xml:space="preserve">Foundational Services</w:t>
            </w:r>
          </w:p>
        </w:tc>
        <w:tc>
          <w:tcPr>
            <w:tcW w:w="3105"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4.5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4.6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2550"/>
        <w:gridCol w:w="6525"/>
      </w:tblGrid>
      <w:tr>
        <w:trPr>
          <w:tblHeader w:val="on"/>
          <w:cantSplit/>
        </w:trPr>
        <w:tc>
          <w:tcPr>
            <w:shd w:val="clear" w:color="auto" w:fill="1B3A6B"/>
            <w:tcW w:w="2550" w:type="dxa"/>
          </w:tcPr>
          <w:p>
            <w:pPr>
              <w:pStyle w:val="Compact"/>
              <w:jc w:val="left"/>
            </w:pPr>
            <w:r>
              <w:rPr>
                <w:b/>
                <w:color w:val="FFFFFF"/>
                <w:sz w:val="18"/>
              </w:rPr>
              <w:t xml:space="preserve">FHIR compliance level</w:t>
            </w:r>
          </w:p>
        </w:tc>
        <w:tc>
          <w:tcPr>
            <w:shd w:val="clear" w:color="auto" w:fill="1B3A6B"/>
            <w:tcW w:w="6525" w:type="dxa"/>
          </w:tcPr>
          <w:p>
            <w:pPr>
              <w:pStyle w:val="Compact"/>
              <w:jc w:val="left"/>
            </w:pPr>
            <w:r>
              <w:rPr>
                <w:b/>
                <w:color w:val="FFFFFF"/>
                <w:sz w:val="18"/>
              </w:rPr>
              <w:t xml:space="preserve">Vermont providers and current status</w:t>
            </w:r>
          </w:p>
        </w:tc>
      </w:tr>
      <w:tr>
        <w:trPr>
          <w:cantSplit/>
        </w:trPr>
        <w:tc>
          <w:tcPr>
            <w:tcW w:w="2550" w:type="dxa"/>
          </w:tcPr>
          <w:p>
            <w:pPr>
              <w:pStyle w:val="Compact"/>
              <w:jc w:val="left"/>
            </w:pPr>
            <w:r>
              <w:rPr>
                <w:sz w:val="18"/>
              </w:rPr>
              <w:t xml:space="preserve">Full FHIR R4 compliance</w:t>
            </w:r>
          </w:p>
        </w:tc>
        <w:tc>
          <w:tcPr>
            <w:tcW w:w="6525" w:type="dxa"/>
          </w:tcPr>
          <w:p>
            <w:pPr>
              <w:pStyle w:val="Compact"/>
              <w:jc w:val="left"/>
            </w:pPr>
            <w:r>
              <w:rPr>
                <w:sz w:val="18"/>
              </w:rPr>
              <w:t xml:space="preserve">UVMMC (Epic); Vermont hospitals on Oracle Health (Cerner) post-2022 upgrade; major commercial payers (BCBS VT, MVP)</w:t>
            </w:r>
          </w:p>
        </w:tc>
      </w:tr>
      <w:tr>
        <w:trPr/>
        <w:tc>
          <w:tcPr>
            <w:tcW w:w="2550" w:type="dxa"/>
          </w:tcPr>
          <w:p>
            <w:pPr>
              <w:pStyle w:val="Compact"/>
              <w:jc w:val="left"/>
            </w:pPr>
            <w:r>
              <w:rPr>
                <w:sz w:val="18"/>
              </w:rPr>
              <w:t xml:space="preserve">Partial FHIR implementation</w:t>
            </w:r>
          </w:p>
        </w:tc>
        <w:tc>
          <w:tcPr>
            <w:tcW w:w="6525" w:type="dxa"/>
          </w:tcPr>
          <w:p>
            <w:pPr>
              <w:pStyle w:val="Compact"/>
              <w:jc w:val="left"/>
            </w:pPr>
            <w:r>
              <w:rPr>
                <w:sz w:val="18"/>
              </w:rPr>
              <w:t xml:space="preserve">Central Vermont Medical Center; hospitals on Meditech Expanse (FHIR-capable but may require configuration)</w:t>
            </w:r>
          </w:p>
        </w:tc>
      </w:tr>
      <w:tr>
        <w:trPr/>
        <w:tc>
          <w:tcPr>
            <w:tcW w:w="2550" w:type="dxa"/>
          </w:tcPr>
          <w:p>
            <w:pPr>
              <w:pStyle w:val="Compact"/>
              <w:jc w:val="left"/>
            </w:pPr>
            <w:r>
              <w:rPr>
                <w:sz w:val="18"/>
              </w:rPr>
              <w:t xml:space="preserve">Limited / no FHIR</w:t>
            </w:r>
          </w:p>
        </w:tc>
        <w:tc>
          <w:tcPr>
            <w:tcW w:w="6525"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2550" w:type="dxa"/>
          </w:tcPr>
          <w:p>
            <w:pPr>
              <w:pStyle w:val="Compact"/>
              <w:jc w:val="left"/>
            </w:pPr>
            <w:r>
              <w:rPr>
                <w:sz w:val="18"/>
              </w:rPr>
              <w:t xml:space="preserve">FHIR investment planned (RHT Program)</w:t>
            </w:r>
          </w:p>
        </w:tc>
        <w:tc>
          <w:tcPr>
            <w:tcW w:w="6525"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4.7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455"/>
        <w:gridCol w:w="7620"/>
      </w:tblGrid>
      <w:tr>
        <w:trPr>
          <w:tblHeader w:val="on"/>
          <w:cantSplit/>
        </w:trPr>
        <w:tc>
          <w:tcPr>
            <w:shd w:val="clear" w:color="auto" w:fill="1B3A6B"/>
            <w:tcW w:w="1455" w:type="dxa"/>
          </w:tcPr>
          <w:p>
            <w:pPr>
              <w:pStyle w:val="Compact"/>
            </w:pPr>
            <w:r>
              <w:rPr>
                <w:b/>
                <w:color w:val="FFFFFF"/>
                <w:sz w:val="18"/>
              </w:rPr>
              <w:t xml:space="preserve">Layer</w:t>
            </w:r>
          </w:p>
        </w:tc>
        <w:tc>
          <w:tcPr>
            <w:shd w:val="clear" w:color="auto" w:fill="1B3A6B"/>
            <w:tcW w:w="7620" w:type="dxa"/>
          </w:tcPr>
          <w:p>
            <w:pPr>
              <w:pStyle w:val="Compact"/>
            </w:pPr>
            <w:r>
              <w:rPr>
                <w:b/>
                <w:color w:val="FFFFFF"/>
                <w:sz w:val="18"/>
              </w:rPr>
              <w:t xml:space="preserve">Components</w:t>
            </w:r>
          </w:p>
        </w:tc>
      </w:tr>
      <w:tr>
        <w:trPr>
          <w:cantSplit/>
        </w:trPr>
        <w:tc>
          <w:tcPr>
            <w:tcW w:w="1455"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7620"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1455"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7620"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1455"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7620"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1455"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7620"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1455"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7620"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spacing w:before="120"/>
      </w:pPr>
      <w:r>
        <w:rPr>
          <w:i/>
          <w:iCs/>
        </w:rP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Caption"/>
        <w:spacing w:before="120"/>
      </w:pPr>
      <w:r>
        <w:rPr>
          <w:i/>
          <w:iCs/>
        </w:rPr>
        <w:t xml:space="preserve">Figure 5.3 — Technology pillar implementation matrix. Sources: HTR Advisory; Vermont RHT Program (2025); CMS interoperability rule.</w:t>
      </w:r>
    </w:p>
    <w:p>
      <w:pPr>
        <w:pStyle w:val="Heading2"/>
        <w:pBdr>
          <w:top w:val="single" w:sz="6" w:space="10" w:color="C9D2DF"/>
        </w:pBdr>
        <w:keepNext w:val="false"/>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Figure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0"/>
        <w:gridCol w:w="2445"/>
        <w:gridCol w:w="2010"/>
        <w:gridCol w:w="3495"/>
      </w:tblGrid>
      <w:tr>
        <w:trPr>
          <w:tblHeader w:val="on"/>
          <w:cantSplit/>
        </w:trPr>
        <w:tc>
          <w:tcPr>
            <w:shd w:val="clear" w:color="auto" w:fill="1B3A6B"/>
            <w:tcW w:w="1110" w:type="dxa"/>
          </w:tcPr>
          <w:p>
            <w:pPr>
              <w:pStyle w:val="Compact"/>
              <w:jc w:val="left"/>
            </w:pPr>
            <w:r>
              <w:rPr>
                <w:b/>
                <w:color w:val="FFFFFF"/>
                <w:sz w:val="18"/>
              </w:rPr>
              <w:t xml:space="preserve">State / Program</w:t>
            </w:r>
          </w:p>
        </w:tc>
        <w:tc>
          <w:tcPr>
            <w:shd w:val="clear" w:color="auto" w:fill="1B3A6B"/>
            <w:tcW w:w="2445" w:type="dxa"/>
          </w:tcPr>
          <w:p>
            <w:pPr>
              <w:pStyle w:val="Compact"/>
              <w:jc w:val="left"/>
            </w:pPr>
            <w:r>
              <w:rPr>
                <w:b/>
                <w:color w:val="FFFFFF"/>
                <w:sz w:val="18"/>
              </w:rPr>
              <w:t xml:space="preserve">Design</w:t>
            </w:r>
          </w:p>
        </w:tc>
        <w:tc>
          <w:tcPr>
            <w:shd w:val="clear" w:color="auto" w:fill="1B3A6B"/>
            <w:tcW w:w="2010" w:type="dxa"/>
          </w:tcPr>
          <w:p>
            <w:pPr>
              <w:pStyle w:val="Compact"/>
              <w:jc w:val="left"/>
            </w:pPr>
            <w:r>
              <w:rPr>
                <w:b/>
                <w:color w:val="FFFFFF"/>
                <w:sz w:val="18"/>
              </w:rPr>
              <w:t xml:space="preserve">Scope</w:t>
            </w:r>
          </w:p>
        </w:tc>
        <w:tc>
          <w:tcPr>
            <w:shd w:val="clear" w:color="auto" w:fill="1B3A6B"/>
            <w:tcW w:w="3495" w:type="dxa"/>
          </w:tcPr>
          <w:p>
            <w:pPr>
              <w:pStyle w:val="Compact"/>
              <w:jc w:val="left"/>
            </w:pPr>
            <w:r>
              <w:rPr>
                <w:b/>
                <w:color w:val="FFFFFF"/>
                <w:sz w:val="18"/>
              </w:rPr>
              <w:t xml:space="preserve">Key Results</w:t>
            </w:r>
          </w:p>
        </w:tc>
      </w:tr>
      <w:tr>
        <w:trPr>
          <w:cantSplit/>
        </w:trPr>
        <w:tc>
          <w:tcPr>
            <w:tcW w:w="1110" w:type="dxa"/>
          </w:tcPr>
          <w:p>
            <w:pPr>
              <w:pStyle w:val="Compact"/>
              <w:jc w:val="left"/>
            </w:pPr>
            <w:r>
              <w:rPr>
                <w:sz w:val="18"/>
              </w:rPr>
              <w:t xml:space="preserve">Oregon (2019)</w:t>
            </w:r>
          </w:p>
        </w:tc>
        <w:tc>
          <w:tcPr>
            <w:tcW w:w="2445" w:type="dxa"/>
          </w:tcPr>
          <w:p>
            <w:pPr>
              <w:pStyle w:val="Compact"/>
              <w:jc w:val="left"/>
            </w:pPr>
            <w:r>
              <w:rPr>
                <w:sz w:val="18"/>
              </w:rPr>
              <w:t xml:space="preserve">200% of Medicare in-network; 185% out-of-network. CAH exemptions.</w:t>
            </w:r>
          </w:p>
        </w:tc>
        <w:tc>
          <w:tcPr>
            <w:tcW w:w="2010" w:type="dxa"/>
          </w:tcPr>
          <w:p>
            <w:pPr>
              <w:pStyle w:val="Compact"/>
              <w:jc w:val="left"/>
            </w:pPr>
            <w:r>
              <w:rPr>
                <w:sz w:val="18"/>
              </w:rPr>
              <w:t xml:space="preserve">State employee plan (~300,000 covered lives)</w:t>
            </w:r>
          </w:p>
        </w:tc>
        <w:tc>
          <w:tcPr>
            <w:tcW w:w="3495" w:type="dxa"/>
          </w:tcPr>
          <w:p>
            <w:pPr>
              <w:pStyle w:val="Compact"/>
              <w:jc w:val="left"/>
            </w:pPr>
            <w:r>
              <w:rPr>
                <w:sz w:val="18"/>
              </w:rPr>
              <w:t xml:space="preserve">$107.5M saved in first 27 months (Health Affairs). All 24 affected hospitals remained in-network. No documented access harm.</w:t>
            </w:r>
          </w:p>
        </w:tc>
      </w:tr>
      <w:tr>
        <w:trPr/>
        <w:tc>
          <w:tcPr>
            <w:tcW w:w="1110" w:type="dxa"/>
          </w:tcPr>
          <w:p>
            <w:pPr>
              <w:pStyle w:val="Compact"/>
              <w:jc w:val="left"/>
            </w:pPr>
            <w:r>
              <w:rPr>
                <w:sz w:val="18"/>
              </w:rPr>
              <w:t xml:space="preserve">Montana (2016)</w:t>
            </w:r>
          </w:p>
        </w:tc>
        <w:tc>
          <w:tcPr>
            <w:tcW w:w="2445" w:type="dxa"/>
          </w:tcPr>
          <w:p>
            <w:pPr>
              <w:pStyle w:val="Compact"/>
              <w:jc w:val="left"/>
            </w:pPr>
            <w:r>
              <w:rPr>
                <w:sz w:val="18"/>
              </w:rPr>
              <w:t xml:space="preserve">Direct contracting at % of Medicare for state employee plan.</w:t>
            </w:r>
          </w:p>
        </w:tc>
        <w:tc>
          <w:tcPr>
            <w:tcW w:w="2010" w:type="dxa"/>
          </w:tcPr>
          <w:p>
            <w:pPr>
              <w:pStyle w:val="Compact"/>
              <w:jc w:val="left"/>
            </w:pPr>
            <w:r>
              <w:rPr>
                <w:sz w:val="18"/>
              </w:rPr>
              <w:t xml:space="preserve">State employee plan</w:t>
            </w:r>
          </w:p>
        </w:tc>
        <w:tc>
          <w:tcPr>
            <w:tcW w:w="3495"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0" w:type="dxa"/>
          </w:tcPr>
          <w:p>
            <w:pPr>
              <w:pStyle w:val="Compact"/>
              <w:jc w:val="left"/>
            </w:pPr>
            <w:r>
              <w:rPr>
                <w:sz w:val="18"/>
              </w:rPr>
              <w:t xml:space="preserve">Washington (2021)</w:t>
            </w:r>
          </w:p>
        </w:tc>
        <w:tc>
          <w:tcPr>
            <w:tcW w:w="2445"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010" w:type="dxa"/>
          </w:tcPr>
          <w:p>
            <w:pPr>
              <w:pStyle w:val="Compact"/>
              <w:jc w:val="left"/>
            </w:pPr>
            <w:r>
              <w:rPr>
                <w:sz w:val="18"/>
              </w:rPr>
              <w:t xml:space="preserve">Voluntary public option</w:t>
            </w:r>
          </w:p>
        </w:tc>
        <w:tc>
          <w:tcPr>
            <w:tcW w:w="3495" w:type="dxa"/>
          </w:tcPr>
          <w:p>
            <w:pPr>
              <w:pStyle w:val="Compact"/>
              <w:jc w:val="left"/>
            </w:pPr>
            <w:r>
              <w:rPr>
                <w:sz w:val="18"/>
              </w:rPr>
              <w:t xml:space="preserve">Expanding to state employee plans. Growing commercial adoption.</w:t>
            </w:r>
          </w:p>
        </w:tc>
      </w:tr>
      <w:tr>
        <w:trPr/>
        <w:tc>
          <w:tcPr>
            <w:tcW w:w="1110" w:type="dxa"/>
          </w:tcPr>
          <w:p>
            <w:pPr>
              <w:pStyle w:val="Compact"/>
              <w:jc w:val="left"/>
            </w:pPr>
            <w:r>
              <w:rPr>
                <w:sz w:val="18"/>
              </w:rPr>
              <w:t xml:space="preserve">Maryland (2014–present)</w:t>
            </w:r>
          </w:p>
        </w:tc>
        <w:tc>
          <w:tcPr>
            <w:tcW w:w="2445" w:type="dxa"/>
          </w:tcPr>
          <w:p>
            <w:pPr>
              <w:pStyle w:val="Compact"/>
              <w:jc w:val="left"/>
            </w:pPr>
            <w:r>
              <w:rPr>
                <w:sz w:val="18"/>
              </w:rPr>
              <w:t xml:space="preserve">All-payer rate setting; hospitals receive fixed annual revenue (global budget). Medicare waiver.</w:t>
            </w:r>
          </w:p>
        </w:tc>
        <w:tc>
          <w:tcPr>
            <w:tcW w:w="2010" w:type="dxa"/>
          </w:tcPr>
          <w:p>
            <w:pPr>
              <w:pStyle w:val="Compact"/>
              <w:jc w:val="left"/>
            </w:pPr>
            <w:r>
              <w:rPr>
                <w:sz w:val="18"/>
              </w:rPr>
              <w:t xml:space="preserve">All payers, all hospitals statewide</w:t>
            </w:r>
          </w:p>
        </w:tc>
        <w:tc>
          <w:tcPr>
            <w:tcW w:w="3495"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0" w:type="dxa"/>
          </w:tcPr>
          <w:p>
            <w:pPr>
              <w:pStyle w:val="Compact"/>
              <w:jc w:val="left"/>
            </w:pPr>
            <w:r>
              <w:rPr>
                <w:sz w:val="18"/>
              </w:rPr>
              <w:t xml:space="preserve">Vermont Act 68 (FY2027)</w:t>
            </w:r>
          </w:p>
        </w:tc>
        <w:tc>
          <w:tcPr>
            <w:tcW w:w="2445" w:type="dxa"/>
          </w:tcPr>
          <w:p>
            <w:pPr>
              <w:pStyle w:val="Compact"/>
              <w:jc w:val="left"/>
            </w:pPr>
            <w:r>
              <w:rPr>
                <w:sz w:val="18"/>
              </w:rPr>
              <w:t xml:space="preserve">Mandatory statewide RBP maximum set by GMCB rule. Initially commercial payers; excludes Medicare/Medicaid.</w:t>
            </w:r>
          </w:p>
        </w:tc>
        <w:tc>
          <w:tcPr>
            <w:tcW w:w="2010" w:type="dxa"/>
          </w:tcPr>
          <w:p>
            <w:pPr>
              <w:pStyle w:val="Compact"/>
              <w:jc w:val="left"/>
            </w:pPr>
            <w:r>
              <w:rPr>
                <w:sz w:val="18"/>
              </w:rPr>
              <w:t xml:space="preserve">All Vermont hospitals, all commercial payers</w:t>
            </w:r>
          </w:p>
        </w:tc>
        <w:tc>
          <w:tcPr>
            <w:tcW w:w="3495"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Figure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1260"/>
        <w:gridCol w:w="2340"/>
        <w:gridCol w:w="2790"/>
        <w:gridCol w:w="2700"/>
      </w:tblGrid>
      <w:tr>
        <w:trPr>
          <w:tblHeader w:val="on"/>
          <w:cantSplit/>
        </w:trPr>
        <w:tc>
          <w:tcPr>
            <w:shd w:val="clear" w:color="auto" w:fill="1B3A6B"/>
            <w:tcW w:w="1260" w:type="dxa"/>
          </w:tcPr>
          <w:p>
            <w:pPr>
              <w:pStyle w:val="Compact"/>
              <w:jc w:val="left"/>
            </w:pPr>
            <w:r>
              <w:rPr>
                <w:b/>
                <w:color w:val="FFFFFF"/>
                <w:sz w:val="18"/>
              </w:rPr>
              <w:t xml:space="preserve">Design dimension</w:t>
            </w:r>
          </w:p>
        </w:tc>
        <w:tc>
          <w:tcPr>
            <w:shd w:val="clear" w:color="auto" w:fill="1B3A6B"/>
            <w:tcW w:w="2340" w:type="dxa"/>
          </w:tcPr>
          <w:p>
            <w:pPr>
              <w:pStyle w:val="Compact"/>
              <w:jc w:val="left"/>
            </w:pPr>
            <w:r>
              <w:rPr>
                <w:b/>
                <w:color w:val="FFFFFF"/>
                <w:sz w:val="18"/>
              </w:rPr>
              <w:t xml:space="preserve">The choice</w:t>
            </w:r>
          </w:p>
        </w:tc>
        <w:tc>
          <w:tcPr>
            <w:shd w:val="clear" w:color="auto" w:fill="1B3A6B"/>
            <w:tcW w:w="2790" w:type="dxa"/>
          </w:tcPr>
          <w:p>
            <w:pPr>
              <w:pStyle w:val="Compact"/>
              <w:jc w:val="left"/>
            </w:pPr>
            <w:r>
              <w:rPr>
                <w:b/>
                <w:color w:val="FFFFFF"/>
                <w:sz w:val="18"/>
              </w:rPr>
              <w:t xml:space="preserve">Key tradeoff</w:t>
            </w:r>
          </w:p>
        </w:tc>
        <w:tc>
          <w:tcPr>
            <w:shd w:val="clear" w:color="auto" w:fill="1B3A6B"/>
            <w:tcW w:w="2700" w:type="dxa"/>
          </w:tcPr>
          <w:p>
            <w:pPr>
              <w:pStyle w:val="Compact"/>
              <w:jc w:val="left"/>
            </w:pPr>
            <w:r>
              <w:rPr>
                <w:b/>
                <w:color w:val="FFFFFF"/>
                <w:sz w:val="18"/>
              </w:rPr>
              <w:t xml:space="preserve">Vermont’s current direction</w:t>
            </w:r>
          </w:p>
        </w:tc>
      </w:tr>
      <w:tr>
        <w:trPr>
          <w:cantSplit/>
        </w:trPr>
        <w:tc>
          <w:tcPr>
            <w:tcW w:w="1260" w:type="dxa"/>
          </w:tcPr>
          <w:p>
            <w:pPr>
              <w:pStyle w:val="Compact"/>
              <w:jc w:val="left"/>
            </w:pPr>
            <w:r>
              <w:rPr>
                <w:sz w:val="18"/>
              </w:rPr>
              <w:t xml:space="preserve">Scope</w:t>
            </w:r>
          </w:p>
        </w:tc>
        <w:tc>
          <w:tcPr>
            <w:tcW w:w="2340" w:type="dxa"/>
          </w:tcPr>
          <w:p>
            <w:pPr>
              <w:pStyle w:val="Compact"/>
              <w:jc w:val="left"/>
            </w:pPr>
            <w:r>
              <w:rPr>
                <w:sz w:val="18"/>
              </w:rPr>
              <w:t xml:space="preserve">Which services are inside vs. outside the budget? (Capital, high-cost drugs, outpatient, physician services?)</w:t>
            </w:r>
          </w:p>
        </w:tc>
        <w:tc>
          <w:tcPr>
            <w:tcW w:w="2790" w:type="dxa"/>
          </w:tcPr>
          <w:p>
            <w:pPr>
              <w:pStyle w:val="Compact"/>
              <w:jc w:val="left"/>
            </w:pPr>
            <w:r>
              <w:rPr>
                <w:sz w:val="18"/>
              </w:rPr>
              <w:t xml:space="preserve">Broader scope = more comprehensive cost control. Narrower scope = simpler to administer but leaves cost-shifting opportunities.</w:t>
            </w:r>
          </w:p>
        </w:tc>
        <w:tc>
          <w:tcPr>
            <w:tcW w:w="2700"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1260" w:type="dxa"/>
          </w:tcPr>
          <w:p>
            <w:pPr>
              <w:pStyle w:val="Compact"/>
              <w:jc w:val="left"/>
            </w:pPr>
            <w:r>
              <w:rPr>
                <w:sz w:val="18"/>
              </w:rPr>
              <w:t xml:space="preserve">Population adjustment</w:t>
            </w:r>
          </w:p>
        </w:tc>
        <w:tc>
          <w:tcPr>
            <w:tcW w:w="2340" w:type="dxa"/>
          </w:tcPr>
          <w:p>
            <w:pPr>
              <w:pStyle w:val="Compact"/>
              <w:jc w:val="left"/>
            </w:pPr>
            <w:r>
              <w:rPr>
                <w:sz w:val="18"/>
              </w:rPr>
              <w:t xml:space="preserve">How does the budget account for patient demographics, complexity, and socioeconomic factors?</w:t>
            </w:r>
          </w:p>
        </w:tc>
        <w:tc>
          <w:tcPr>
            <w:tcW w:w="2790" w:type="dxa"/>
          </w:tcPr>
          <w:p>
            <w:pPr>
              <w:pStyle w:val="Compact"/>
              <w:jc w:val="left"/>
            </w:pPr>
            <w:r>
              <w:rPr>
                <w:sz w:val="18"/>
              </w:rPr>
              <w:t xml:space="preserve">No adjustment rewards hospitals serving healthier populations. Over-adjustment reduces cost-control incentives.</w:t>
            </w:r>
          </w:p>
        </w:tc>
        <w:tc>
          <w:tcPr>
            <w:tcW w:w="2700" w:type="dxa"/>
          </w:tcPr>
          <w:p>
            <w:pPr>
              <w:pStyle w:val="Compact"/>
              <w:jc w:val="left"/>
            </w:pPr>
            <w:r>
              <w:rPr>
                <w:sz w:val="18"/>
              </w:rPr>
              <w:t xml:space="preserve">GMCB considering payer mix, labor costs, social risk factors for each hospital. Critical for Vermont’s CAHs vs. UVMMC.</w:t>
            </w:r>
          </w:p>
        </w:tc>
      </w:tr>
      <w:tr>
        <w:trPr/>
        <w:tc>
          <w:tcPr>
            <w:tcW w:w="1260" w:type="dxa"/>
          </w:tcPr>
          <w:p>
            <w:pPr>
              <w:pStyle w:val="Compact"/>
              <w:jc w:val="left"/>
            </w:pPr>
            <w:r>
              <w:rPr>
                <w:sz w:val="18"/>
              </w:rPr>
              <w:t xml:space="preserve">Volume treatment</w:t>
            </w:r>
          </w:p>
        </w:tc>
        <w:tc>
          <w:tcPr>
            <w:tcW w:w="2340" w:type="dxa"/>
          </w:tcPr>
          <w:p>
            <w:pPr>
              <w:pStyle w:val="Compact"/>
              <w:jc w:val="left"/>
            </w:pPr>
            <w:r>
              <w:rPr>
                <w:sz w:val="18"/>
              </w:rPr>
              <w:t xml:space="preserve">Does the budget adjust if patient volume changes significantly?</w:t>
            </w:r>
          </w:p>
        </w:tc>
        <w:tc>
          <w:tcPr>
            <w:tcW w:w="2790" w:type="dxa"/>
          </w:tcPr>
          <w:p>
            <w:pPr>
              <w:pStyle w:val="Compact"/>
              <w:jc w:val="left"/>
            </w:pPr>
            <w:r>
              <w:rPr>
                <w:sz w:val="18"/>
              </w:rPr>
              <w:t xml:space="preserve">Fixed budget = maximum cost-control incentive. Volume-adjusted budget = lower risk for hospitals, less population health incentive.</w:t>
            </w:r>
          </w:p>
        </w:tc>
        <w:tc>
          <w:tcPr>
            <w:tcW w:w="2700" w:type="dxa"/>
          </w:tcPr>
          <w:p>
            <w:pPr>
              <w:pStyle w:val="Compact"/>
              <w:jc w:val="left"/>
            </w:pPr>
            <w:r>
              <w:rPr>
                <w:sz w:val="18"/>
              </w:rPr>
              <w:t xml:space="preserve">Maryland preserved revenue initially when volume decreased to ease transition. Vermont likely to adopt similar glide path.</w:t>
            </w:r>
          </w:p>
        </w:tc>
      </w:tr>
      <w:tr>
        <w:trPr/>
        <w:tc>
          <w:tcPr>
            <w:tcW w:w="1260" w:type="dxa"/>
          </w:tcPr>
          <w:p>
            <w:pPr>
              <w:pStyle w:val="Compact"/>
              <w:jc w:val="left"/>
            </w:pPr>
            <w:r>
              <w:rPr>
                <w:sz w:val="18"/>
              </w:rPr>
              <w:t xml:space="preserve">Quality linkage</w:t>
            </w:r>
          </w:p>
        </w:tc>
        <w:tc>
          <w:tcPr>
            <w:tcW w:w="2340" w:type="dxa"/>
          </w:tcPr>
          <w:p>
            <w:pPr>
              <w:pStyle w:val="Compact"/>
              <w:jc w:val="left"/>
            </w:pPr>
            <w:r>
              <w:rPr>
                <w:sz w:val="18"/>
              </w:rPr>
              <w:t xml:space="preserve">How are quality metrics integrated — penalty, incentive, or both?</w:t>
            </w:r>
          </w:p>
        </w:tc>
        <w:tc>
          <w:tcPr>
            <w:tcW w:w="2790" w:type="dxa"/>
          </w:tcPr>
          <w:p>
            <w:pPr>
              <w:pStyle w:val="Compact"/>
              <w:jc w:val="left"/>
            </w:pPr>
            <w:r>
              <w:rPr>
                <w:sz w:val="18"/>
              </w:rPr>
              <w:t xml:space="preserve">Too small a linkage = no behavioral change. Too large = financial instability for hospitals still improving.</w:t>
            </w:r>
          </w:p>
        </w:tc>
        <w:tc>
          <w:tcPr>
            <w:tcW w:w="2700" w:type="dxa"/>
          </w:tcPr>
          <w:p>
            <w:pPr>
              <w:pStyle w:val="Compact"/>
              <w:jc w:val="left"/>
            </w:pPr>
            <w:r>
              <w:rPr>
                <w:sz w:val="18"/>
              </w:rPr>
              <w:t xml:space="preserve">Act 68 requires standardized accountability metrics. GMCB quality programs (readmissions, HACs) will be embedded.</w:t>
            </w:r>
          </w:p>
        </w:tc>
      </w:tr>
      <w:tr>
        <w:trPr>
          <w:cantSplit/>
        </w:trPr>
        <w:tc>
          <w:tcPr>
            <w:tcW w:w="1260" w:type="dxa"/>
          </w:tcPr>
          <w:p>
            <w:pPr>
              <w:pStyle w:val="Compact"/>
              <w:jc w:val="left"/>
            </w:pPr>
            <w:r>
              <w:rPr>
                <w:sz w:val="18"/>
              </w:rPr>
              <w:t xml:space="preserve">Flexibility mechanisms</w:t>
            </w:r>
          </w:p>
        </w:tc>
        <w:tc>
          <w:tcPr>
            <w:tcW w:w="2340" w:type="dxa"/>
          </w:tcPr>
          <w:p>
            <w:pPr>
              <w:pStyle w:val="Compact"/>
              <w:jc w:val="left"/>
            </w:pPr>
            <w:r>
              <w:rPr>
                <w:sz w:val="18"/>
              </w:rPr>
              <w:t xml:space="preserve">Provisions for mid-year adjustments, carryover of savings, risk corridors?</w:t>
            </w:r>
          </w:p>
        </w:tc>
        <w:tc>
          <w:tcPr>
            <w:tcW w:w="2790" w:type="dxa"/>
          </w:tcPr>
          <w:p>
            <w:pPr>
              <w:pStyle w:val="Compact"/>
              <w:jc w:val="left"/>
            </w:pPr>
            <w:r>
              <w:rPr>
                <w:sz w:val="18"/>
              </w:rPr>
              <w:t xml:space="preserve">More flexibility = lower hospital risk, easier adoption. Less flexibility = stronger cost-control signal.</w:t>
            </w:r>
          </w:p>
        </w:tc>
        <w:tc>
          <w:tcPr>
            <w:tcW w:w="2700"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Figure 6.5 — Five dimensions of global budget design with Vermont’s current direction. Source: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560"/>
        <w:gridCol w:w="1185"/>
        <w:gridCol w:w="2835"/>
        <w:gridCol w:w="3495"/>
      </w:tblGrid>
      <w:tr>
        <w:trPr>
          <w:tblHeader w:val="on"/>
          <w:cantSplit/>
        </w:trPr>
        <w:tc>
          <w:tcPr>
            <w:shd w:val="clear" w:color="auto" w:fill="1B3A6B"/>
            <w:tcW w:w="1560" w:type="dxa"/>
          </w:tcPr>
          <w:p>
            <w:pPr>
              <w:pStyle w:val="Compact"/>
              <w:jc w:val="left"/>
            </w:pPr>
            <w:r>
              <w:rPr>
                <w:b/>
                <w:color w:val="FFFFFF"/>
                <w:sz w:val="18"/>
              </w:rPr>
              <w:t xml:space="preserve">Approach</w:t>
            </w:r>
          </w:p>
        </w:tc>
        <w:tc>
          <w:tcPr>
            <w:shd w:val="clear" w:color="auto" w:fill="1B3A6B"/>
            <w:tcW w:w="1185" w:type="dxa"/>
          </w:tcPr>
          <w:p>
            <w:pPr>
              <w:pStyle w:val="Compact"/>
              <w:jc w:val="left"/>
            </w:pPr>
            <w:r>
              <w:rPr>
                <w:b/>
                <w:color w:val="FFFFFF"/>
                <w:sz w:val="18"/>
              </w:rPr>
              <w:t xml:space="preserve">Year(s)</w:t>
            </w:r>
          </w:p>
        </w:tc>
        <w:tc>
          <w:tcPr>
            <w:shd w:val="clear" w:color="auto" w:fill="1B3A6B"/>
            <w:tcW w:w="2835" w:type="dxa"/>
          </w:tcPr>
          <w:p>
            <w:pPr>
              <w:pStyle w:val="Compact"/>
              <w:jc w:val="left"/>
            </w:pPr>
            <w:r>
              <w:rPr>
                <w:b/>
                <w:color w:val="FFFFFF"/>
                <w:sz w:val="18"/>
              </w:rPr>
              <w:t xml:space="preserve">Structure</w:t>
            </w:r>
          </w:p>
        </w:tc>
        <w:tc>
          <w:tcPr>
            <w:shd w:val="clear" w:color="auto" w:fill="1B3A6B"/>
            <w:tcW w:w="3495" w:type="dxa"/>
          </w:tcPr>
          <w:p>
            <w:pPr>
              <w:pStyle w:val="Compact"/>
              <w:jc w:val="left"/>
            </w:pPr>
            <w:r>
              <w:rPr>
                <w:b/>
                <w:color w:val="FFFFFF"/>
                <w:sz w:val="18"/>
              </w:rPr>
              <w:t xml:space="preserve">Outcome and lesson</w:t>
            </w:r>
          </w:p>
        </w:tc>
      </w:tr>
      <w:tr>
        <w:trPr>
          <w:cantSplit/>
        </w:trPr>
        <w:tc>
          <w:tcPr>
            <w:tcW w:w="1560" w:type="dxa"/>
          </w:tcPr>
          <w:p>
            <w:pPr>
              <w:pStyle w:val="Compact"/>
              <w:jc w:val="left"/>
            </w:pPr>
            <w:r>
              <w:rPr>
                <w:sz w:val="18"/>
              </w:rPr>
              <w:t xml:space="preserve">GMCB Net Patient Revenue Cap</w:t>
            </w:r>
          </w:p>
        </w:tc>
        <w:tc>
          <w:tcPr>
            <w:tcW w:w="1185" w:type="dxa"/>
          </w:tcPr>
          <w:p>
            <w:pPr>
              <w:pStyle w:val="Compact"/>
              <w:jc w:val="left"/>
            </w:pPr>
            <w:r>
              <w:rPr>
                <w:sz w:val="18"/>
              </w:rPr>
              <w:t xml:space="preserve">2012–present</w:t>
            </w:r>
          </w:p>
        </w:tc>
        <w:tc>
          <w:tcPr>
            <w:tcW w:w="2835" w:type="dxa"/>
          </w:tcPr>
          <w:p>
            <w:pPr>
              <w:pStyle w:val="Compact"/>
              <w:jc w:val="left"/>
            </w:pPr>
            <w:r>
              <w:rPr>
                <w:sz w:val="18"/>
              </w:rPr>
              <w:t xml:space="preserve">Regulatory cap on net patient revenue each hospital may receive</w:t>
            </w:r>
          </w:p>
        </w:tc>
        <w:tc>
          <w:tcPr>
            <w:tcW w:w="3495"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560" w:type="dxa"/>
          </w:tcPr>
          <w:p>
            <w:pPr>
              <w:pStyle w:val="Compact"/>
              <w:jc w:val="left"/>
            </w:pPr>
            <w:r>
              <w:rPr>
                <w:sz w:val="18"/>
              </w:rPr>
              <w:t xml:space="preserve">Rutland Regional Medical Center Pilot</w:t>
            </w:r>
          </w:p>
        </w:tc>
        <w:tc>
          <w:tcPr>
            <w:tcW w:w="1185" w:type="dxa"/>
          </w:tcPr>
          <w:p>
            <w:pPr>
              <w:pStyle w:val="Compact"/>
              <w:jc w:val="left"/>
            </w:pPr>
            <w:r>
              <w:rPr>
                <w:sz w:val="18"/>
              </w:rPr>
              <w:t xml:space="preserve">2014 (proposed)</w:t>
            </w:r>
          </w:p>
        </w:tc>
        <w:tc>
          <w:tcPr>
            <w:tcW w:w="2835" w:type="dxa"/>
          </w:tcPr>
          <w:p>
            <w:pPr>
              <w:pStyle w:val="Compact"/>
              <w:jc w:val="left"/>
            </w:pPr>
            <w:r>
              <w:rPr>
                <w:sz w:val="18"/>
              </w:rPr>
              <w:t xml:space="preserve">Hospital payments based on historical revenue plus inflation, adjusted for demographics</w:t>
            </w:r>
          </w:p>
        </w:tc>
        <w:tc>
          <w:tcPr>
            <w:tcW w:w="3495"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560" w:type="dxa"/>
          </w:tcPr>
          <w:p>
            <w:pPr>
              <w:pStyle w:val="Compact"/>
              <w:jc w:val="left"/>
            </w:pPr>
            <w:r>
              <w:rPr>
                <w:sz w:val="18"/>
              </w:rPr>
              <w:t xml:space="preserve">Vermont All-Payer ACO Model</w:t>
            </w:r>
          </w:p>
        </w:tc>
        <w:tc>
          <w:tcPr>
            <w:tcW w:w="1185" w:type="dxa"/>
          </w:tcPr>
          <w:p>
            <w:pPr>
              <w:pStyle w:val="Compact"/>
              <w:jc w:val="left"/>
            </w:pPr>
            <w:r>
              <w:rPr>
                <w:sz w:val="18"/>
              </w:rPr>
              <w:t xml:space="preserve">2017–2025</w:t>
            </w:r>
          </w:p>
        </w:tc>
        <w:tc>
          <w:tcPr>
            <w:tcW w:w="2835"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495"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560" w:type="dxa"/>
          </w:tcPr>
          <w:p>
            <w:pPr>
              <w:pStyle w:val="Compact"/>
              <w:jc w:val="left"/>
            </w:pPr>
            <w:r>
              <w:rPr>
                <w:sz w:val="18"/>
              </w:rPr>
              <w:t xml:space="preserve">Act 167 / Act 68 Mandate</w:t>
            </w:r>
          </w:p>
        </w:tc>
        <w:tc>
          <w:tcPr>
            <w:tcW w:w="1185" w:type="dxa"/>
          </w:tcPr>
          <w:p>
            <w:pPr>
              <w:pStyle w:val="Compact"/>
              <w:jc w:val="left"/>
            </w:pPr>
            <w:r>
              <w:rPr>
                <w:sz w:val="18"/>
              </w:rPr>
              <w:t xml:space="preserve">2022–present</w:t>
            </w:r>
          </w:p>
        </w:tc>
        <w:tc>
          <w:tcPr>
            <w:tcW w:w="2835" w:type="dxa"/>
          </w:tcPr>
          <w:p>
            <w:pPr>
              <w:pStyle w:val="Compact"/>
              <w:jc w:val="left"/>
            </w:pPr>
            <w:r>
              <w:rPr>
                <w:sz w:val="18"/>
              </w:rPr>
              <w:t xml:space="preserve">GMCB directed to design and implement mandatory global budgets: non-CAH hospitals by FY2028, all hospitals by FY2030</w:t>
            </w:r>
          </w:p>
        </w:tc>
        <w:tc>
          <w:tcPr>
            <w:tcW w:w="3495"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Figure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Figure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91" w:name="_Toc1190"/>
      <w:r>
        <w:rPr>
          <w:b/>
          <w:bCs/>
          <w:color w:val="161B22"/>
        </w:rPr>
        <w:t xml:space="preserve">The AHEAD Model — Medicare’s Entry into Vermont’s Reform</w:t>
      </w:r>
      <w:bookmarkEnd w:id="119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2" w:name="_Toc1191"/>
      <w:r>
        <w:rPr>
          <w:b/>
          <w:bCs/>
          <w:color w:val="161B22"/>
        </w:rPr>
        <w:t xml:space="preserve">What AHEAD Actually Is</w:t>
      </w:r>
      <w:bookmarkEnd w:id="1192"/>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3" w:name="_Toc1192"/>
      <w:r>
        <w:rPr>
          <w:b/>
          <w:bCs/>
          <w:color w:val="161B22"/>
        </w:rPr>
        <w:t xml:space="preserve">The AHEAD-Act 68 Integration: Why Both Are Required</w:t>
      </w:r>
      <w:bookmarkEnd w:id="1193"/>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4" w:name="_Toc1193"/>
      <w:r>
        <w:rPr>
          <w:b/>
          <w:bCs/>
          <w:color w:val="161B22"/>
        </w:rPr>
        <w:t xml:space="preserve">Hospital Financial Modeling — Reading the Numbers That Matter</w:t>
      </w:r>
      <w:bookmarkEnd w:id="1194"/>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5" w:name="_Toc1194"/>
      <w:r>
        <w:rPr>
          <w:b/>
          <w:bCs/>
          <w:color w:val="161B22"/>
        </w:rPr>
        <w:t xml:space="preserve">The Oliver Wyman Projection Scenarios</w:t>
      </w:r>
      <w:bookmarkEnd w:id="1195"/>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1680"/>
        <w:gridCol w:w="7380"/>
      </w:tblGrid>
      <w:tr>
        <w:trPr>
          <w:tblHeader w:val="on"/>
          <w:cantSplit/>
        </w:trPr>
        <w:tc>
          <w:tcPr>
            <w:shd w:val="clear" w:color="auto" w:fill="1B3A6B"/>
            <w:tcW w:w="1680" w:type="dxa"/>
          </w:tcPr>
          <w:p>
            <w:pPr>
              <w:pStyle w:val="Compact"/>
              <w:jc w:val="left"/>
            </w:pPr>
            <w:r>
              <w:rPr>
                <w:b/>
                <w:color w:val="FFFFFF"/>
                <w:sz w:val="18"/>
              </w:rPr>
              <w:t xml:space="preserve">Scenario</w:t>
            </w:r>
          </w:p>
        </w:tc>
        <w:tc>
          <w:tcPr>
            <w:shd w:val="clear" w:color="auto" w:fill="1B3A6B"/>
            <w:tcW w:w="7380" w:type="dxa"/>
          </w:tcPr>
          <w:p>
            <w:pPr>
              <w:pStyle w:val="Compact"/>
              <w:jc w:val="left"/>
            </w:pPr>
            <w:r>
              <w:rPr>
                <w:b/>
                <w:color w:val="FFFFFF"/>
                <w:sz w:val="18"/>
              </w:rPr>
              <w:t xml:space="preserve">Assumptions and 5-year system deficit</w:t>
            </w:r>
          </w:p>
        </w:tc>
      </w:tr>
      <w:tr>
        <w:trPr/>
        <w:tc>
          <w:tcPr>
            <w:tcW w:w="1680" w:type="dxa"/>
          </w:tcPr>
          <w:p>
            <w:pPr>
              <w:pStyle w:val="Compact"/>
              <w:jc w:val="left"/>
            </w:pPr>
            <w:r>
              <w:rPr>
                <w:sz w:val="18"/>
              </w:rPr>
              <w:t xml:space="preserve">Conservative: 3.5% revenue / 5% expense growth</w:t>
            </w:r>
          </w:p>
        </w:tc>
        <w:tc>
          <w:tcPr>
            <w:tcW w:w="7380"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1680" w:type="dxa"/>
          </w:tcPr>
          <w:p>
            <w:pPr>
              <w:pStyle w:val="Compact"/>
              <w:jc w:val="left"/>
            </w:pPr>
            <w:r>
              <w:rPr>
                <w:sz w:val="18"/>
              </w:rPr>
              <w:t xml:space="preserve">Realistic: 3.5% revenue / 7-8% expense growth</w:t>
            </w:r>
          </w:p>
        </w:tc>
        <w:tc>
          <w:tcPr>
            <w:tcW w:w="7380"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6" w:name="_Toc1195"/>
      <w:r>
        <w:rPr>
          <w:b/>
          <w:bCs/>
          <w:color w:val="161B22"/>
        </w:rPr>
        <w:t xml:space="preserve">Reading the Metrics That Actually Matter Under Global Budgets</w:t>
      </w:r>
      <w:bookmarkEnd w:id="1196"/>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2805"/>
        <w:gridCol w:w="6270"/>
      </w:tblGrid>
      <w:tr>
        <w:trPr>
          <w:tblHeader w:val="on"/>
          <w:cantSplit/>
        </w:trPr>
        <w:tc>
          <w:tcPr>
            <w:shd w:val="clear" w:color="auto" w:fill="1B3A6B"/>
            <w:tcW w:w="2805" w:type="dxa"/>
          </w:tcPr>
          <w:p>
            <w:pPr>
              <w:pStyle w:val="Compact"/>
              <w:jc w:val="left"/>
            </w:pPr>
            <w:r>
              <w:rPr>
                <w:b/>
                <w:color w:val="FFFFFF"/>
                <w:sz w:val="18"/>
              </w:rPr>
              <w:t xml:space="preserve">In a fee-for-service environment, watch:</w:t>
            </w:r>
          </w:p>
        </w:tc>
        <w:tc>
          <w:tcPr>
            <w:shd w:val="clear" w:color="auto" w:fill="1B3A6B"/>
            <w:tcW w:w="6270" w:type="dxa"/>
          </w:tcPr>
          <w:p>
            <w:pPr>
              <w:pStyle w:val="Compact"/>
              <w:jc w:val="left"/>
            </w:pPr>
            <w:r>
              <w:rPr>
                <w:b/>
                <w:color w:val="FFFFFF"/>
                <w:sz w:val="18"/>
              </w:rPr>
              <w:t xml:space="preserve">In a global budget environment, watch:</w:t>
            </w:r>
          </w:p>
        </w:tc>
      </w:tr>
      <w:tr>
        <w:trPr>
          <w:cantSplit/>
        </w:trPr>
        <w:tc>
          <w:tcPr>
            <w:tcW w:w="2805" w:type="dxa"/>
          </w:tcPr>
          <w:p>
            <w:pPr>
              <w:pStyle w:val="Compact"/>
              <w:jc w:val="left"/>
            </w:pPr>
            <w:r>
              <w:rPr>
                <w:sz w:val="18"/>
              </w:rPr>
              <w:t xml:space="preserve">Net patient revenue growth</w:t>
            </w:r>
          </w:p>
        </w:tc>
        <w:tc>
          <w:tcPr>
            <w:tcW w:w="6270" w:type="dxa"/>
          </w:tcPr>
          <w:p>
            <w:pPr>
              <w:pStyle w:val="Compact"/>
              <w:jc w:val="left"/>
            </w:pPr>
            <w:r>
              <w:rPr>
                <w:sz w:val="18"/>
              </w:rPr>
              <w:t xml:space="preserve">Per-member-per-month cost trend vs. global budget cap</w:t>
            </w:r>
          </w:p>
        </w:tc>
      </w:tr>
      <w:tr>
        <w:trPr/>
        <w:tc>
          <w:tcPr>
            <w:tcW w:w="2805" w:type="dxa"/>
          </w:tcPr>
          <w:p>
            <w:pPr>
              <w:pStyle w:val="Compact"/>
              <w:jc w:val="left"/>
            </w:pPr>
            <w:r>
              <w:rPr>
                <w:sz w:val="18"/>
              </w:rPr>
              <w:t xml:space="preserve">Volume growth (admissions, procedures, visits)</w:t>
            </w:r>
          </w:p>
        </w:tc>
        <w:tc>
          <w:tcPr>
            <w:tcW w:w="6270" w:type="dxa"/>
          </w:tcPr>
          <w:p>
            <w:pPr>
              <w:pStyle w:val="Compact"/>
              <w:jc w:val="left"/>
            </w:pPr>
            <w:r>
              <w:rPr>
                <w:sz w:val="18"/>
              </w:rPr>
              <w:t xml:space="preserve">Potentially avoidable utilization rate — every avoidable admission is a cost, not revenue</w:t>
            </w:r>
          </w:p>
        </w:tc>
      </w:tr>
      <w:tr>
        <w:trPr/>
        <w:tc>
          <w:tcPr>
            <w:tcW w:w="2805" w:type="dxa"/>
          </w:tcPr>
          <w:p>
            <w:pPr>
              <w:pStyle w:val="Compact"/>
              <w:jc w:val="left"/>
            </w:pPr>
            <w:r>
              <w:rPr>
                <w:sz w:val="18"/>
              </w:rPr>
              <w:t xml:space="preserve">Case mix index — higher acuity = more revenue</w:t>
            </w:r>
          </w:p>
        </w:tc>
        <w:tc>
          <w:tcPr>
            <w:tcW w:w="6270" w:type="dxa"/>
          </w:tcPr>
          <w:p>
            <w:pPr>
              <w:pStyle w:val="Compact"/>
              <w:jc w:val="left"/>
            </w:pPr>
            <w:r>
              <w:rPr>
                <w:sz w:val="18"/>
              </w:rPr>
              <w:t xml:space="preserve">Population health outcomes — better outcomes reduce costs</w:t>
            </w:r>
          </w:p>
        </w:tc>
      </w:tr>
      <w:tr>
        <w:trPr/>
        <w:tc>
          <w:tcPr>
            <w:tcW w:w="2805" w:type="dxa"/>
          </w:tcPr>
          <w:p>
            <w:pPr>
              <w:pStyle w:val="Compact"/>
              <w:jc w:val="left"/>
            </w:pPr>
            <w:r>
              <w:rPr>
                <w:sz w:val="18"/>
              </w:rPr>
              <w:t xml:space="preserve">Market share — capturing more patients = more revenue</w:t>
            </w:r>
          </w:p>
        </w:tc>
        <w:tc>
          <w:tcPr>
            <w:tcW w:w="6270" w:type="dxa"/>
          </w:tcPr>
          <w:p>
            <w:pPr>
              <w:pStyle w:val="Compact"/>
              <w:jc w:val="left"/>
            </w:pPr>
            <w:r>
              <w:rPr>
                <w:sz w:val="18"/>
              </w:rPr>
              <w:t xml:space="preserve">ED diversion rate — keeping patients out of the ED saves money</w:t>
            </w:r>
          </w:p>
        </w:tc>
      </w:tr>
      <w:tr>
        <w:trPr/>
        <w:tc>
          <w:tcPr>
            <w:tcW w:w="2805" w:type="dxa"/>
          </w:tcPr>
          <w:p>
            <w:pPr>
              <w:pStyle w:val="Compact"/>
              <w:jc w:val="left"/>
            </w:pPr>
            <w:r>
              <w:rPr>
                <w:sz w:val="18"/>
              </w:rPr>
              <w:t xml:space="preserve">Payer mix — more commercial = better margins</w:t>
            </w:r>
          </w:p>
        </w:tc>
        <w:tc>
          <w:tcPr>
            <w:tcW w:w="6270" w:type="dxa"/>
          </w:tcPr>
          <w:p>
            <w:pPr>
              <w:pStyle w:val="Compact"/>
              <w:jc w:val="left"/>
            </w:pPr>
            <w:r>
              <w:rPr>
                <w:sz w:val="18"/>
              </w:rPr>
              <w:t xml:space="preserve">Readmission rate — every readmission is a cost without additional revenue</w:t>
            </w:r>
          </w:p>
        </w:tc>
      </w:tr>
      <w:tr>
        <w:trPr/>
        <w:tc>
          <w:tcPr>
            <w:tcW w:w="2805" w:type="dxa"/>
          </w:tcPr>
          <w:p>
            <w:pPr>
              <w:pStyle w:val="Compact"/>
              <w:jc w:val="left"/>
            </w:pPr>
            <w:r>
              <w:rPr>
                <w:sz w:val="18"/>
              </w:rPr>
              <w:t xml:space="preserve">Discharge volume</w:t>
            </w:r>
          </w:p>
        </w:tc>
        <w:tc>
          <w:tcPr>
            <w:tcW w:w="6270" w:type="dxa"/>
          </w:tcPr>
          <w:p>
            <w:pPr>
              <w:pStyle w:val="Compact"/>
              <w:jc w:val="left"/>
            </w:pPr>
            <w:r>
              <w:rPr>
                <w:sz w:val="18"/>
              </w:rPr>
              <w:t xml:space="preserve">Days to discharge — length of stay is a cost driver, not a revenue driver</w:t>
            </w:r>
          </w:p>
        </w:tc>
      </w:tr>
      <w:tr>
        <w:trPr/>
        <w:tc>
          <w:tcPr>
            <w:tcW w:w="2805" w:type="dxa"/>
          </w:tcPr>
          <w:p>
            <w:pPr>
              <w:pStyle w:val="Compact"/>
              <w:jc w:val="left"/>
            </w:pPr>
            <w:r>
              <w:rPr>
                <w:sz w:val="18"/>
              </w:rPr>
              <w:t xml:space="preserve">Revenue cycle efficiency — maximize what each claim pays</w:t>
            </w:r>
          </w:p>
        </w:tc>
        <w:tc>
          <w:tcPr>
            <w:tcW w:w="6270" w:type="dxa"/>
          </w:tcPr>
          <w:p>
            <w:pPr>
              <w:pStyle w:val="Compact"/>
              <w:jc w:val="left"/>
            </w:pPr>
            <w:r>
              <w:rPr>
                <w:sz w:val="18"/>
              </w:rPr>
              <w:t xml:space="preserve">Total cost of care per attributed member — efficiency across the whole continuum</w:t>
            </w:r>
          </w:p>
        </w:tc>
      </w:tr>
      <w:tr>
        <w:trPr>
          <w:cantSplit/>
        </w:trPr>
        <w:tc>
          <w:tcPr>
            <w:tcW w:w="2805" w:type="dxa"/>
          </w:tcPr>
          <w:p>
            <w:pPr>
              <w:pStyle w:val="Compact"/>
              <w:jc w:val="left"/>
            </w:pPr>
            <w:r>
              <w:rPr>
                <w:sz w:val="18"/>
              </w:rPr>
              <w:t xml:space="preserve">Operating margin per inpatient day</w:t>
            </w:r>
          </w:p>
        </w:tc>
        <w:tc>
          <w:tcPr>
            <w:tcW w:w="6270"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7" w:name="_Toc1196"/>
      <w:r>
        <w:rPr>
          <w:b/>
          <w:bCs/>
          <w:color w:val="161B22"/>
        </w:rPr>
        <w:t xml:space="preserve">The Savings Roadmap: Where Vermont’s $400M+ Can Come From</w:t>
      </w:r>
      <w:bookmarkEnd w:id="1197"/>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8" w:name="_Toc1197"/>
      <w:r>
        <w:rPr>
          <w:b/>
          <w:bCs/>
          <w:color w:val="161B22"/>
        </w:rPr>
        <w:t xml:space="preserve">APM Transition Strategy for Vermont Healthcare Organizations</w:t>
      </w:r>
      <w:bookmarkEnd w:id="1198"/>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9" w:name="_Toc1198"/>
      <w:r>
        <w:rPr>
          <w:b/>
          <w:bCs/>
          <w:color w:val="161B22"/>
        </w:rPr>
        <w:t xml:space="preserve">The Three-Phase Transition Model</w:t>
      </w:r>
      <w:bookmarkEnd w:id="1199"/>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75"/>
        <w:gridCol w:w="930"/>
        <w:gridCol w:w="2445"/>
        <w:gridCol w:w="5040"/>
      </w:tblGrid>
      <w:tr>
        <w:trPr>
          <w:tblHeader w:val="on"/>
          <w:cantSplit/>
        </w:trPr>
        <w:tc>
          <w:tcPr>
            <w:shd w:val="clear" w:color="auto" w:fill="1B3A6B"/>
            <w:tcW w:w="675" w:type="dxa"/>
          </w:tcPr>
          <w:p>
            <w:pPr>
              <w:pStyle w:val="Compact"/>
              <w:jc w:val="left"/>
            </w:pPr>
            <w:r>
              <w:rPr>
                <w:b/>
                <w:color w:val="FFFFFF"/>
                <w:sz w:val="18"/>
              </w:rPr>
              <w:t xml:space="preserve">Phase</w:t>
            </w:r>
          </w:p>
        </w:tc>
        <w:tc>
          <w:tcPr>
            <w:shd w:val="clear" w:color="auto" w:fill="1B3A6B"/>
            <w:tcW w:w="930"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Payment environment</w:t>
            </w:r>
          </w:p>
        </w:tc>
        <w:tc>
          <w:tcPr>
            <w:shd w:val="clear" w:color="auto" w:fill="1B3A6B"/>
            <w:tcW w:w="5040" w:type="dxa"/>
          </w:tcPr>
          <w:p>
            <w:pPr>
              <w:pStyle w:val="Compact"/>
              <w:jc w:val="left"/>
            </w:pPr>
            <w:r>
              <w:rPr>
                <w:b/>
                <w:color w:val="FFFFFF"/>
                <w:sz w:val="18"/>
              </w:rPr>
              <w:t xml:space="preserve">Strategic priorities</w:t>
            </w:r>
          </w:p>
        </w:tc>
      </w:tr>
      <w:tr>
        <w:trPr>
          <w:cantSplit/>
        </w:trPr>
        <w:tc>
          <w:tcPr>
            <w:tcW w:w="675" w:type="dxa"/>
          </w:tcPr>
          <w:p>
            <w:pPr>
              <w:pStyle w:val="Compact"/>
              <w:jc w:val="left"/>
            </w:pPr>
            <w:r>
              <w:rPr>
                <w:sz w:val="18"/>
              </w:rPr>
              <w:t xml:space="preserve">Preparation</w:t>
            </w:r>
          </w:p>
        </w:tc>
        <w:tc>
          <w:tcPr>
            <w:tcW w:w="930" w:type="dxa"/>
          </w:tcPr>
          <w:p>
            <w:pPr>
              <w:pStyle w:val="Compact"/>
              <w:jc w:val="left"/>
            </w:pPr>
            <w:r>
              <w:rPr>
                <w:sz w:val="18"/>
              </w:rPr>
              <w:t xml:space="preserve">Now through FY2026</w:t>
            </w:r>
          </w:p>
        </w:tc>
        <w:tc>
          <w:tcPr>
            <w:tcW w:w="2445" w:type="dxa"/>
          </w:tcPr>
          <w:p>
            <w:pPr>
              <w:pStyle w:val="Compact"/>
              <w:jc w:val="left"/>
            </w:pPr>
            <w:r>
              <w:rPr>
                <w:sz w:val="18"/>
              </w:rPr>
              <w:t xml:space="preserve">FFS with increasing budget pressure; -1% commercial rate benchmark; Act 55 drug cap in effect</w:t>
            </w:r>
          </w:p>
        </w:tc>
        <w:tc>
          <w:tcPr>
            <w:tcW w:w="5040"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75" w:type="dxa"/>
          </w:tcPr>
          <w:p>
            <w:pPr>
              <w:pStyle w:val="Compact"/>
              <w:jc w:val="left"/>
            </w:pPr>
            <w:r>
              <w:rPr>
                <w:sz w:val="18"/>
              </w:rPr>
              <w:t xml:space="preserve">Transition</w:t>
            </w:r>
          </w:p>
        </w:tc>
        <w:tc>
          <w:tcPr>
            <w:tcW w:w="930" w:type="dxa"/>
          </w:tcPr>
          <w:p>
            <w:pPr>
              <w:pStyle w:val="Compact"/>
              <w:jc w:val="left"/>
            </w:pPr>
            <w:r>
              <w:rPr>
                <w:sz w:val="18"/>
              </w:rPr>
              <w:t xml:space="preserve">FY2027</w:t>
            </w:r>
          </w:p>
        </w:tc>
        <w:tc>
          <w:tcPr>
            <w:tcW w:w="2445" w:type="dxa"/>
          </w:tcPr>
          <w:p>
            <w:pPr>
              <w:pStyle w:val="Compact"/>
              <w:jc w:val="left"/>
            </w:pPr>
            <w:r>
              <w:rPr>
                <w:sz w:val="18"/>
              </w:rPr>
              <w:t xml:space="preserve">RBP maximum rates in effect for commercial payers; AHEAD Hospital Global Budgets begin January 2028 for Medicare FFS</w:t>
            </w:r>
          </w:p>
        </w:tc>
        <w:tc>
          <w:tcPr>
            <w:tcW w:w="5040"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75" w:type="dxa"/>
          </w:tcPr>
          <w:p>
            <w:pPr>
              <w:pStyle w:val="Compact"/>
              <w:jc w:val="left"/>
            </w:pPr>
            <w:r>
              <w:rPr>
                <w:sz w:val="18"/>
              </w:rPr>
              <w:t xml:space="preserve">Operation</w:t>
            </w:r>
          </w:p>
        </w:tc>
        <w:tc>
          <w:tcPr>
            <w:tcW w:w="930" w:type="dxa"/>
          </w:tcPr>
          <w:p>
            <w:pPr>
              <w:pStyle w:val="Compact"/>
              <w:jc w:val="left"/>
            </w:pPr>
            <w:r>
              <w:rPr>
                <w:sz w:val="18"/>
              </w:rPr>
              <w:t xml:space="preserve">FY2028 and beyond</w:t>
            </w:r>
          </w:p>
        </w:tc>
        <w:tc>
          <w:tcPr>
            <w:tcW w:w="2445" w:type="dxa"/>
          </w:tcPr>
          <w:p>
            <w:pPr>
              <w:pStyle w:val="Compact"/>
              <w:jc w:val="left"/>
            </w:pPr>
            <w:r>
              <w:rPr>
                <w:sz w:val="18"/>
              </w:rPr>
              <w:t xml:space="preserve">Global hospital budgets for non-CAH hospitals; AHEAD in full operation; Statewide Strategic Plan delivered December 2028</w:t>
            </w:r>
          </w:p>
        </w:tc>
        <w:tc>
          <w:tcPr>
            <w:tcW w:w="5040"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200" w:name="_Toc1199"/>
      <w:r>
        <w:rPr>
          <w:b/>
          <w:bCs/>
          <w:color w:val="161B22"/>
        </w:rPr>
        <w:t xml:space="preserve">The VBC Readiness Assessment in a Global Budget Context</w:t>
      </w:r>
      <w:bookmarkEnd w:id="1200"/>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201" w:name="_Toc1200"/>
      <w:r>
        <w:rPr>
          <w:b/>
          <w:bCs/>
          <w:color w:val="161B22"/>
        </w:rPr>
        <w:t xml:space="preserve">Work This Chapter on the Platform</w:t>
      </w:r>
      <w:bookmarkEnd w:id="1201"/>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202" w:name="_Toc1201"/>
      <w:r>
        <w:rPr>
          <w:b/>
          <w:bCs/>
          <w:color w:val="161B22"/>
        </w:rPr>
        <w:t xml:space="preserve">Implications for You</w:t>
      </w:r>
      <w:bookmarkEnd w:id="1202"/>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3" w:name="_Toc1202"/>
      <w:r>
        <w:rPr>
          <w:b/>
          <w:bCs/>
          <w:color w:val="161B22"/>
        </w:rPr>
        <w:t xml:space="preserve">Key Concepts in This Chapter</w:t>
      </w:r>
      <w:bookmarkEnd w:id="1203"/>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4" w:name="_Toc1203"/>
      <w:r>
        <w:rPr>
          <w:b/>
          <w:bCs/>
          <w:color w:val="161B22"/>
        </w:rPr>
        <w:t xml:space="preserve">Chapter 7: The Economics Pillar in Practice — VBC Financial Modeling and APM Readiness</w:t>
      </w:r>
      <w:bookmarkEnd w:id="12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5" w:name="_Toc1204"/>
      <w:r>
        <w:rPr>
          <w:b/>
          <w:bCs/>
          <w:color w:val="161B22"/>
        </w:rPr>
        <w:t xml:space="preserve">From Payment Architecture to Financial Practice</w:t>
      </w:r>
      <w:bookmarkEnd w:id="1205"/>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6" w:name="_Toc1205"/>
      <w:r>
        <w:rPr>
          <w:b/>
          <w:bCs/>
          <w:color w:val="161B22"/>
        </w:rPr>
        <w:t xml:space="preserve">The APM Financial Modeling Framework</w:t>
      </w:r>
      <w:bookmarkEnd w:id="1206"/>
    </w:p>
    <w:p>
      <w:pPr>
        <w:pStyle w:val="Heading3"/>
      </w:pPr>
      <w:r>
        <w:rPr>
          <w:color w:val="161B22"/>
        </w:rPr>
        <w:t xml:space="preserve">7.2.1  </w:t>
      </w:r>
      <w:bookmarkStart w:id="1207" w:name="_Toc1206"/>
      <w:r>
        <w:rPr>
          <w:b/>
          <w:bCs/>
          <w:color w:val="161B22"/>
        </w:rPr>
        <w:t xml:space="preserve">Understanding Benchmarks — The Foundation of VBC Economics</w:t>
      </w:r>
      <w:bookmarkEnd w:id="1207"/>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8" w:name="_Toc1207"/>
      <w:r>
        <w:rPr>
          <w:b/>
          <w:bCs/>
          <w:color w:val="161B22"/>
        </w:rPr>
        <w:t xml:space="preserve">Historical Spending Baseline</w:t>
      </w:r>
      <w:bookmarkEnd w:id="1208"/>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9" w:name="_Toc1208"/>
      <w:r>
        <w:rPr>
          <w:b/>
          <w:bCs/>
          <w:color w:val="161B22"/>
        </w:rPr>
        <w:t xml:space="preserve">Regional Benchmark</w:t>
      </w:r>
      <w:bookmarkEnd w:id="1209"/>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10" w:name="_Toc1209"/>
      <w:r>
        <w:rPr>
          <w:b/>
          <w:bCs/>
          <w:color w:val="161B22"/>
        </w:rPr>
        <w:t xml:space="preserve">Prospective Benchmark</w:t>
      </w:r>
      <w:bookmarkEnd w:id="1210"/>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11" w:name="_Toc1210"/>
      <w:r>
        <w:rPr>
          <w:b/>
          <w:bCs/>
          <w:color w:val="161B22"/>
        </w:rPr>
        <w:t xml:space="preserve">The Shared Savings Calculation — A Working Model</w:t>
      </w:r>
      <w:bookmarkEnd w:id="1211"/>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425"/>
        <w:gridCol w:w="2085"/>
        <w:gridCol w:w="2625"/>
        <w:gridCol w:w="2955"/>
      </w:tblGrid>
      <w:tr>
        <w:trPr>
          <w:tblHeader w:val="on"/>
          <w:cantSplit/>
        </w:trPr>
        <w:tc>
          <w:tcPr>
            <w:shd w:val="clear" w:color="auto" w:fill="1B3A6B"/>
            <w:tcW w:w="1425" w:type="dxa"/>
          </w:tcPr>
          <w:p>
            <w:pPr>
              <w:pStyle w:val="Compact"/>
              <w:jc w:val="left"/>
            </w:pPr>
            <w:r>
              <w:rPr>
                <w:b/>
                <w:color w:val="FFFFFF"/>
                <w:sz w:val="18"/>
              </w:rPr>
              <w:t xml:space="preserve">Step</w:t>
            </w:r>
          </w:p>
        </w:tc>
        <w:tc>
          <w:tcPr>
            <w:shd w:val="clear" w:color="auto" w:fill="1B3A6B"/>
            <w:tcW w:w="2085" w:type="dxa"/>
          </w:tcPr>
          <w:p>
            <w:pPr>
              <w:pStyle w:val="Compact"/>
              <w:jc w:val="left"/>
            </w:pPr>
            <w:r>
              <w:rPr>
                <w:b/>
                <w:color w:val="FFFFFF"/>
                <w:sz w:val="18"/>
              </w:rPr>
              <w:t xml:space="preserve">Formula / concept</w:t>
            </w:r>
          </w:p>
        </w:tc>
        <w:tc>
          <w:tcPr>
            <w:shd w:val="clear" w:color="auto" w:fill="1B3A6B"/>
            <w:tcW w:w="2625" w:type="dxa"/>
          </w:tcPr>
          <w:p>
            <w:pPr>
              <w:pStyle w:val="Compact"/>
              <w:jc w:val="left"/>
            </w:pPr>
            <w:r>
              <w:rPr>
                <w:b/>
                <w:color w:val="FFFFFF"/>
                <w:sz w:val="18"/>
              </w:rPr>
              <w:t xml:space="preserve">Practical meaning</w:t>
            </w:r>
          </w:p>
        </w:tc>
        <w:tc>
          <w:tcPr>
            <w:shd w:val="clear" w:color="auto" w:fill="1B3A6B"/>
            <w:tcW w:w="2955" w:type="dxa"/>
          </w:tcPr>
          <w:p>
            <w:pPr>
              <w:pStyle w:val="Compact"/>
              <w:jc w:val="left"/>
            </w:pPr>
            <w:r>
              <w:rPr>
                <w:b/>
                <w:color w:val="FFFFFF"/>
                <w:sz w:val="18"/>
              </w:rPr>
              <w:t xml:space="preserve">Vermont application</w:t>
            </w:r>
          </w:p>
        </w:tc>
      </w:tr>
      <w:tr>
        <w:trPr>
          <w:cantSplit/>
        </w:trPr>
        <w:tc>
          <w:tcPr>
            <w:tcW w:w="1425" w:type="dxa"/>
          </w:tcPr>
          <w:p>
            <w:pPr>
              <w:pStyle w:val="Compact"/>
              <w:jc w:val="left"/>
            </w:pPr>
            <w:r>
              <w:rPr>
                <w:sz w:val="18"/>
              </w:rPr>
              <w:t xml:space="preserve">1. Benchmark setting</w:t>
            </w:r>
          </w:p>
        </w:tc>
        <w:tc>
          <w:tcPr>
            <w:tcW w:w="2085" w:type="dxa"/>
          </w:tcPr>
          <w:p>
            <w:pPr>
              <w:pStyle w:val="Compact"/>
              <w:jc w:val="left"/>
            </w:pPr>
            <w:r>
              <w:rPr>
                <w:sz w:val="18"/>
              </w:rPr>
              <w:t xml:space="preserve">Benchmark PMPM × attributed member months = Total benchmark spending</w:t>
            </w:r>
          </w:p>
        </w:tc>
        <w:tc>
          <w:tcPr>
            <w:tcW w:w="2625"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955"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425" w:type="dxa"/>
          </w:tcPr>
          <w:p>
            <w:pPr>
              <w:pStyle w:val="Compact"/>
              <w:jc w:val="left"/>
            </w:pPr>
            <w:r>
              <w:rPr>
                <w:sz w:val="18"/>
              </w:rPr>
              <w:t xml:space="preserve">2. Performance measurement</w:t>
            </w:r>
          </w:p>
        </w:tc>
        <w:tc>
          <w:tcPr>
            <w:tcW w:w="2085" w:type="dxa"/>
          </w:tcPr>
          <w:p>
            <w:pPr>
              <w:pStyle w:val="Compact"/>
              <w:jc w:val="left"/>
            </w:pPr>
            <w:r>
              <w:rPr>
                <w:sz w:val="18"/>
              </w:rPr>
              <w:t xml:space="preserve">Actual total cost of care for attributed population</w:t>
            </w:r>
          </w:p>
        </w:tc>
        <w:tc>
          <w:tcPr>
            <w:tcW w:w="2625"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955" w:type="dxa"/>
          </w:tcPr>
          <w:p>
            <w:pPr>
              <w:pStyle w:val="Compact"/>
              <w:jc w:val="left"/>
            </w:pPr>
            <w:r>
              <w:rPr>
                <w:sz w:val="18"/>
              </w:rPr>
              <w:t xml:space="preserve">AHEAD tracks total cost of care for Medicare FFS beneficiaries attributed to Vermont hospitals across all payer settings.</w:t>
            </w:r>
          </w:p>
        </w:tc>
      </w:tr>
      <w:tr>
        <w:trPr/>
        <w:tc>
          <w:tcPr>
            <w:tcW w:w="1425" w:type="dxa"/>
          </w:tcPr>
          <w:p>
            <w:pPr>
              <w:pStyle w:val="Compact"/>
              <w:jc w:val="left"/>
            </w:pPr>
            <w:r>
              <w:rPr>
                <w:sz w:val="18"/>
              </w:rPr>
              <w:t xml:space="preserve">3. Savings calculation</w:t>
            </w:r>
          </w:p>
        </w:tc>
        <w:tc>
          <w:tcPr>
            <w:tcW w:w="2085" w:type="dxa"/>
          </w:tcPr>
          <w:p>
            <w:pPr>
              <w:pStyle w:val="Compact"/>
              <w:jc w:val="left"/>
            </w:pPr>
            <w:r>
              <w:rPr>
                <w:sz w:val="18"/>
              </w:rPr>
              <w:t xml:space="preserve">Benchmark - Actual TCOC = Gross savings (or loss)</w:t>
            </w:r>
          </w:p>
        </w:tc>
        <w:tc>
          <w:tcPr>
            <w:tcW w:w="2625" w:type="dxa"/>
          </w:tcPr>
          <w:p>
            <w:pPr>
              <w:pStyle w:val="Compact"/>
              <w:jc w:val="left"/>
            </w:pPr>
            <w:r>
              <w:rPr>
                <w:sz w:val="18"/>
              </w:rPr>
              <w:t xml:space="preserve">If actual spending is below benchmark, gross savings exist. If above, gross loss.</w:t>
            </w:r>
          </w:p>
        </w:tc>
        <w:tc>
          <w:tcPr>
            <w:tcW w:w="2955"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425" w:type="dxa"/>
          </w:tcPr>
          <w:p>
            <w:pPr>
              <w:pStyle w:val="Compact"/>
              <w:jc w:val="left"/>
            </w:pPr>
            <w:r>
              <w:rPr>
                <w:sz w:val="18"/>
              </w:rPr>
              <w:t xml:space="preserve">4. Minimum savings rate (MSR)</w:t>
            </w:r>
          </w:p>
        </w:tc>
        <w:tc>
          <w:tcPr>
            <w:tcW w:w="2085" w:type="dxa"/>
          </w:tcPr>
          <w:p>
            <w:pPr>
              <w:pStyle w:val="Compact"/>
              <w:jc w:val="left"/>
            </w:pPr>
            <w:r>
              <w:rPr>
                <w:sz w:val="18"/>
              </w:rPr>
              <w:t xml:space="preserve">In most shared savings models, savings must exceed a minimum threshold (typically 2-3.5%) before the organization shares in them</w:t>
            </w:r>
          </w:p>
        </w:tc>
        <w:tc>
          <w:tcPr>
            <w:tcW w:w="2625" w:type="dxa"/>
          </w:tcPr>
          <w:p>
            <w:pPr>
              <w:pStyle w:val="Compact"/>
              <w:jc w:val="left"/>
            </w:pPr>
            <w:r>
              <w:rPr>
                <w:sz w:val="18"/>
              </w:rPr>
              <w:t xml:space="preserve">Protects against natural year-to-year cost variation triggering shared savings or losses that don’t reflect genuine performance changes.</w:t>
            </w:r>
          </w:p>
        </w:tc>
        <w:tc>
          <w:tcPr>
            <w:tcW w:w="2955"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425" w:type="dxa"/>
          </w:tcPr>
          <w:p>
            <w:pPr>
              <w:pStyle w:val="Compact"/>
              <w:jc w:val="left"/>
            </w:pPr>
            <w:r>
              <w:rPr>
                <w:sz w:val="18"/>
              </w:rPr>
              <w:t xml:space="preserve">5. Shared savings calculation</w:t>
            </w:r>
          </w:p>
        </w:tc>
        <w:tc>
          <w:tcPr>
            <w:tcW w:w="2085" w:type="dxa"/>
          </w:tcPr>
          <w:p>
            <w:pPr>
              <w:pStyle w:val="Compact"/>
              <w:jc w:val="left"/>
            </w:pPr>
            <w:r>
              <w:rPr>
                <w:sz w:val="18"/>
              </w:rPr>
              <w:t xml:space="preserve">Gross savings × sharing rate = Organization’s shared savings payment (or loss obligation)</w:t>
            </w:r>
          </w:p>
        </w:tc>
        <w:tc>
          <w:tcPr>
            <w:tcW w:w="2625" w:type="dxa"/>
          </w:tcPr>
          <w:p>
            <w:pPr>
              <w:pStyle w:val="Compact"/>
              <w:jc w:val="left"/>
            </w:pPr>
            <w:r>
              <w:rPr>
                <w:sz w:val="18"/>
              </w:rPr>
              <w:t xml:space="preserve">Sharing rates vary by model and risk track — typically 50-75% for one-sided models; may reach 80% for full-risk models.</w:t>
            </w:r>
          </w:p>
        </w:tc>
        <w:tc>
          <w:tcPr>
            <w:tcW w:w="2955"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2" w:name="_Toc1211"/>
      <w:r>
        <w:rPr>
          <w:b/>
          <w:bCs/>
          <w:color w:val="161B22"/>
        </w:rPr>
        <w:t xml:space="preserve">Risk Stratification — The Economic Engine of Population Health Management</w:t>
      </w:r>
      <w:bookmarkEnd w:id="1212"/>
    </w:p>
    <w:p>
      <w:pPr>
        <w:pStyle w:val="Heading3"/>
      </w:pPr>
      <w:r>
        <w:rPr>
          <w:color w:val="161B22"/>
        </w:rPr>
        <w:t xml:space="preserve">7.2.7  </w:t>
      </w:r>
      <w:bookmarkStart w:id="1213" w:name="_Toc1212"/>
      <w:r>
        <w:rPr>
          <w:b/>
          <w:bCs/>
          <w:color w:val="161B22"/>
        </w:rPr>
        <w:t xml:space="preserve">The Care Management ROI Calculation</w:t>
      </w:r>
      <w:bookmarkEnd w:id="1213"/>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$15,000</w:t>
            </w:r>
          </w:p>
          <w:p>
            <w:pPr>
              <w:jc w:val="center"/>
              <w:spacing w:after="40"/>
            </w:pPr>
            <w:r>
              <w:rPr>
                <w:rFonts w:ascii="Calibri" w:hAnsi="Calibri"/>
                <w:b/>
                <w:sz w:val="16"/>
                <w:color w:val="1B3A6B"/>
              </w:rPr>
              <w:t>Avg. Inpatient Cost Prevented</w:t>
            </w:r>
          </w:p>
        </w:tc>
        <w:tc>
          <w:tcPr>
            <w:tcW w:w="2268" w:type="dxa"/>
            <w:shd w:val="clear" w:color="auto" w:fill="E8F0FB"/>
            <w:vAlign w:val="center"/>
          </w:tcPr>
          <w:p>
            <w:pPr>
              <w:jc w:val="center"/>
              <w:spacing w:after="20" w:before="40"/>
            </w:pPr>
            <w:r>
              <w:rPr>
                <w:rFonts w:ascii="Calibri" w:hAnsi="Calibri"/>
                <w:b/>
                <w:sz w:val="16"/>
                <w:color w:val="1B3A6B"/>
              </w:rPr>
              <w:t>$1,800</w:t>
            </w:r>
          </w:p>
          <w:p>
            <w:pPr>
              <w:jc w:val="center"/>
              <w:spacing w:after="40"/>
            </w:pPr>
            <w:r>
              <w:rPr>
                <w:rFonts w:ascii="Calibri" w:hAnsi="Calibri"/>
                <w:b/>
                <w:sz w:val="16"/>
                <w:color w:val="1B3A6B"/>
              </w:rPr>
              <w:t>Avg. Preventable ED Visit</w:t>
            </w:r>
          </w:p>
        </w:tc>
        <w:tc>
          <w:tcPr>
            <w:tcW w:w="2268" w:type="dxa"/>
            <w:shd w:val="clear" w:color="auto" w:fill="E8F0FB"/>
            <w:vAlign w:val="center"/>
          </w:tcPr>
          <w:p>
            <w:pPr>
              <w:jc w:val="center"/>
              <w:spacing w:after="20" w:before="40"/>
            </w:pPr>
            <w:r>
              <w:rPr>
                <w:rFonts w:ascii="Calibri" w:hAnsi="Calibri"/>
                <w:b/>
                <w:sz w:val="16"/>
                <w:color w:val="1B3A6B"/>
              </w:rPr>
              <w:t>3–5x</w:t>
            </w:r>
          </w:p>
          <w:p>
            <w:pPr>
              <w:jc w:val="center"/>
              <w:spacing w:after="40"/>
            </w:pPr>
            <w:r>
              <w:rPr>
                <w:rFonts w:ascii="Calibri" w:hAnsi="Calibri"/>
                <w:b/>
                <w:sz w:val="16"/>
                <w:color w:val="1B3A6B"/>
              </w:rPr>
              <w:t>Care Management ROI Range</w:t>
            </w:r>
          </w:p>
        </w:tc>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VT Potentially Avoidable ED Visits</w:t>
            </w:r>
          </w:p>
        </w:tc>
      </w:tr>
    </w:tbl>
    <w:p>
      <w:pPr>
        <w:spacing w:after="120"/>
      </w:pPr>
    </w:p>
    <w:p>
      <w:pPr>
        <w:pStyle w:val="Caption"/>
      </w:pPr>
      <w:r>
        <w:rPr>
          <w:i/>
          <w:iCs/>
        </w:rPr>
        <w:t xml:space="preserve">Figure 7.2 — The economics of prevention under value-based payment. Inpatient and ED costs are approximate averages and vary by DRG and acuity; the ROI range reflects well-designed ACO care-management programs. Sources: CMS; GMCB; HTR analysis.</w:t>
      </w:r>
    </w:p>
    <w:p>
      <w:pPr>
        <w:pStyle w:val="Heading2"/>
        <w:pBdr>
          <w:top w:val="single" w:sz="6" w:space="10" w:color="C9D2DF"/>
        </w:pBdr>
        <w:keepNext w:val="false"/>
      </w:pPr>
      <w:r>
        <w:rPr>
          <w:color w:val="161B22"/>
        </w:rPr>
        <w:t xml:space="preserve">7.3  </w:t>
      </w:r>
      <w:bookmarkStart w:id="1214" w:name="_Toc1213"/>
      <w:r>
        <w:rPr>
          <w:b/>
          <w:bCs/>
          <w:color w:val="161B22"/>
        </w:rPr>
        <w:t xml:space="preserve">Economics Pillar Implementation Matrix</w:t>
      </w:r>
      <w:bookmarkEnd w:id="1214"/>
    </w:p>
    <w:p>
      <w:pPr>
        <w:pStyle w:val="FirstParagraph"/>
        <w:keepNext w:val="false"/>
      </w:pPr>
      <w: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7.3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5" w:name="_Toc1214"/>
      <w:r>
        <w:rPr>
          <w:b/>
          <w:bCs/>
          <w:color w:val="161B22"/>
        </w:rPr>
        <w:t xml:space="preserve">APM Readiness Assessment — The 30-Dimension Framework</w:t>
      </w:r>
      <w:bookmarkEnd w:id="1215"/>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6" w:name="_Toc1215"/>
      <w:r>
        <w:rPr>
          <w:b/>
          <w:bCs/>
          <w:color w:val="161B22"/>
        </w:rPr>
        <w:t xml:space="preserve">The Six Readiness Domains</w:t>
      </w:r>
      <w:bookmarkEnd w:id="1216"/>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7" w:name="_Toc1216"/>
      <w:r>
        <w:rPr>
          <w:b/>
          <w:bCs/>
          <w:color w:val="161B22"/>
        </w:rPr>
        <w:t xml:space="preserve">VBC Readiness Scoring — What the Numbers Mean</w:t>
      </w:r>
      <w:bookmarkEnd w:id="1217"/>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8" w:name="_Toc1217"/>
      <w:r>
        <w:rPr>
          <w:b/>
          <w:bCs/>
          <w:color w:val="161B22"/>
        </w:rPr>
        <w:t xml:space="preserve">Contract Analysis — Reading an APM Contract for Financial Risk</w:t>
      </w:r>
      <w:bookmarkEnd w:id="1218"/>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9" w:name="_Toc1218"/>
      <w:r>
        <w:rPr>
          <w:b/>
          <w:bCs/>
          <w:color w:val="161B22"/>
        </w:rPr>
        <w:t xml:space="preserve">The 65-Item VBC Contract Review Checklist: Key Categories</w:t>
      </w:r>
      <w:bookmarkEnd w:id="1219"/>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115"/>
        <w:gridCol w:w="6945"/>
      </w:tblGrid>
      <w:tr>
        <w:trPr>
          <w:tblHeader w:val="on"/>
          <w:cantSplit/>
        </w:trPr>
        <w:tc>
          <w:tcPr>
            <w:shd w:val="clear" w:color="auto" w:fill="1B3A6B"/>
            <w:tcW w:w="2115" w:type="dxa"/>
          </w:tcPr>
          <w:p>
            <w:pPr>
              <w:pStyle w:val="Compact"/>
              <w:jc w:val="left"/>
            </w:pPr>
            <w:r>
              <w:rPr>
                <w:b/>
                <w:color w:val="FFFFFF"/>
                <w:sz w:val="18"/>
              </w:rPr>
              <w:t xml:space="preserve">Contract provision category</w:t>
            </w:r>
          </w:p>
        </w:tc>
        <w:tc>
          <w:tcPr>
            <w:shd w:val="clear" w:color="auto" w:fill="1B3A6B"/>
            <w:tcW w:w="6945" w:type="dxa"/>
          </w:tcPr>
          <w:p>
            <w:pPr>
              <w:pStyle w:val="Compact"/>
              <w:jc w:val="left"/>
            </w:pPr>
            <w:r>
              <w:rPr>
                <w:b/>
                <w:color w:val="FFFFFF"/>
                <w:sz w:val="18"/>
              </w:rPr>
              <w:t xml:space="preserve">Key questions and financial risk</w:t>
            </w:r>
          </w:p>
        </w:tc>
      </w:tr>
      <w:tr>
        <w:trPr>
          <w:cantSplit/>
        </w:trPr>
        <w:tc>
          <w:tcPr>
            <w:tcW w:w="2115" w:type="dxa"/>
          </w:tcPr>
          <w:p>
            <w:pPr>
              <w:pStyle w:val="Compact"/>
              <w:jc w:val="left"/>
            </w:pPr>
            <w:r>
              <w:rPr>
                <w:sz w:val="18"/>
              </w:rPr>
              <w:t xml:space="preserve">Benchmark methodology</w:t>
            </w:r>
          </w:p>
        </w:tc>
        <w:tc>
          <w:tcPr>
            <w:tcW w:w="694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115" w:type="dxa"/>
          </w:tcPr>
          <w:p>
            <w:pPr>
              <w:pStyle w:val="Compact"/>
              <w:jc w:val="left"/>
            </w:pPr>
            <w:r>
              <w:rPr>
                <w:sz w:val="18"/>
              </w:rPr>
              <w:t xml:space="preserve">Attribution methodology</w:t>
            </w:r>
          </w:p>
        </w:tc>
        <w:tc>
          <w:tcPr>
            <w:tcW w:w="694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115" w:type="dxa"/>
          </w:tcPr>
          <w:p>
            <w:pPr>
              <w:pStyle w:val="Compact"/>
              <w:jc w:val="left"/>
            </w:pPr>
            <w:r>
              <w:rPr>
                <w:sz w:val="18"/>
              </w:rPr>
              <w:t xml:space="preserve">Quality withhold</w:t>
            </w:r>
          </w:p>
        </w:tc>
        <w:tc>
          <w:tcPr>
            <w:tcW w:w="694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115" w:type="dxa"/>
          </w:tcPr>
          <w:p>
            <w:pPr>
              <w:pStyle w:val="Compact"/>
              <w:jc w:val="left"/>
            </w:pPr>
            <w:r>
              <w:rPr>
                <w:sz w:val="18"/>
              </w:rPr>
              <w:t xml:space="preserve">Risk corridors and stop-loss</w:t>
            </w:r>
          </w:p>
        </w:tc>
        <w:tc>
          <w:tcPr>
            <w:tcW w:w="694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115" w:type="dxa"/>
          </w:tcPr>
          <w:p>
            <w:pPr>
              <w:pStyle w:val="Compact"/>
              <w:jc w:val="left"/>
            </w:pPr>
            <w:r>
              <w:rPr>
                <w:sz w:val="18"/>
              </w:rPr>
              <w:t xml:space="preserve">Carve-outs</w:t>
            </w:r>
          </w:p>
        </w:tc>
        <w:tc>
          <w:tcPr>
            <w:tcW w:w="694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115" w:type="dxa"/>
          </w:tcPr>
          <w:p>
            <w:pPr>
              <w:pStyle w:val="Compact"/>
              <w:jc w:val="left"/>
            </w:pPr>
            <w:r>
              <w:rPr>
                <w:sz w:val="18"/>
              </w:rPr>
              <w:t xml:space="preserve">Reconciliation timing</w:t>
            </w:r>
          </w:p>
        </w:tc>
        <w:tc>
          <w:tcPr>
            <w:tcW w:w="694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Figure 7.4 — APM contract review framework: provisions and key questions. Source: HTR Advisory framework.</w:t>
      </w:r>
    </w:p>
    <w:p>
      <w:pPr>
        <w:pStyle w:val="Heading2"/>
        <w:pBdr>
          <w:top w:val="single" w:sz="6" w:space="10" w:color="C9D2DF"/>
        </w:pBdr>
      </w:pPr>
      <w:r>
        <w:rPr>
          <w:color w:val="161B22"/>
        </w:rPr>
        <w:t xml:space="preserve">7.6  </w:t>
      </w:r>
      <w:bookmarkStart w:id="1220" w:name="_Toc1219"/>
      <w:r>
        <w:rPr>
          <w:b/>
          <w:bCs/>
          <w:color w:val="161B22"/>
        </w:rPr>
        <w:t xml:space="preserve">Hospital Financial Modeling Under Global Budgets — The Vermont Framework</w:t>
      </w:r>
      <w:bookmarkEnd w:id="1220"/>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1" w:name="_Toc1220"/>
      <w:r>
        <w:rPr>
          <w:b/>
          <w:bCs/>
          <w:color w:val="161B22"/>
        </w:rPr>
        <w:t xml:space="preserve">The Global Budget Financial Management Model</w:t>
      </w:r>
      <w:bookmarkEnd w:id="1221"/>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3930"/>
        <w:gridCol w:w="5145"/>
      </w:tblGrid>
      <w:tr>
        <w:trPr>
          <w:tblHeader w:val="on"/>
          <w:cantSplit/>
        </w:trPr>
        <w:tc>
          <w:tcPr>
            <w:shd w:val="clear" w:color="auto" w:fill="1B3A6B"/>
            <w:tcW w:w="3930" w:type="dxa"/>
          </w:tcPr>
          <w:p>
            <w:pPr>
              <w:pStyle w:val="Compact"/>
              <w:jc w:val="left"/>
            </w:pPr>
            <w:r>
              <w:rPr>
                <w:b/>
                <w:color w:val="FFFFFF"/>
                <w:sz w:val="18"/>
              </w:rPr>
              <w:t xml:space="preserve">Under FFS — optimize these metrics</w:t>
            </w:r>
          </w:p>
        </w:tc>
        <w:tc>
          <w:tcPr>
            <w:shd w:val="clear" w:color="auto" w:fill="1B3A6B"/>
            <w:tcW w:w="5145" w:type="dxa"/>
          </w:tcPr>
          <w:p>
            <w:pPr>
              <w:pStyle w:val="Compact"/>
              <w:jc w:val="left"/>
            </w:pPr>
            <w:r>
              <w:rPr>
                <w:b/>
                <w:color w:val="FFFFFF"/>
                <w:sz w:val="18"/>
              </w:rPr>
              <w:t xml:space="preserve">Under global budget — optimize these metrics</w:t>
            </w:r>
          </w:p>
        </w:tc>
      </w:tr>
      <w:tr>
        <w:trPr>
          <w:cantSplit/>
        </w:trPr>
        <w:tc>
          <w:tcPr>
            <w:tcW w:w="3930" w:type="dxa"/>
          </w:tcPr>
          <w:p>
            <w:pPr>
              <w:pStyle w:val="Compact"/>
              <w:jc w:val="left"/>
            </w:pPr>
            <w:r>
              <w:rPr>
                <w:sz w:val="18"/>
              </w:rPr>
              <w:t xml:space="preserve">Revenue per discharge — maximize reimbursement per case</w:t>
            </w:r>
          </w:p>
        </w:tc>
        <w:tc>
          <w:tcPr>
            <w:tcW w:w="5145" w:type="dxa"/>
          </w:tcPr>
          <w:p>
            <w:pPr>
              <w:pStyle w:val="Compact"/>
              <w:jc w:val="left"/>
            </w:pPr>
            <w:r>
              <w:rPr>
                <w:sz w:val="18"/>
              </w:rPr>
              <w:t xml:space="preserve">Cost per discharge — minimize unnecessary cost while maintaining quality</w:t>
            </w:r>
          </w:p>
        </w:tc>
      </w:tr>
      <w:tr>
        <w:trPr/>
        <w:tc>
          <w:tcPr>
            <w:tcW w:w="3930" w:type="dxa"/>
          </w:tcPr>
          <w:p>
            <w:pPr>
              <w:pStyle w:val="Compact"/>
              <w:jc w:val="left"/>
            </w:pPr>
            <w:r>
              <w:rPr>
                <w:sz w:val="18"/>
              </w:rPr>
              <w:t xml:space="preserve">Admission volume — more admissions = more revenue</w:t>
            </w:r>
          </w:p>
        </w:tc>
        <w:tc>
          <w:tcPr>
            <w:tcW w:w="5145" w:type="dxa"/>
          </w:tcPr>
          <w:p>
            <w:pPr>
              <w:pStyle w:val="Compact"/>
              <w:jc w:val="left"/>
            </w:pPr>
            <w:r>
              <w:rPr>
                <w:sz w:val="18"/>
              </w:rPr>
              <w:t xml:space="preserve">Avoidable admission rate — every preventable admission is a cost, not revenue</w:t>
            </w:r>
          </w:p>
        </w:tc>
      </w:tr>
      <w:tr>
        <w:trPr/>
        <w:tc>
          <w:tcPr>
            <w:tcW w:w="3930" w:type="dxa"/>
          </w:tcPr>
          <w:p>
            <w:pPr>
              <w:pStyle w:val="Compact"/>
              <w:jc w:val="left"/>
            </w:pPr>
            <w:r>
              <w:rPr>
                <w:sz w:val="18"/>
              </w:rPr>
              <w:t xml:space="preserve">Length of stay — maximize revenue per stay</w:t>
            </w:r>
          </w:p>
        </w:tc>
        <w:tc>
          <w:tcPr>
            <w:tcW w:w="5145" w:type="dxa"/>
          </w:tcPr>
          <w:p>
            <w:pPr>
              <w:pStyle w:val="Compact"/>
              <w:jc w:val="left"/>
            </w:pPr>
            <w:r>
              <w:rPr>
                <w:sz w:val="18"/>
              </w:rPr>
              <w:t xml:space="preserve">Efficient length of stay — unnecessary days are costs without revenue offset</w:t>
            </w:r>
          </w:p>
        </w:tc>
      </w:tr>
      <w:tr>
        <w:trPr/>
        <w:tc>
          <w:tcPr>
            <w:tcW w:w="3930" w:type="dxa"/>
          </w:tcPr>
          <w:p>
            <w:pPr>
              <w:pStyle w:val="Compact"/>
              <w:jc w:val="left"/>
            </w:pPr>
            <w:r>
              <w:rPr>
                <w:sz w:val="18"/>
              </w:rPr>
              <w:t xml:space="preserve">Service line volume — grow profitable service lines</w:t>
            </w:r>
          </w:p>
        </w:tc>
        <w:tc>
          <w:tcPr>
            <w:tcW w:w="5145" w:type="dxa"/>
          </w:tcPr>
          <w:p>
            <w:pPr>
              <w:pStyle w:val="Compact"/>
              <w:jc w:val="left"/>
            </w:pPr>
            <w:r>
              <w:rPr>
                <w:sz w:val="18"/>
              </w:rPr>
              <w:t xml:space="preserve">PMPM population health cost — manage population health to stay within budget</w:t>
            </w:r>
          </w:p>
        </w:tc>
      </w:tr>
      <w:tr>
        <w:trPr/>
        <w:tc>
          <w:tcPr>
            <w:tcW w:w="3930" w:type="dxa"/>
          </w:tcPr>
          <w:p>
            <w:pPr>
              <w:pStyle w:val="Compact"/>
              <w:jc w:val="left"/>
            </w:pPr>
            <w:r>
              <w:rPr>
                <w:sz w:val="18"/>
              </w:rPr>
              <w:t xml:space="preserve">Payer mix — maximize commercially insured cases</w:t>
            </w:r>
          </w:p>
        </w:tc>
        <w:tc>
          <w:tcPr>
            <w:tcW w:w="5145" w:type="dxa"/>
          </w:tcPr>
          <w:p>
            <w:pPr>
              <w:pStyle w:val="Compact"/>
              <w:jc w:val="left"/>
            </w:pPr>
            <w:r>
              <w:rPr>
                <w:sz w:val="18"/>
              </w:rPr>
              <w:t xml:space="preserve">Quality performance — quality metrics determine budget adjustments and AHEAD performance</w:t>
            </w:r>
          </w:p>
        </w:tc>
      </w:tr>
      <w:tr>
        <w:trPr/>
        <w:tc>
          <w:tcPr>
            <w:tcW w:w="3930" w:type="dxa"/>
          </w:tcPr>
          <w:p>
            <w:pPr>
              <w:pStyle w:val="Compact"/>
              <w:jc w:val="left"/>
            </w:pPr>
            <w:r>
              <w:rPr>
                <w:sz w:val="18"/>
              </w:rPr>
              <w:t xml:space="preserve">Denials management — recover denied claims</w:t>
            </w:r>
          </w:p>
        </w:tc>
        <w:tc>
          <w:tcPr>
            <w:tcW w:w="5145" w:type="dxa"/>
          </w:tcPr>
          <w:p>
            <w:pPr>
              <w:pStyle w:val="Compact"/>
              <w:jc w:val="left"/>
            </w:pPr>
            <w:r>
              <w:rPr>
                <w:sz w:val="18"/>
              </w:rPr>
              <w:t xml:space="preserve">Potentially avoidable utilization — prevent the ED visits and admissions that waste budget</w:t>
            </w:r>
          </w:p>
        </w:tc>
      </w:tr>
      <w:tr>
        <w:trPr/>
        <w:tc>
          <w:tcPr>
            <w:tcW w:w="3930" w:type="dxa"/>
          </w:tcPr>
          <w:p>
            <w:pPr>
              <w:pStyle w:val="Compact"/>
              <w:jc w:val="left"/>
            </w:pPr>
            <w:r>
              <w:rPr>
                <w:sz w:val="18"/>
              </w:rPr>
              <w:t xml:space="preserve">Case mix index — capture higher-acuity cases</w:t>
            </w:r>
          </w:p>
        </w:tc>
        <w:tc>
          <w:tcPr>
            <w:tcW w:w="5145" w:type="dxa"/>
          </w:tcPr>
          <w:p>
            <w:pPr>
              <w:pStyle w:val="Compact"/>
              <w:jc w:val="left"/>
            </w:pPr>
            <w:r>
              <w:rPr>
                <w:sz w:val="18"/>
              </w:rPr>
              <w:t xml:space="preserve">Community investment ROI — SDOH programs that reduce utilization have direct financial return</w:t>
            </w:r>
          </w:p>
        </w:tc>
      </w:tr>
      <w:tr>
        <w:trPr>
          <w:cantSplit/>
        </w:trPr>
        <w:tc>
          <w:tcPr>
            <w:tcW w:w="3930" w:type="dxa"/>
          </w:tcPr>
          <w:p>
            <w:pPr>
              <w:pStyle w:val="Compact"/>
              <w:jc w:val="left"/>
            </w:pPr>
            <w:r>
              <w:rPr>
                <w:sz w:val="18"/>
              </w:rPr>
              <w:t xml:space="preserve">Operating margin per adjusted discharge</w:t>
            </w:r>
          </w:p>
        </w:tc>
        <w:tc>
          <w:tcPr>
            <w:tcW w:w="5145"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7.5 — Financial metrics transformation: FFS versus global budget environment. Source: HTR’s Economics pillar framework.</w:t>
      </w:r>
    </w:p>
    <w:p>
      <w:pPr>
        <w:pStyle w:val="Heading3"/>
      </w:pPr>
      <w:r>
        <w:rPr>
          <w:color w:val="161B22"/>
        </w:rPr>
        <w:t xml:space="preserve">7.6.2  </w:t>
      </w:r>
      <w:bookmarkStart w:id="1222" w:name="_Toc1221"/>
      <w:r>
        <w:rPr>
          <w:b/>
          <w:bCs/>
          <w:color w:val="161B22"/>
        </w:rPr>
        <w:t xml:space="preserve">The Hospital Financial Stress Test Model</w:t>
      </w:r>
      <w:bookmarkEnd w:id="1222"/>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3" w:name="_Toc1222"/>
      <w:r>
        <w:rPr>
          <w:b/>
          <w:bCs/>
          <w:color w:val="161B22"/>
        </w:rPr>
        <w:t xml:space="preserve">The ROI of Transformation — Building the Financial Case</w:t>
      </w:r>
      <w:bookmarkEnd w:id="1223"/>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4" w:name="_Toc1223"/>
      <w:r>
        <w:rPr>
          <w:b/>
          <w:bCs/>
          <w:color w:val="161B22"/>
        </w:rPr>
        <w:t xml:space="preserve">The Transformation ROI Framework</w:t>
      </w:r>
      <w:bookmarkEnd w:id="1224"/>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470"/>
        <w:gridCol w:w="2085"/>
        <w:gridCol w:w="2475"/>
        <w:gridCol w:w="3030"/>
      </w:tblGrid>
      <w:tr>
        <w:trPr>
          <w:tblHeader w:val="on"/>
          <w:cantSplit/>
        </w:trPr>
        <w:tc>
          <w:tcPr>
            <w:shd w:val="clear" w:color="auto" w:fill="1B3A6B"/>
            <w:tcW w:w="1470" w:type="dxa"/>
          </w:tcPr>
          <w:p>
            <w:pPr>
              <w:pStyle w:val="Compact"/>
              <w:jc w:val="left"/>
            </w:pPr>
            <w:r>
              <w:rPr>
                <w:b/>
                <w:color w:val="FFFFFF"/>
                <w:sz w:val="18"/>
              </w:rPr>
              <w:t xml:space="preserve">Investment type</w:t>
            </w:r>
          </w:p>
        </w:tc>
        <w:tc>
          <w:tcPr>
            <w:shd w:val="clear" w:color="auto" w:fill="1B3A6B"/>
            <w:tcW w:w="2085" w:type="dxa"/>
          </w:tcPr>
          <w:p>
            <w:pPr>
              <w:pStyle w:val="Compact"/>
              <w:jc w:val="left"/>
            </w:pPr>
            <w:r>
              <w:rPr>
                <w:b/>
                <w:color w:val="FFFFFF"/>
                <w:sz w:val="18"/>
              </w:rPr>
              <w:t xml:space="preserve">Revenue/savings mechanism</w:t>
            </w:r>
          </w:p>
        </w:tc>
        <w:tc>
          <w:tcPr>
            <w:shd w:val="clear" w:color="auto" w:fill="1B3A6B"/>
            <w:tcW w:w="2475" w:type="dxa"/>
          </w:tcPr>
          <w:p>
            <w:pPr>
              <w:pStyle w:val="Compact"/>
              <w:jc w:val="left"/>
            </w:pPr>
            <w:r>
              <w:rPr>
                <w:b/>
                <w:color w:val="FFFFFF"/>
                <w:sz w:val="18"/>
              </w:rPr>
              <w:t xml:space="preserve">Calculation approach</w:t>
            </w:r>
          </w:p>
        </w:tc>
        <w:tc>
          <w:tcPr>
            <w:shd w:val="clear" w:color="auto" w:fill="1B3A6B"/>
            <w:tcW w:w="3030" w:type="dxa"/>
          </w:tcPr>
          <w:p>
            <w:pPr>
              <w:pStyle w:val="Compact"/>
              <w:jc w:val="left"/>
            </w:pPr>
            <w:r>
              <w:rPr>
                <w:b/>
                <w:color w:val="FFFFFF"/>
                <w:sz w:val="18"/>
              </w:rPr>
              <w:t xml:space="preserve">Vermont example</w:t>
            </w:r>
          </w:p>
        </w:tc>
      </w:tr>
      <w:tr>
        <w:trPr>
          <w:cantSplit/>
        </w:trPr>
        <w:tc>
          <w:tcPr>
            <w:tcW w:w="1470" w:type="dxa"/>
          </w:tcPr>
          <w:p>
            <w:pPr>
              <w:pStyle w:val="Compact"/>
              <w:jc w:val="left"/>
            </w:pPr>
            <w:r>
              <w:rPr>
                <w:sz w:val="18"/>
              </w:rPr>
              <w:t xml:space="preserve">Care management program</w:t>
            </w:r>
          </w:p>
        </w:tc>
        <w:tc>
          <w:tcPr>
            <w:tcW w:w="2085" w:type="dxa"/>
          </w:tcPr>
          <w:p>
            <w:pPr>
              <w:pStyle w:val="Compact"/>
              <w:jc w:val="left"/>
            </w:pPr>
            <w:r>
              <w:rPr>
                <w:sz w:val="18"/>
              </w:rPr>
              <w:t xml:space="preserve">Prevents hospitalizations and ED visits that, under VBC, are costs without offsetting revenue</w:t>
            </w:r>
          </w:p>
        </w:tc>
        <w:tc>
          <w:tcPr>
            <w:tcW w:w="2475" w:type="dxa"/>
          </w:tcPr>
          <w:p>
            <w:pPr>
              <w:pStyle w:val="Compact"/>
              <w:jc w:val="left"/>
            </w:pPr>
            <w:r>
              <w:rPr>
                <w:sz w:val="18"/>
              </w:rPr>
              <w:t xml:space="preserve">(Prevented events) × (average cost per event) - (program operating cost) = Net savings. Divide by program cost for ROI.</w:t>
            </w:r>
          </w:p>
        </w:tc>
        <w:tc>
          <w:tcPr>
            <w:tcW w:w="3030"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470" w:type="dxa"/>
          </w:tcPr>
          <w:p>
            <w:pPr>
              <w:pStyle w:val="Compact"/>
              <w:jc w:val="left"/>
            </w:pPr>
            <w:r>
              <w:rPr>
                <w:sz w:val="18"/>
              </w:rPr>
              <w:t xml:space="preserve">Behavioral health integration (CoCM)</w:t>
            </w:r>
          </w:p>
        </w:tc>
        <w:tc>
          <w:tcPr>
            <w:tcW w:w="2085" w:type="dxa"/>
          </w:tcPr>
          <w:p>
            <w:pPr>
              <w:pStyle w:val="Compact"/>
              <w:jc w:val="left"/>
            </w:pPr>
            <w:r>
              <w:rPr>
                <w:sz w:val="18"/>
              </w:rPr>
              <w:t xml:space="preserve">Reduces downstream high-cost utilization — hospitalizations, ED visits for MH crisis — for patients receiving earlier MH intervention</w:t>
            </w:r>
          </w:p>
        </w:tc>
        <w:tc>
          <w:tcPr>
            <w:tcW w:w="2475"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3030"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470" w:type="dxa"/>
          </w:tcPr>
          <w:p>
            <w:pPr>
              <w:pStyle w:val="Compact"/>
              <w:jc w:val="left"/>
            </w:pPr>
            <w:r>
              <w:rPr>
                <w:sz w:val="18"/>
              </w:rPr>
              <w:t xml:space="preserve">SDOH program investment</w:t>
            </w:r>
          </w:p>
        </w:tc>
        <w:tc>
          <w:tcPr>
            <w:tcW w:w="2085"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475"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3030"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470" w:type="dxa"/>
          </w:tcPr>
          <w:p>
            <w:pPr>
              <w:pStyle w:val="Compact"/>
              <w:jc w:val="left"/>
            </w:pPr>
            <w:r>
              <w:rPr>
                <w:sz w:val="18"/>
              </w:rPr>
              <w:t xml:space="preserve">Primary care investment (PCMH enhanced payments)</w:t>
            </w:r>
          </w:p>
        </w:tc>
        <w:tc>
          <w:tcPr>
            <w:tcW w:w="2085" w:type="dxa"/>
          </w:tcPr>
          <w:p>
            <w:pPr>
              <w:pStyle w:val="Compact"/>
              <w:jc w:val="left"/>
            </w:pPr>
            <w:r>
              <w:rPr>
                <w:sz w:val="18"/>
              </w:rPr>
              <w:t xml:space="preserve">Reduces hospitalizations and specialty care through better chronic disease management and early intervention</w:t>
            </w:r>
          </w:p>
        </w:tc>
        <w:tc>
          <w:tcPr>
            <w:tcW w:w="2475"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3030"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470" w:type="dxa"/>
          </w:tcPr>
          <w:p>
            <w:pPr>
              <w:pStyle w:val="Compact"/>
              <w:jc w:val="left"/>
            </w:pPr>
            <w:r>
              <w:rPr>
                <w:sz w:val="18"/>
              </w:rPr>
              <w:t xml:space="preserve">Telehealth for rural access</w:t>
            </w:r>
          </w:p>
        </w:tc>
        <w:tc>
          <w:tcPr>
            <w:tcW w:w="2085"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475"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3030"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7.6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5" w:name="_Toc1224"/>
      <w:r>
        <w:rPr>
          <w:b/>
          <w:bCs/>
          <w:color w:val="161B22"/>
        </w:rPr>
        <w:t xml:space="preserve">Making Care Primary — Vermont’s Primary Care Economics</w:t>
      </w:r>
      <w:bookmarkEnd w:id="1225"/>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6" w:name="_Toc1225"/>
      <w:r>
        <w:rPr>
          <w:b/>
          <w:bCs/>
          <w:color w:val="161B22"/>
        </w:rPr>
        <w:t xml:space="preserve">Work This Chapter on the Platform</w:t>
      </w:r>
      <w:bookmarkEnd w:id="1226"/>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27" w:name="_Toc1226"/>
      <w:r>
        <w:rPr>
          <w:b/>
          <w:bCs/>
          <w:color w:val="161B22"/>
        </w:rPr>
        <w:t xml:space="preserve">Implications for You</w:t>
      </w:r>
      <w:bookmarkEnd w:id="1227"/>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8" w:name="_Toc1227"/>
      <w:r>
        <w:rPr>
          <w:b/>
          <w:bCs/>
          <w:color w:val="161B22"/>
        </w:rPr>
        <w:t xml:space="preserve">Key Concepts in This Chapter</w:t>
      </w:r>
      <w:bookmarkEnd w:id="1228"/>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9" w:name="_Toc1228"/>
      <w:r>
        <w:rPr>
          <w:b/>
          <w:bCs/>
          <w:color w:val="161B22"/>
        </w:rPr>
        <w:t xml:space="preserve">Chapter 8: The Clinical Pillar — Redesigning Care Delivery for a Transformed System</w:t>
      </w:r>
      <w:bookmarkEnd w:id="122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30" w:name="_Toc1229"/>
      <w:r>
        <w:rPr>
          <w:b/>
          <w:bCs/>
          <w:color w:val="161B22"/>
        </w:rPr>
        <w:t xml:space="preserve">The Clinical Pillar: What It Is and Why It Is Not the Same as Clinical Quality</w:t>
      </w:r>
      <w:bookmarkEnd w:id="1230"/>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1" w:name="_Toc1230"/>
      <w:r>
        <w:rPr>
          <w:b/>
          <w:bCs/>
          <w:color w:val="161B22"/>
        </w:rPr>
        <w:t xml:space="preserve">The Vermont Blueprint for Health — Two Decades of Primary Care Transformation</w:t>
      </w:r>
      <w:bookmarkEnd w:id="123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2" w:name="_Toc1231"/>
      <w:r>
        <w:rPr>
          <w:b/>
          <w:bCs/>
          <w:color w:val="161B22"/>
        </w:rPr>
        <w:t xml:space="preserve">The Blueprint Architecture</w:t>
      </w:r>
      <w:bookmarkEnd w:id="1232"/>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3" w:name="_Toc1232"/>
      <w:r>
        <w:rPr>
          <w:b/>
          <w:bCs/>
          <w:color w:val="161B22"/>
        </w:rPr>
        <w:t xml:space="preserve">The Evidence: What the Blueprint Has Produced</w:t>
      </w:r>
      <w:bookmarkEnd w:id="1233"/>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4" w:name="_Toc1233"/>
      <w:r>
        <w:rPr>
          <w:b/>
          <w:bCs/>
          <w:color w:val="161B22"/>
        </w:rPr>
        <w:t xml:space="preserve">The Blueprint and AHEAD: A Critical Transition</w:t>
      </w:r>
      <w:bookmarkEnd w:id="1234"/>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35" w:name="_Toc1234"/>
      <w:r>
        <w:rPr>
          <w:b/>
          <w:bCs/>
          <w:color w:val="161B22"/>
        </w:rPr>
        <w:t xml:space="preserve">The Behavioral Health Crisis — Vermont’s Most Urgent Clinical Challenge</w:t>
      </w:r>
      <w:bookmarkEnd w:id="1235"/>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6" w:name="_Toc1235"/>
      <w:r>
        <w:rPr>
          <w:b/>
          <w:bCs/>
          <w:color w:val="161B22"/>
        </w:rPr>
        <w:t xml:space="preserve">The Three-Layer Behavioral Health Architecture Vermont Is Building</w:t>
      </w:r>
      <w:bookmarkEnd w:id="1236"/>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7" w:name="_Toc1236"/>
      <w:r>
        <w:rPr>
          <w:b/>
          <w:bCs/>
          <w:color w:val="161B22"/>
        </w:rPr>
        <w:t xml:space="preserve">The Collaborative Care Model: Clinical Standard of Practice for Primary Care Integration</w:t>
      </w:r>
      <w:bookmarkEnd w:id="1237"/>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620"/>
        <w:gridCol w:w="1125"/>
        <w:gridCol w:w="2970"/>
        <w:gridCol w:w="3345"/>
      </w:tblGrid>
      <w:tr>
        <w:trPr>
          <w:tblHeader w:val="on"/>
          <w:cantSplit/>
        </w:trPr>
        <w:tc>
          <w:tcPr>
            <w:shd w:val="clear" w:color="auto" w:fill="1B3A6B"/>
            <w:tcW w:w="1620" w:type="dxa"/>
          </w:tcPr>
          <w:p>
            <w:pPr>
              <w:pStyle w:val="Compact"/>
              <w:jc w:val="left"/>
            </w:pPr>
            <w:r>
              <w:rPr>
                <w:b/>
                <w:color w:val="FFFFFF"/>
                <w:sz w:val="18"/>
              </w:rPr>
              <w:t xml:space="preserve">CoCM component</w:t>
            </w:r>
          </w:p>
        </w:tc>
        <w:tc>
          <w:tcPr>
            <w:shd w:val="clear" w:color="auto" w:fill="1B3A6B"/>
            <w:tcW w:w="1125" w:type="dxa"/>
          </w:tcPr>
          <w:p>
            <w:pPr>
              <w:pStyle w:val="Compact"/>
              <w:jc w:val="left"/>
            </w:pPr>
            <w:r>
              <w:rPr>
                <w:b/>
                <w:color w:val="FFFFFF"/>
                <w:sz w:val="18"/>
              </w:rPr>
              <w:t xml:space="preserve">Role</w:t>
            </w:r>
          </w:p>
        </w:tc>
        <w:tc>
          <w:tcPr>
            <w:shd w:val="clear" w:color="auto" w:fill="1B3A6B"/>
            <w:tcW w:w="2970" w:type="dxa"/>
          </w:tcPr>
          <w:p>
            <w:pPr>
              <w:pStyle w:val="Compact"/>
              <w:jc w:val="left"/>
            </w:pPr>
            <w:r>
              <w:rPr>
                <w:b/>
                <w:color w:val="FFFFFF"/>
                <w:sz w:val="18"/>
              </w:rPr>
              <w:t xml:space="preserve">What they do</w:t>
            </w:r>
          </w:p>
        </w:tc>
        <w:tc>
          <w:tcPr>
            <w:shd w:val="clear" w:color="auto" w:fill="1B3A6B"/>
            <w:tcW w:w="3345" w:type="dxa"/>
          </w:tcPr>
          <w:p>
            <w:pPr>
              <w:pStyle w:val="Compact"/>
              <w:jc w:val="left"/>
            </w:pPr>
            <w:r>
              <w:rPr>
                <w:b/>
                <w:color w:val="FFFFFF"/>
                <w:sz w:val="18"/>
              </w:rPr>
              <w:t xml:space="preserve">Vermont application</w:t>
            </w:r>
          </w:p>
        </w:tc>
      </w:tr>
      <w:tr>
        <w:trPr>
          <w:cantSplit/>
        </w:trPr>
        <w:tc>
          <w:tcPr>
            <w:tcW w:w="1620" w:type="dxa"/>
          </w:tcPr>
          <w:p>
            <w:pPr>
              <w:pStyle w:val="Compact"/>
              <w:jc w:val="left"/>
            </w:pPr>
            <w:r>
              <w:rPr>
                <w:sz w:val="18"/>
              </w:rPr>
              <w:t xml:space="preserve">Primary Care Provider (PCP)</w:t>
            </w:r>
          </w:p>
        </w:tc>
        <w:tc>
          <w:tcPr>
            <w:tcW w:w="1125" w:type="dxa"/>
          </w:tcPr>
          <w:p>
            <w:pPr>
              <w:pStyle w:val="Compact"/>
              <w:jc w:val="left"/>
            </w:pPr>
            <w:r>
              <w:rPr>
                <w:sz w:val="18"/>
              </w:rPr>
              <w:t xml:space="preserve">Treating and billing provider</w:t>
            </w:r>
          </w:p>
        </w:tc>
        <w:tc>
          <w:tcPr>
            <w:tcW w:w="2970"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334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20" w:type="dxa"/>
          </w:tcPr>
          <w:p>
            <w:pPr>
              <w:pStyle w:val="Compact"/>
              <w:jc w:val="left"/>
            </w:pPr>
            <w:r>
              <w:rPr>
                <w:sz w:val="18"/>
              </w:rPr>
              <w:t xml:space="preserve">Behavioral Health Care Manager (BHCM)</w:t>
            </w:r>
          </w:p>
        </w:tc>
        <w:tc>
          <w:tcPr>
            <w:tcW w:w="1125" w:type="dxa"/>
          </w:tcPr>
          <w:p>
            <w:pPr>
              <w:pStyle w:val="Compact"/>
              <w:jc w:val="left"/>
            </w:pPr>
            <w:r>
              <w:rPr>
                <w:sz w:val="18"/>
              </w:rPr>
              <w:t xml:space="preserve">Day-to-day care coordinator</w:t>
            </w:r>
          </w:p>
        </w:tc>
        <w:tc>
          <w:tcPr>
            <w:tcW w:w="2970"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34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20" w:type="dxa"/>
          </w:tcPr>
          <w:p>
            <w:pPr>
              <w:pStyle w:val="Compact"/>
              <w:jc w:val="left"/>
            </w:pPr>
            <w:r>
              <w:rPr>
                <w:sz w:val="18"/>
              </w:rPr>
              <w:t xml:space="preserve">Psychiatric Consultant</w:t>
            </w:r>
          </w:p>
        </w:tc>
        <w:tc>
          <w:tcPr>
            <w:tcW w:w="1125" w:type="dxa"/>
          </w:tcPr>
          <w:p>
            <w:pPr>
              <w:pStyle w:val="Compact"/>
              <w:jc w:val="left"/>
            </w:pPr>
            <w:r>
              <w:rPr>
                <w:sz w:val="18"/>
              </w:rPr>
              <w:t xml:space="preserve">Clinical supervision</w:t>
            </w:r>
          </w:p>
        </w:tc>
        <w:tc>
          <w:tcPr>
            <w:tcW w:w="2970"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334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8" w:name="_Toc1237"/>
      <w:r>
        <w:rPr>
          <w:b/>
          <w:bCs/>
          <w:color w:val="161B22"/>
        </w:rPr>
        <w:t xml:space="preserve">The SUD Continuum: Vermont’s Hub and Spoke Model</w:t>
      </w:r>
      <w:bookmarkEnd w:id="1238"/>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9" w:name="_Toc1238"/>
      <w:r>
        <w:rPr>
          <w:b/>
          <w:bCs/>
          <w:color w:val="161B22"/>
        </w:rPr>
        <w:t xml:space="preserve">Primary Care Redesign — Vermont’s Strategy for the Front Door</w:t>
      </w:r>
      <w:bookmarkEnd w:id="1239"/>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40" w:name="_Toc1239"/>
      <w:r>
        <w:rPr>
          <w:b/>
          <w:bCs/>
          <w:color w:val="161B22"/>
        </w:rPr>
        <w:t xml:space="preserve">The Vermont Comprehensive Primary Health Care Initiative</w:t>
      </w:r>
      <w:bookmarkEnd w:id="1240"/>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1710"/>
        <w:gridCol w:w="4260"/>
        <w:gridCol w:w="3105"/>
      </w:tblGrid>
      <w:tr>
        <w:trPr>
          <w:tblHeader w:val="on"/>
          <w:cantSplit/>
        </w:trPr>
        <w:tc>
          <w:tcPr>
            <w:shd w:val="clear" w:color="auto" w:fill="1B3A6B"/>
            <w:tcW w:w="1710" w:type="dxa"/>
          </w:tcPr>
          <w:p>
            <w:pPr>
              <w:pStyle w:val="Compact"/>
              <w:jc w:val="left"/>
            </w:pPr>
            <w:r>
              <w:rPr>
                <w:b/>
                <w:color w:val="FFFFFF"/>
                <w:sz w:val="18"/>
              </w:rPr>
              <w:t xml:space="preserve">Component</w:t>
            </w:r>
          </w:p>
        </w:tc>
        <w:tc>
          <w:tcPr>
            <w:shd w:val="clear" w:color="auto" w:fill="1B3A6B"/>
            <w:tcW w:w="4260" w:type="dxa"/>
          </w:tcPr>
          <w:p>
            <w:pPr>
              <w:pStyle w:val="Compact"/>
              <w:jc w:val="left"/>
            </w:pPr>
            <w:r>
              <w:rPr>
                <w:b/>
                <w:color w:val="FFFFFF"/>
                <w:sz w:val="18"/>
              </w:rPr>
              <w:t xml:space="preserve">What it means in practice</w:t>
            </w:r>
          </w:p>
        </w:tc>
        <w:tc>
          <w:tcPr>
            <w:shd w:val="clear" w:color="auto" w:fill="1B3A6B"/>
            <w:tcW w:w="3105" w:type="dxa"/>
          </w:tcPr>
          <w:p>
            <w:pPr>
              <w:pStyle w:val="Compact"/>
              <w:jc w:val="left"/>
            </w:pPr>
            <w:r>
              <w:rPr>
                <w:b/>
                <w:color w:val="FFFFFF"/>
                <w:sz w:val="18"/>
              </w:rPr>
              <w:t xml:space="preserve">Vermont investment vehicle</w:t>
            </w:r>
          </w:p>
        </w:tc>
      </w:tr>
      <w:tr>
        <w:trPr>
          <w:cantSplit/>
        </w:trPr>
        <w:tc>
          <w:tcPr>
            <w:tcW w:w="1710" w:type="dxa"/>
          </w:tcPr>
          <w:p>
            <w:pPr>
              <w:pStyle w:val="Compact"/>
              <w:jc w:val="left"/>
            </w:pPr>
            <w:r>
              <w:rPr>
                <w:sz w:val="18"/>
              </w:rPr>
              <w:t xml:space="preserve">Team-based care</w:t>
            </w:r>
          </w:p>
        </w:tc>
        <w:tc>
          <w:tcPr>
            <w:tcW w:w="4260"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10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1710" w:type="dxa"/>
          </w:tcPr>
          <w:p>
            <w:pPr>
              <w:pStyle w:val="Compact"/>
              <w:jc w:val="left"/>
            </w:pPr>
            <w:r>
              <w:rPr>
                <w:sz w:val="18"/>
              </w:rPr>
              <w:t xml:space="preserve">Population health management</w:t>
            </w:r>
          </w:p>
        </w:tc>
        <w:tc>
          <w:tcPr>
            <w:tcW w:w="4260"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105" w:type="dxa"/>
          </w:tcPr>
          <w:p>
            <w:pPr>
              <w:pStyle w:val="Compact"/>
              <w:jc w:val="left"/>
            </w:pPr>
            <w:r>
              <w:rPr>
                <w:sz w:val="18"/>
              </w:rPr>
              <w:t xml:space="preserve">Blueprint data infrastructure; VHCURES linkage; GMCB analytics vendor procurement</w:t>
            </w:r>
          </w:p>
        </w:tc>
      </w:tr>
      <w:tr>
        <w:trPr/>
        <w:tc>
          <w:tcPr>
            <w:tcW w:w="1710" w:type="dxa"/>
          </w:tcPr>
          <w:p>
            <w:pPr>
              <w:pStyle w:val="Compact"/>
              <w:jc w:val="left"/>
            </w:pPr>
            <w:r>
              <w:rPr>
                <w:sz w:val="18"/>
              </w:rPr>
              <w:t xml:space="preserve">SDOH screening and navigation</w:t>
            </w:r>
          </w:p>
        </w:tc>
        <w:tc>
          <w:tcPr>
            <w:tcW w:w="4260"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105" w:type="dxa"/>
          </w:tcPr>
          <w:p>
            <w:pPr>
              <w:pStyle w:val="Compact"/>
              <w:jc w:val="left"/>
            </w:pPr>
            <w:r>
              <w:rPr>
                <w:sz w:val="18"/>
              </w:rPr>
              <w:t xml:space="preserve">Blueprint HRSN screening expansion; AHEAD EAST Fund SDOH investments; RHT Program community health worker deployment</w:t>
            </w:r>
          </w:p>
        </w:tc>
      </w:tr>
      <w:tr>
        <w:trPr/>
        <w:tc>
          <w:tcPr>
            <w:tcW w:w="1710" w:type="dxa"/>
          </w:tcPr>
          <w:p>
            <w:pPr>
              <w:pStyle w:val="Compact"/>
              <w:jc w:val="left"/>
            </w:pPr>
            <w:r>
              <w:rPr>
                <w:sz w:val="18"/>
              </w:rPr>
              <w:t xml:space="preserve">Behavioral health integration</w:t>
            </w:r>
          </w:p>
        </w:tc>
        <w:tc>
          <w:tcPr>
            <w:tcW w:w="4260"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105" w:type="dxa"/>
          </w:tcPr>
          <w:p>
            <w:pPr>
              <w:pStyle w:val="Compact"/>
              <w:jc w:val="left"/>
            </w:pPr>
            <w:r>
              <w:rPr>
                <w:sz w:val="18"/>
              </w:rPr>
              <w:t xml:space="preserve">MHI pilot expansion through AHEAD and EAST Fund; CCBHC partnerships with primary care</w:t>
            </w:r>
          </w:p>
        </w:tc>
      </w:tr>
      <w:tr>
        <w:trPr>
          <w:cantSplit/>
        </w:trPr>
        <w:tc>
          <w:tcPr>
            <w:tcW w:w="1710" w:type="dxa"/>
          </w:tcPr>
          <w:p>
            <w:pPr>
              <w:pStyle w:val="Compact"/>
              <w:jc w:val="left"/>
            </w:pPr>
            <w:r>
              <w:rPr>
                <w:sz w:val="18"/>
              </w:rPr>
              <w:t xml:space="preserve">Care coordination for complex patients</w:t>
            </w:r>
          </w:p>
        </w:tc>
        <w:tc>
          <w:tcPr>
            <w:tcW w:w="4260"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10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1" w:name="_Toc1240"/>
      <w:r>
        <w:rPr>
          <w:b/>
          <w:bCs/>
          <w:color w:val="161B22"/>
        </w:rPr>
        <w:t xml:space="preserve">Primary Care’s Role in Reducing Hospital Utilization</w:t>
      </w:r>
      <w:bookmarkEnd w:id="1241"/>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2" w:name="_Toc1241"/>
      <w:r>
        <w:rPr>
          <w:b/>
          <w:bCs/>
          <w:color w:val="161B22"/>
        </w:rPr>
        <w:t xml:space="preserve">Vermont’s Clinical Quality Architecture — Measuring What Matters</w:t>
      </w:r>
      <w:bookmarkEnd w:id="1242"/>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3" w:name="_Toc1242"/>
      <w:r>
        <w:rPr>
          <w:b/>
          <w:bCs/>
          <w:color w:val="161B22"/>
        </w:rPr>
        <w:t xml:space="preserve">The HEDIS Improvement Methodology — Vermont Context</w:t>
      </w:r>
      <w:bookmarkEnd w:id="1243"/>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4" w:name="_Toc1243"/>
      <w:r>
        <w:rPr>
          <w:b/>
          <w:bCs/>
          <w:color w:val="161B22"/>
        </w:rPr>
        <w:t xml:space="preserve">Care for Vermont’s Aging Population — The Clinical Imperative</w:t>
      </w:r>
      <w:bookmarkEnd w:id="1244"/>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5" w:name="_Toc1244"/>
      <w:r>
        <w:rPr>
          <w:b/>
          <w:bCs/>
          <w:color w:val="161B22"/>
        </w:rPr>
        <w:t xml:space="preserve">The PACE Model and Vermont’s Long-Term Care Gap</w:t>
      </w:r>
      <w:bookmarkEnd w:id="1245"/>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6" w:name="_Toc1245"/>
      <w:r>
        <w:rPr>
          <w:b/>
          <w:bCs/>
          <w:color w:val="161B22"/>
        </w:rPr>
        <w:t xml:space="preserve">Dementia Care: The Coming Clinical Challenge</w:t>
      </w:r>
      <w:bookmarkEnd w:id="1246"/>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7" w:name="_Toc1246"/>
      <w:r>
        <w:rPr>
          <w:b/>
          <w:bCs/>
          <w:color w:val="161B22"/>
        </w:rPr>
        <w:t xml:space="preserve">Clinical Pillar Implications for AHS’s Statewide Strategic Plan</w:t>
      </w:r>
      <w:bookmarkEnd w:id="1247"/>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560"/>
        <w:gridCol w:w="3570"/>
        <w:gridCol w:w="1365"/>
        <w:gridCol w:w="2565"/>
      </w:tblGrid>
      <w:tr>
        <w:trPr>
          <w:tblHeader w:val="on"/>
          <w:cantSplit/>
        </w:trPr>
        <w:tc>
          <w:tcPr>
            <w:shd w:val="clear" w:color="auto" w:fill="1B3A6B"/>
            <w:tcW w:w="1560" w:type="dxa"/>
          </w:tcPr>
          <w:p>
            <w:pPr>
              <w:pStyle w:val="Compact"/>
              <w:jc w:val="left"/>
            </w:pPr>
            <w:r>
              <w:rPr>
                <w:b/>
                <w:color w:val="FFFFFF"/>
                <w:sz w:val="18"/>
              </w:rPr>
              <w:t xml:space="preserve">Commitment</w:t>
            </w:r>
          </w:p>
        </w:tc>
        <w:tc>
          <w:tcPr>
            <w:shd w:val="clear" w:color="auto" w:fill="1B3A6B"/>
            <w:tcW w:w="3570" w:type="dxa"/>
          </w:tcPr>
          <w:p>
            <w:pPr>
              <w:pStyle w:val="Compact"/>
              <w:jc w:val="left"/>
            </w:pPr>
            <w:r>
              <w:rPr>
                <w:b/>
                <w:color w:val="FFFFFF"/>
                <w:sz w:val="18"/>
              </w:rPr>
              <w:t xml:space="preserve">What it requires</w:t>
            </w:r>
          </w:p>
        </w:tc>
        <w:tc>
          <w:tcPr>
            <w:shd w:val="clear" w:color="auto" w:fill="1B3A6B"/>
            <w:tcW w:w="1365" w:type="dxa"/>
          </w:tcPr>
          <w:p>
            <w:pPr>
              <w:pStyle w:val="Compact"/>
              <w:jc w:val="left"/>
            </w:pPr>
            <w:r>
              <w:rPr>
                <w:b/>
                <w:color w:val="FFFFFF"/>
                <w:sz w:val="18"/>
              </w:rPr>
              <w:t xml:space="preserve">Timeline</w:t>
            </w:r>
          </w:p>
        </w:tc>
        <w:tc>
          <w:tcPr>
            <w:shd w:val="clear" w:color="auto" w:fill="1B3A6B"/>
            <w:tcW w:w="2565" w:type="dxa"/>
          </w:tcPr>
          <w:p>
            <w:pPr>
              <w:pStyle w:val="Compact"/>
              <w:jc w:val="left"/>
            </w:pPr>
            <w:r>
              <w:rPr>
                <w:b/>
                <w:color w:val="FFFFFF"/>
                <w:sz w:val="18"/>
              </w:rPr>
              <w:t xml:space="preserve">Primary vehicle</w:t>
            </w:r>
          </w:p>
        </w:tc>
      </w:tr>
      <w:tr>
        <w:trPr>
          <w:cantSplit/>
        </w:trPr>
        <w:tc>
          <w:tcPr>
            <w:tcW w:w="1560" w:type="dxa"/>
          </w:tcPr>
          <w:p>
            <w:pPr>
              <w:pStyle w:val="Compact"/>
              <w:jc w:val="left"/>
            </w:pPr>
            <w:r>
              <w:rPr>
                <w:sz w:val="18"/>
              </w:rPr>
              <w:t xml:space="preserve">Universal Blueprint PCMH coverage</w:t>
            </w:r>
          </w:p>
        </w:tc>
        <w:tc>
          <w:tcPr>
            <w:tcW w:w="3570"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Blueprint expansion; AHEAD PC primary care recruitment; RHT workforce investment</w:t>
            </w:r>
          </w:p>
        </w:tc>
      </w:tr>
      <w:tr>
        <w:trPr/>
        <w:tc>
          <w:tcPr>
            <w:tcW w:w="1560" w:type="dxa"/>
          </w:tcPr>
          <w:p>
            <w:pPr>
              <w:pStyle w:val="Compact"/>
              <w:jc w:val="left"/>
            </w:pPr>
            <w:r>
              <w:rPr>
                <w:sz w:val="18"/>
              </w:rPr>
              <w:t xml:space="preserve">Behavioral health integration at every PCMH</w:t>
            </w:r>
          </w:p>
        </w:tc>
        <w:tc>
          <w:tcPr>
            <w:tcW w:w="3570"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MHI permanent funding through AHEAD EAST Fund; CCBHC partnerships; BHCM workforce training through RHT Program</w:t>
            </w:r>
          </w:p>
        </w:tc>
      </w:tr>
      <w:tr>
        <w:trPr/>
        <w:tc>
          <w:tcPr>
            <w:tcW w:w="1560" w:type="dxa"/>
          </w:tcPr>
          <w:p>
            <w:pPr>
              <w:pStyle w:val="Compact"/>
              <w:jc w:val="left"/>
            </w:pPr>
            <w:r>
              <w:rPr>
                <w:sz w:val="18"/>
              </w:rPr>
              <w:t xml:space="preserve">CCBHC network covering all HSAs</w:t>
            </w:r>
          </w:p>
        </w:tc>
        <w:tc>
          <w:tcPr>
            <w:tcW w:w="3570"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365" w:type="dxa"/>
          </w:tcPr>
          <w:p>
            <w:pPr>
              <w:pStyle w:val="Compact"/>
              <w:jc w:val="left"/>
            </w:pPr>
            <w:r>
              <w:rPr>
                <w:sz w:val="18"/>
              </w:rPr>
              <w:t xml:space="preserve">2026 (5 new CCBHCs) through 2028</w:t>
            </w:r>
          </w:p>
        </w:tc>
        <w:tc>
          <w:tcPr>
            <w:tcW w:w="2565" w:type="dxa"/>
          </w:tcPr>
          <w:p>
            <w:pPr>
              <w:pStyle w:val="Compact"/>
              <w:jc w:val="left"/>
            </w:pPr>
            <w:r>
              <w:rPr>
                <w:sz w:val="18"/>
              </w:rPr>
              <w:t xml:space="preserve">CCBHC Demonstration State enhanced Medicaid; RHT Program funding; Act 68 grants</w:t>
            </w:r>
          </w:p>
        </w:tc>
      </w:tr>
      <w:tr>
        <w:trPr/>
        <w:tc>
          <w:tcPr>
            <w:tcW w:w="1560" w:type="dxa"/>
          </w:tcPr>
          <w:p>
            <w:pPr>
              <w:pStyle w:val="Compact"/>
              <w:jc w:val="left"/>
            </w:pPr>
            <w:r>
              <w:rPr>
                <w:sz w:val="18"/>
              </w:rPr>
              <w:t xml:space="preserve">PACE program development</w:t>
            </w:r>
          </w:p>
        </w:tc>
        <w:tc>
          <w:tcPr>
            <w:tcW w:w="3570"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365" w:type="dxa"/>
          </w:tcPr>
          <w:p>
            <w:pPr>
              <w:pStyle w:val="Compact"/>
              <w:jc w:val="left"/>
            </w:pPr>
            <w:r>
              <w:rPr>
                <w:sz w:val="18"/>
              </w:rPr>
              <w:t xml:space="preserve">2026-2028 (feasibility and launch)</w:t>
            </w:r>
          </w:p>
        </w:tc>
        <w:tc>
          <w:tcPr>
            <w:tcW w:w="2565" w:type="dxa"/>
          </w:tcPr>
          <w:p>
            <w:pPr>
              <w:pStyle w:val="Compact"/>
              <w:jc w:val="left"/>
            </w:pPr>
            <w:r>
              <w:rPr>
                <w:sz w:val="18"/>
              </w:rPr>
              <w:t xml:space="preserve">AHEAD EAST Fund; RHT long-term care infrastructure investment; Medicaid PACE program rules</w:t>
            </w:r>
          </w:p>
        </w:tc>
      </w:tr>
      <w:tr>
        <w:trPr>
          <w:cantSplit/>
        </w:trPr>
        <w:tc>
          <w:tcPr>
            <w:tcW w:w="1560" w:type="dxa"/>
          </w:tcPr>
          <w:p>
            <w:pPr>
              <w:pStyle w:val="Compact"/>
              <w:jc w:val="left"/>
            </w:pPr>
            <w:r>
              <w:rPr>
                <w:sz w:val="18"/>
              </w:rPr>
              <w:t xml:space="preserve">Dementia care infrastructure</w:t>
            </w:r>
          </w:p>
        </w:tc>
        <w:tc>
          <w:tcPr>
            <w:tcW w:w="3570"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365" w:type="dxa"/>
          </w:tcPr>
          <w:p>
            <w:pPr>
              <w:pStyle w:val="Compact"/>
              <w:jc w:val="left"/>
            </w:pPr>
            <w:r>
              <w:rPr>
                <w:sz w:val="18"/>
              </w:rPr>
              <w:t xml:space="preserve">2026-2030</w:t>
            </w:r>
          </w:p>
        </w:tc>
        <w:tc>
          <w:tcPr>
            <w:tcW w:w="2565"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keepNext w:val="false"/>
      </w:pPr>
      <w:r>
        <w:rPr>
          <w:color w:val="161B22"/>
        </w:rPr>
        <w:t xml:space="preserve">8.8  </w:t>
      </w:r>
      <w:bookmarkStart w:id="1248" w:name="_Toc1247"/>
      <w:r>
        <w:rPr>
          <w:b/>
          <w:bCs/>
          <w:color w:val="161B22"/>
        </w:rPr>
        <w:t xml:space="preserve">Work This Chapter on the Platform</w:t>
      </w:r>
      <w:bookmarkEnd w:id="1248"/>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9" w:name="_Toc1248"/>
      <w:r>
        <w:rPr>
          <w:b/>
          <w:bCs/>
          <w:color w:val="161B22"/>
        </w:rPr>
        <w:t xml:space="preserve">Implications for You</w:t>
      </w:r>
      <w:bookmarkEnd w:id="1249"/>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Heading2"/>
        <w:pBdr>
          <w:top w:val="single" w:sz="6" w:space="10" w:color="C9D2DF"/>
        </w:pBdr>
      </w:pPr>
      <w:r>
        <w:rPr>
          <w:color w:val="161B22"/>
        </w:rPr>
        <w:t xml:space="preserve">8.10  </w:t>
      </w:r>
      <w:bookmarkStart w:id="1250" w:name="_Toc1249"/>
      <w:r>
        <w:rPr>
          <w:b/>
          <w:bCs/>
          <w:color w:val="161B22"/>
        </w:rPr>
        <w:t xml:space="preserve">Key Concepts in This Chapter</w:t>
      </w:r>
      <w:bookmarkEnd w:id="1250"/>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1" w:name="_Toc1250"/>
      <w:r>
        <w:rPr>
          <w:b/>
          <w:bCs/>
          <w:color w:val="161B22"/>
        </w:rPr>
        <w:t xml:space="preserve">Chapter 9: The Clinical Pillar in Practice — Care Model Implementation, Quality Mechanics, and the Vermont Clinical Transformation Toolkit</w:t>
      </w:r>
      <w:bookmarkEnd w:id="125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2" w:name="_Toc1251"/>
      <w:r>
        <w:rPr>
          <w:b/>
          <w:bCs/>
          <w:color w:val="161B22"/>
        </w:rPr>
        <w:t xml:space="preserve">From Clinical Architecture to Clinical Practice</w:t>
      </w:r>
      <w:bookmarkEnd w:id="1252"/>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3" w:name="_Toc1252"/>
      <w:r>
        <w:rPr>
          <w:b/>
          <w:bCs/>
          <w:color w:val="161B22"/>
        </w:rPr>
        <w:t xml:space="preserve">PCMH Transformation — The Blueprint Practice Implementation Playbook</w:t>
      </w:r>
      <w:bookmarkEnd w:id="1253"/>
    </w:p>
    <w:p>
      <w:pPr>
        <w:pStyle w:val="Heading3"/>
      </w:pPr>
      <w:r>
        <w:rPr>
          <w:color w:val="161B22"/>
        </w:rPr>
        <w:t xml:space="preserve">9.2.1  </w:t>
      </w:r>
      <w:bookmarkStart w:id="1254" w:name="_Toc1253"/>
      <w:r>
        <w:rPr>
          <w:b/>
          <w:bCs/>
          <w:color w:val="161B22"/>
        </w:rPr>
        <w:t xml:space="preserve">The Blueprint PCMH Recognition Process — What It Actually Requires</w:t>
      </w:r>
      <w:bookmarkEnd w:id="1254"/>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1905"/>
        <w:gridCol w:w="3465"/>
        <w:gridCol w:w="3690"/>
      </w:tblGrid>
      <w:tr>
        <w:trPr>
          <w:tblHeader w:val="on"/>
          <w:cantSplit/>
        </w:trPr>
        <w:tc>
          <w:tcPr>
            <w:shd w:val="clear" w:color="auto" w:fill="1B3A6B"/>
            <w:tcW w:w="1905" w:type="dxa"/>
          </w:tcPr>
          <w:p>
            <w:pPr>
              <w:pStyle w:val="Compact"/>
              <w:jc w:val="left"/>
            </w:pPr>
            <w:r>
              <w:rPr>
                <w:b/>
                <w:color w:val="FFFFFF"/>
                <w:sz w:val="18"/>
              </w:rPr>
              <w:t xml:space="preserve">Concept Area</w:t>
            </w:r>
          </w:p>
        </w:tc>
        <w:tc>
          <w:tcPr>
            <w:shd w:val="clear" w:color="auto" w:fill="1B3A6B"/>
            <w:tcW w:w="3465" w:type="dxa"/>
          </w:tcPr>
          <w:p>
            <w:pPr>
              <w:pStyle w:val="Compact"/>
              <w:jc w:val="left"/>
            </w:pPr>
            <w:r>
              <w:rPr>
                <w:b/>
                <w:color w:val="FFFFFF"/>
                <w:sz w:val="18"/>
              </w:rPr>
              <w:t xml:space="preserve">What it requires operationally</w:t>
            </w:r>
          </w:p>
        </w:tc>
        <w:tc>
          <w:tcPr>
            <w:shd w:val="clear" w:color="auto" w:fill="1B3A6B"/>
            <w:tcW w:w="3690" w:type="dxa"/>
          </w:tcPr>
          <w:p>
            <w:pPr>
              <w:pStyle w:val="Compact"/>
              <w:jc w:val="left"/>
            </w:pPr>
            <w:r>
              <w:rPr>
                <w:b/>
                <w:color w:val="FFFFFF"/>
                <w:sz w:val="18"/>
              </w:rPr>
              <w:t xml:space="preserve">Vermont implementation challenge</w:t>
            </w:r>
          </w:p>
        </w:tc>
      </w:tr>
      <w:tr>
        <w:trPr>
          <w:cantSplit/>
        </w:trPr>
        <w:tc>
          <w:tcPr>
            <w:tcW w:w="1905" w:type="dxa"/>
          </w:tcPr>
          <w:p>
            <w:pPr>
              <w:pStyle w:val="Compact"/>
              <w:jc w:val="left"/>
            </w:pPr>
            <w:r>
              <w:rPr>
                <w:sz w:val="18"/>
              </w:rPr>
              <w:t xml:space="preserve">Team-Based Care and Practice Organization</w:t>
            </w:r>
          </w:p>
        </w:tc>
        <w:tc>
          <w:tcPr>
            <w:tcW w:w="3465"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690"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1905" w:type="dxa"/>
          </w:tcPr>
          <w:p>
            <w:pPr>
              <w:pStyle w:val="Compact"/>
              <w:jc w:val="left"/>
            </w:pPr>
            <w:r>
              <w:rPr>
                <w:sz w:val="18"/>
              </w:rPr>
              <w:t xml:space="preserve">Knowing and Managing Your Patients</w:t>
            </w:r>
          </w:p>
        </w:tc>
        <w:tc>
          <w:tcPr>
            <w:tcW w:w="3465"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690"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1905" w:type="dxa"/>
          </w:tcPr>
          <w:p>
            <w:pPr>
              <w:pStyle w:val="Compact"/>
              <w:jc w:val="left"/>
            </w:pPr>
            <w:r>
              <w:rPr>
                <w:sz w:val="18"/>
              </w:rPr>
              <w:t xml:space="preserve">Patient-Centered Access and Continuity</w:t>
            </w:r>
          </w:p>
        </w:tc>
        <w:tc>
          <w:tcPr>
            <w:tcW w:w="3465" w:type="dxa"/>
          </w:tcPr>
          <w:p>
            <w:pPr>
              <w:pStyle w:val="Compact"/>
              <w:jc w:val="left"/>
            </w:pPr>
            <w:r>
              <w:rPr>
                <w:sz w:val="18"/>
              </w:rPr>
              <w:t xml:space="preserve">Same-day appointments for urgent needs; 24/7 access for patient advice; continuity with personal physician; timely communication response</w:t>
            </w:r>
          </w:p>
        </w:tc>
        <w:tc>
          <w:tcPr>
            <w:tcW w:w="3690"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1905" w:type="dxa"/>
          </w:tcPr>
          <w:p>
            <w:pPr>
              <w:pStyle w:val="Compact"/>
              <w:jc w:val="left"/>
            </w:pPr>
            <w:r>
              <w:rPr>
                <w:sz w:val="18"/>
              </w:rPr>
              <w:t xml:space="preserve">Care Management and Support</w:t>
            </w:r>
          </w:p>
        </w:tc>
        <w:tc>
          <w:tcPr>
            <w:tcW w:w="3465"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690"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1905" w:type="dxa"/>
          </w:tcPr>
          <w:p>
            <w:pPr>
              <w:pStyle w:val="Compact"/>
              <w:jc w:val="left"/>
            </w:pPr>
            <w:r>
              <w:rPr>
                <w:sz w:val="18"/>
              </w:rPr>
              <w:t xml:space="preserve">Care Coordination and Care Transitions</w:t>
            </w:r>
          </w:p>
        </w:tc>
        <w:tc>
          <w:tcPr>
            <w:tcW w:w="3465"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690"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1905" w:type="dxa"/>
          </w:tcPr>
          <w:p>
            <w:pPr>
              <w:pStyle w:val="Compact"/>
              <w:jc w:val="left"/>
            </w:pPr>
            <w:r>
              <w:rPr>
                <w:sz w:val="18"/>
              </w:rPr>
              <w:t xml:space="preserve">Performance Measurement and Quality Improvement</w:t>
            </w:r>
          </w:p>
        </w:tc>
        <w:tc>
          <w:tcPr>
            <w:tcW w:w="3465"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690"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5" w:name="_Toc1254"/>
      <w:r>
        <w:rPr>
          <w:b/>
          <w:bCs/>
          <w:color w:val="161B22"/>
        </w:rPr>
        <w:t xml:space="preserve">The Blueprint Field Staff Model — Vermont’s Practice Transformation Infrastructure</w:t>
      </w:r>
      <w:bookmarkEnd w:id="1255"/>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6" w:name="_Toc1255"/>
      <w:r>
        <w:rPr>
          <w:b/>
          <w:bCs/>
          <w:color w:val="161B22"/>
        </w:rPr>
        <w:t xml:space="preserve">The Practice Panel: Right-Sizing and Risk Stratification</w:t>
      </w:r>
      <w:bookmarkEnd w:id="1256"/>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990"/>
        <w:gridCol w:w="750"/>
        <w:gridCol w:w="3435"/>
        <w:gridCol w:w="3915"/>
      </w:tblGrid>
      <w:tr>
        <w:trPr>
          <w:tblHeader w:val="on"/>
          <w:cantSplit/>
        </w:trPr>
        <w:tc>
          <w:tcPr>
            <w:shd w:val="clear" w:color="auto" w:fill="1B3A6B"/>
            <w:tcW w:w="990" w:type="dxa"/>
          </w:tcPr>
          <w:p>
            <w:pPr>
              <w:pStyle w:val="Compact"/>
              <w:jc w:val="left"/>
            </w:pPr>
            <w:r>
              <w:rPr>
                <w:b/>
                <w:color w:val="FFFFFF"/>
                <w:sz w:val="18"/>
              </w:rPr>
              <w:t xml:space="preserve">Tier</w:t>
            </w:r>
          </w:p>
        </w:tc>
        <w:tc>
          <w:tcPr>
            <w:shd w:val="clear" w:color="auto" w:fill="1B3A6B"/>
            <w:tcW w:w="750" w:type="dxa"/>
          </w:tcPr>
          <w:p>
            <w:pPr>
              <w:pStyle w:val="Compact"/>
              <w:jc w:val="left"/>
            </w:pPr>
            <w:r>
              <w:rPr>
                <w:b/>
                <w:color w:val="FFFFFF"/>
                <w:sz w:val="18"/>
              </w:rPr>
              <w:t xml:space="preserve">% of Panel</w:t>
            </w:r>
          </w:p>
        </w:tc>
        <w:tc>
          <w:tcPr>
            <w:shd w:val="clear" w:color="auto" w:fill="1B3A6B"/>
            <w:tcW w:w="3435" w:type="dxa"/>
          </w:tcPr>
          <w:p>
            <w:pPr>
              <w:pStyle w:val="Compact"/>
              <w:jc w:val="left"/>
            </w:pPr>
            <w:r>
              <w:rPr>
                <w:b/>
                <w:color w:val="FFFFFF"/>
                <w:sz w:val="18"/>
              </w:rPr>
              <w:t xml:space="preserve">Characteristics</w:t>
            </w:r>
          </w:p>
        </w:tc>
        <w:tc>
          <w:tcPr>
            <w:shd w:val="clear" w:color="auto" w:fill="1B3A6B"/>
            <w:tcW w:w="3915" w:type="dxa"/>
          </w:tcPr>
          <w:p>
            <w:pPr>
              <w:pStyle w:val="Compact"/>
              <w:jc w:val="left"/>
            </w:pPr>
            <w:r>
              <w:rPr>
                <w:b/>
                <w:color w:val="FFFFFF"/>
                <w:sz w:val="18"/>
              </w:rPr>
              <w:t xml:space="preserve">Care Model</w:t>
            </w:r>
          </w:p>
        </w:tc>
      </w:tr>
      <w:tr>
        <w:trPr>
          <w:cantSplit/>
        </w:trPr>
        <w:tc>
          <w:tcPr>
            <w:tcW w:w="990" w:type="dxa"/>
          </w:tcPr>
          <w:p>
            <w:pPr>
              <w:pStyle w:val="Compact"/>
              <w:jc w:val="left"/>
            </w:pPr>
            <w:r>
              <w:rPr>
                <w:sz w:val="18"/>
              </w:rPr>
              <w:t xml:space="preserve">Tier 1 — Complex</w:t>
            </w:r>
          </w:p>
        </w:tc>
        <w:tc>
          <w:tcPr>
            <w:tcW w:w="750" w:type="dxa"/>
          </w:tcPr>
          <w:p>
            <w:pPr>
              <w:pStyle w:val="Compact"/>
              <w:jc w:val="left"/>
            </w:pPr>
            <w:r>
              <w:rPr>
                <w:sz w:val="18"/>
              </w:rPr>
              <w:t xml:space="preserve">3-5%</w:t>
            </w:r>
          </w:p>
        </w:tc>
        <w:tc>
          <w:tcPr>
            <w:tcW w:w="3435" w:type="dxa"/>
          </w:tcPr>
          <w:p>
            <w:pPr>
              <w:pStyle w:val="Compact"/>
              <w:jc w:val="left"/>
            </w:pPr>
            <w:r>
              <w:rPr>
                <w:sz w:val="18"/>
              </w:rPr>
              <w:t xml:space="preserve">Multiple chronic conditions, high prior utilization, behavioral health and SDOH needs, frailty</w:t>
            </w:r>
          </w:p>
        </w:tc>
        <w:tc>
          <w:tcPr>
            <w:tcW w:w="3915" w:type="dxa"/>
          </w:tcPr>
          <w:p>
            <w:pPr>
              <w:pStyle w:val="Compact"/>
              <w:jc w:val="left"/>
            </w:pPr>
            <w:r>
              <w:rPr>
                <w:sz w:val="18"/>
              </w:rPr>
              <w:t xml:space="preserve">Intensive care management: CHT assignment, care plan, regular outreach, direct care manager relationship</w:t>
            </w:r>
          </w:p>
        </w:tc>
      </w:tr>
      <w:tr>
        <w:trPr/>
        <w:tc>
          <w:tcPr>
            <w:tcW w:w="990" w:type="dxa"/>
          </w:tcPr>
          <w:p>
            <w:pPr>
              <w:pStyle w:val="Compact"/>
              <w:jc w:val="left"/>
            </w:pPr>
            <w:r>
              <w:rPr>
                <w:sz w:val="18"/>
              </w:rPr>
              <w:t xml:space="preserve">Tier 2 — Moderate Risk</w:t>
            </w:r>
          </w:p>
        </w:tc>
        <w:tc>
          <w:tcPr>
            <w:tcW w:w="750" w:type="dxa"/>
          </w:tcPr>
          <w:p>
            <w:pPr>
              <w:pStyle w:val="Compact"/>
              <w:jc w:val="left"/>
            </w:pPr>
            <w:r>
              <w:rPr>
                <w:sz w:val="18"/>
              </w:rPr>
              <w:t xml:space="preserve">15-20%</w:t>
            </w:r>
          </w:p>
        </w:tc>
        <w:tc>
          <w:tcPr>
            <w:tcW w:w="3435" w:type="dxa"/>
          </w:tcPr>
          <w:p>
            <w:pPr>
              <w:pStyle w:val="Compact"/>
              <w:jc w:val="left"/>
            </w:pPr>
            <w:r>
              <w:rPr>
                <w:sz w:val="18"/>
              </w:rPr>
              <w:t xml:space="preserve">One or two chronic conditions with management challenges, behavioral health needs, recent hospitalization or ED visit</w:t>
            </w:r>
          </w:p>
        </w:tc>
        <w:tc>
          <w:tcPr>
            <w:tcW w:w="3915" w:type="dxa"/>
          </w:tcPr>
          <w:p>
            <w:pPr>
              <w:pStyle w:val="Compact"/>
              <w:jc w:val="left"/>
            </w:pPr>
            <w:r>
              <w:rPr>
                <w:sz w:val="18"/>
              </w:rPr>
              <w:t xml:space="preserve">Proactive chronic disease management: care gap outreach, behavioral health integration, medication management</w:t>
            </w:r>
          </w:p>
        </w:tc>
      </w:tr>
      <w:tr>
        <w:trPr/>
        <w:tc>
          <w:tcPr>
            <w:tcW w:w="990" w:type="dxa"/>
          </w:tcPr>
          <w:p>
            <w:pPr>
              <w:pStyle w:val="Compact"/>
              <w:jc w:val="left"/>
            </w:pPr>
            <w:r>
              <w:rPr>
                <w:sz w:val="18"/>
              </w:rPr>
              <w:t xml:space="preserve">Tier 3 — Standard</w:t>
            </w:r>
          </w:p>
        </w:tc>
        <w:tc>
          <w:tcPr>
            <w:tcW w:w="750" w:type="dxa"/>
          </w:tcPr>
          <w:p>
            <w:pPr>
              <w:pStyle w:val="Compact"/>
              <w:jc w:val="left"/>
            </w:pPr>
            <w:r>
              <w:rPr>
                <w:sz w:val="18"/>
              </w:rPr>
              <w:t xml:space="preserve">50-60%</w:t>
            </w:r>
          </w:p>
        </w:tc>
        <w:tc>
          <w:tcPr>
            <w:tcW w:w="3435" w:type="dxa"/>
          </w:tcPr>
          <w:p>
            <w:pPr>
              <w:pStyle w:val="Compact"/>
              <w:jc w:val="left"/>
            </w:pPr>
            <w:r>
              <w:rPr>
                <w:sz w:val="18"/>
              </w:rPr>
              <w:t xml:space="preserve">Healthy or stable chronic conditions, routine preventive needs</w:t>
            </w:r>
          </w:p>
        </w:tc>
        <w:tc>
          <w:tcPr>
            <w:tcW w:w="3915" w:type="dxa"/>
          </w:tcPr>
          <w:p>
            <w:pPr>
              <w:pStyle w:val="Compact"/>
              <w:jc w:val="left"/>
            </w:pPr>
            <w:r>
              <w:rPr>
                <w:sz w:val="18"/>
              </w:rPr>
              <w:t xml:space="preserve">Preventive care: annual wellness visit, immunizations, screening, health coaching</w:t>
            </w:r>
          </w:p>
        </w:tc>
      </w:tr>
      <w:tr>
        <w:trPr>
          <w:cantSplit/>
        </w:trPr>
        <w:tc>
          <w:tcPr>
            <w:tcW w:w="990" w:type="dxa"/>
          </w:tcPr>
          <w:p>
            <w:pPr>
              <w:pStyle w:val="Compact"/>
              <w:jc w:val="left"/>
            </w:pPr>
            <w:r>
              <w:rPr>
                <w:sz w:val="18"/>
              </w:rPr>
              <w:t xml:space="preserve">Tier 4 — Inactive</w:t>
            </w:r>
          </w:p>
        </w:tc>
        <w:tc>
          <w:tcPr>
            <w:tcW w:w="750" w:type="dxa"/>
          </w:tcPr>
          <w:p>
            <w:pPr>
              <w:pStyle w:val="Compact"/>
              <w:jc w:val="left"/>
            </w:pPr>
            <w:r>
              <w:rPr>
                <w:sz w:val="18"/>
              </w:rPr>
              <w:t xml:space="preserve">20-30%</w:t>
            </w:r>
          </w:p>
        </w:tc>
        <w:tc>
          <w:tcPr>
            <w:tcW w:w="3435" w:type="dxa"/>
          </w:tcPr>
          <w:p>
            <w:pPr>
              <w:pStyle w:val="Compact"/>
              <w:jc w:val="left"/>
            </w:pPr>
            <w:r>
              <w:rPr>
                <w:sz w:val="18"/>
              </w:rPr>
              <w:t xml:space="preserve">Attributed but not engaged with practice; may be accessing care elsewhere or not at all</w:t>
            </w:r>
          </w:p>
        </w:tc>
        <w:tc>
          <w:tcPr>
            <w:tcW w:w="3915"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57" w:name="_Toc1256"/>
      <w:r>
        <w:rPr>
          <w:b/>
          <w:bCs/>
          <w:color w:val="161B22"/>
        </w:rPr>
        <w:t xml:space="preserve">Deploying the Collaborative Care Model — Operational Requirements</w:t>
      </w:r>
      <w:bookmarkEnd w:id="1257"/>
    </w:p>
    <w:p>
      <w:pPr>
        <w:pStyle w:val="Heading3"/>
      </w:pPr>
      <w:r>
        <w:rPr>
          <w:color w:val="161B22"/>
        </w:rPr>
        <w:t xml:space="preserve">9.3.1  </w:t>
      </w:r>
      <w:bookmarkStart w:id="1258" w:name="_Toc1257"/>
      <w:r>
        <w:rPr>
          <w:b/>
          <w:bCs/>
          <w:color w:val="161B22"/>
        </w:rPr>
        <w:t xml:space="preserve">Site Readiness Assessment</w:t>
      </w:r>
      <w:bookmarkEnd w:id="1258"/>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9" w:name="_Toc1258"/>
      <w:r>
        <w:rPr>
          <w:b/>
          <w:bCs/>
          <w:color w:val="161B22"/>
        </w:rPr>
        <w:t xml:space="preserve">The Psychiatric Consultation Model — Vermont’s Workforce Solution</w:t>
      </w:r>
      <w:bookmarkEnd w:id="1259"/>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60" w:name="_Toc1259"/>
      <w:r>
        <w:rPr>
          <w:b/>
          <w:bCs/>
          <w:color w:val="161B22"/>
        </w:rPr>
        <w:t xml:space="preserve">The BHCM Workforce Pipeline</w:t>
      </w:r>
      <w:bookmarkEnd w:id="1260"/>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650"/>
        <w:gridCol w:w="1260"/>
        <w:gridCol w:w="2925"/>
        <w:gridCol w:w="3225"/>
      </w:tblGrid>
      <w:tr>
        <w:trPr>
          <w:tblHeader w:val="on"/>
          <w:cantSplit/>
        </w:trPr>
        <w:tc>
          <w:tcPr>
            <w:shd w:val="clear" w:color="auto" w:fill="1B3A6B"/>
            <w:tcW w:w="1650" w:type="dxa"/>
          </w:tcPr>
          <w:p>
            <w:pPr>
              <w:pStyle w:val="Compact"/>
              <w:jc w:val="left"/>
            </w:pPr>
            <w:r>
              <w:rPr>
                <w:b/>
                <w:color w:val="FFFFFF"/>
                <w:sz w:val="18"/>
              </w:rPr>
              <w:t xml:space="preserve">CoCM Component</w:t>
            </w:r>
          </w:p>
        </w:tc>
        <w:tc>
          <w:tcPr>
            <w:shd w:val="clear" w:color="auto" w:fill="1B3A6B"/>
            <w:tcW w:w="1260" w:type="dxa"/>
          </w:tcPr>
          <w:p>
            <w:pPr>
              <w:pStyle w:val="Compact"/>
              <w:jc w:val="left"/>
            </w:pPr>
            <w:r>
              <w:rPr>
                <w:b/>
                <w:color w:val="FFFFFF"/>
                <w:sz w:val="18"/>
              </w:rPr>
              <w:t xml:space="preserve">Role</w:t>
            </w:r>
          </w:p>
        </w:tc>
        <w:tc>
          <w:tcPr>
            <w:shd w:val="clear" w:color="auto" w:fill="1B3A6B"/>
            <w:tcW w:w="2925" w:type="dxa"/>
          </w:tcPr>
          <w:p>
            <w:pPr>
              <w:pStyle w:val="Compact"/>
              <w:jc w:val="left"/>
            </w:pPr>
            <w:r>
              <w:rPr>
                <w:b/>
                <w:color w:val="FFFFFF"/>
                <w:sz w:val="18"/>
              </w:rPr>
              <w:t xml:space="preserve">What they do</w:t>
            </w:r>
          </w:p>
        </w:tc>
        <w:tc>
          <w:tcPr>
            <w:shd w:val="clear" w:color="auto" w:fill="1B3A6B"/>
            <w:tcW w:w="3225" w:type="dxa"/>
          </w:tcPr>
          <w:p>
            <w:pPr>
              <w:pStyle w:val="Compact"/>
              <w:jc w:val="left"/>
            </w:pPr>
            <w:r>
              <w:rPr>
                <w:b/>
                <w:color w:val="FFFFFF"/>
                <w:sz w:val="18"/>
              </w:rPr>
              <w:t xml:space="preserve">Vermont application</w:t>
            </w:r>
          </w:p>
        </w:tc>
      </w:tr>
      <w:tr>
        <w:trPr>
          <w:cantSplit/>
        </w:trPr>
        <w:tc>
          <w:tcPr>
            <w:tcW w:w="1650" w:type="dxa"/>
          </w:tcPr>
          <w:p>
            <w:pPr>
              <w:pStyle w:val="Compact"/>
              <w:jc w:val="left"/>
            </w:pPr>
            <w:r>
              <w:rPr>
                <w:sz w:val="18"/>
              </w:rPr>
              <w:t xml:space="preserve">Primary Care Provider (PCP)</w:t>
            </w:r>
          </w:p>
        </w:tc>
        <w:tc>
          <w:tcPr>
            <w:tcW w:w="1260" w:type="dxa"/>
          </w:tcPr>
          <w:p>
            <w:pPr>
              <w:pStyle w:val="Compact"/>
              <w:jc w:val="left"/>
            </w:pPr>
            <w:r>
              <w:rPr>
                <w:sz w:val="18"/>
              </w:rPr>
              <w:t xml:space="preserve">Treating and billing provider</w:t>
            </w:r>
          </w:p>
        </w:tc>
        <w:tc>
          <w:tcPr>
            <w:tcW w:w="2925" w:type="dxa"/>
          </w:tcPr>
          <w:p>
            <w:pPr>
              <w:pStyle w:val="Compact"/>
              <w:jc w:val="left"/>
            </w:pPr>
            <w:r>
              <w:rPr>
                <w:sz w:val="18"/>
              </w:rPr>
              <w:t xml:space="preserve">Identifies patients through validated screening (PHQ-9, GAD-7); refers to BHCM; provides warm handoffs; bills CoCM codes monthly</w:t>
            </w:r>
          </w:p>
        </w:tc>
        <w:tc>
          <w:tcPr>
            <w:tcW w:w="322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50" w:type="dxa"/>
          </w:tcPr>
          <w:p>
            <w:pPr>
              <w:pStyle w:val="Compact"/>
              <w:jc w:val="left"/>
            </w:pPr>
            <w:r>
              <w:rPr>
                <w:sz w:val="18"/>
              </w:rPr>
              <w:t xml:space="preserve">Behavioral Health Care Manager (BHCM)</w:t>
            </w:r>
          </w:p>
        </w:tc>
        <w:tc>
          <w:tcPr>
            <w:tcW w:w="1260" w:type="dxa"/>
          </w:tcPr>
          <w:p>
            <w:pPr>
              <w:pStyle w:val="Compact"/>
              <w:jc w:val="left"/>
            </w:pPr>
            <w:r>
              <w:rPr>
                <w:sz w:val="18"/>
              </w:rPr>
              <w:t xml:space="preserve">Day-to-day care coordinator</w:t>
            </w:r>
          </w:p>
        </w:tc>
        <w:tc>
          <w:tcPr>
            <w:tcW w:w="2925"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22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50" w:type="dxa"/>
          </w:tcPr>
          <w:p>
            <w:pPr>
              <w:pStyle w:val="Compact"/>
              <w:jc w:val="left"/>
            </w:pPr>
            <w:r>
              <w:rPr>
                <w:sz w:val="18"/>
              </w:rPr>
              <w:t xml:space="preserve">Psychiatric Consultant</w:t>
            </w:r>
          </w:p>
        </w:tc>
        <w:tc>
          <w:tcPr>
            <w:tcW w:w="1260" w:type="dxa"/>
          </w:tcPr>
          <w:p>
            <w:pPr>
              <w:pStyle w:val="Compact"/>
              <w:jc w:val="left"/>
            </w:pPr>
            <w:r>
              <w:rPr>
                <w:sz w:val="18"/>
              </w:rPr>
              <w:t xml:space="preserve">Clinical supervision</w:t>
            </w:r>
          </w:p>
        </w:tc>
        <w:tc>
          <w:tcPr>
            <w:tcW w:w="2925"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322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1" w:name="_Toc1260"/>
      <w:r>
        <w:rPr>
          <w:b/>
          <w:bCs/>
          <w:color w:val="161B22"/>
        </w:rPr>
        <w:t xml:space="preserve">HEDIS Improvement Methodology — Vermont Context</w:t>
      </w:r>
      <w:bookmarkEnd w:id="1261"/>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2" w:name="_Toc1261"/>
      <w:r>
        <w:rPr>
          <w:b/>
          <w:bCs/>
          <w:color w:val="161B22"/>
        </w:rPr>
        <w:t xml:space="preserve">The Five-Step HEDIS Improvement Framework</w:t>
      </w:r>
      <w:bookmarkEnd w:id="1262"/>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3" w:name="_Toc1262"/>
      <w:r>
        <w:rPr>
          <w:b/>
          <w:bCs/>
          <w:color w:val="161B22"/>
        </w:rPr>
        <w:t xml:space="preserve">Vermont-Specific HEDIS Opportunity Areas</w:t>
      </w:r>
      <w:bookmarkEnd w:id="1263"/>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4" w:name="_Toc1263"/>
      <w:r>
        <w:rPr>
          <w:b/>
          <w:bCs/>
          <w:color w:val="161B22"/>
        </w:rPr>
        <w:t xml:space="preserve">The Clinical Data Infrastructure — Connecting Care to Population Health Management</w:t>
      </w:r>
      <w:bookmarkEnd w:id="1264"/>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5" w:name="_Toc1264"/>
      <w:r>
        <w:rPr>
          <w:b/>
          <w:bCs/>
          <w:color w:val="161B22"/>
        </w:rPr>
        <w:t xml:space="preserve">Vermont’s Three-Step Clinical Data Model</w:t>
      </w:r>
      <w:bookmarkEnd w:id="1265"/>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6" w:name="_Toc1265"/>
      <w:r>
        <w:rPr>
          <w:b/>
          <w:bCs/>
          <w:color w:val="161B22"/>
        </w:rPr>
        <w:t xml:space="preserve">HCC Coding Excellence — The Clinical Pillar’s Financial Foundation</w:t>
      </w:r>
      <w:bookmarkEnd w:id="1266"/>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7" w:name="_Toc1266"/>
      <w:r>
        <w:rPr>
          <w:b/>
          <w:bCs/>
          <w:color w:val="161B22"/>
        </w:rPr>
        <w:t xml:space="preserve">The Care Transition Protocol — Closing the Loop Between Hospital and Community</w:t>
      </w:r>
      <w:bookmarkEnd w:id="1267"/>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8" w:name="_Toc1267"/>
      <w:r>
        <w:rPr>
          <w:b/>
          <w:bCs/>
          <w:color w:val="161B22"/>
        </w:rPr>
        <w:t xml:space="preserve">Clinical Leadership in Transformation — The Under-Resourced Pillar</w:t>
      </w:r>
      <w:bookmarkEnd w:id="1268"/>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9" w:name="_Toc1268"/>
      <w:r>
        <w:rPr>
          <w:b/>
          <w:bCs/>
          <w:color w:val="161B22"/>
        </w:rPr>
        <w:t xml:space="preserve">Clinical Pillar Implementation Commitments for AHS’s Statewide Strategic Plan</w:t>
      </w:r>
      <w:bookmarkEnd w:id="1269"/>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025"/>
        <w:gridCol w:w="3840"/>
        <w:gridCol w:w="1245"/>
        <w:gridCol w:w="1965"/>
      </w:tblGrid>
      <w:tr>
        <w:trPr>
          <w:tblHeader w:val="on"/>
          <w:cantSplit/>
        </w:trPr>
        <w:tc>
          <w:tcPr>
            <w:shd w:val="clear" w:color="auto" w:fill="1B3A6B"/>
            <w:tcW w:w="2025" w:type="dxa"/>
          </w:tcPr>
          <w:p>
            <w:pPr>
              <w:pStyle w:val="Compact"/>
              <w:jc w:val="left"/>
            </w:pPr>
            <w:r>
              <w:rPr>
                <w:b/>
                <w:color w:val="FFFFFF"/>
                <w:sz w:val="18"/>
              </w:rPr>
              <w:t xml:space="preserve">Commitment</w:t>
            </w:r>
          </w:p>
        </w:tc>
        <w:tc>
          <w:tcPr>
            <w:shd w:val="clear" w:color="auto" w:fill="1B3A6B"/>
            <w:tcW w:w="3840" w:type="dxa"/>
          </w:tcPr>
          <w:p>
            <w:pPr>
              <w:pStyle w:val="Compact"/>
              <w:jc w:val="left"/>
            </w:pPr>
            <w:r>
              <w:rPr>
                <w:b/>
                <w:color w:val="FFFFFF"/>
                <w:sz w:val="18"/>
              </w:rPr>
              <w:t xml:space="preserve">Operational Requirement</w:t>
            </w:r>
          </w:p>
        </w:tc>
        <w:tc>
          <w:tcPr>
            <w:shd w:val="clear" w:color="auto" w:fill="1B3A6B"/>
            <w:tcW w:w="1245" w:type="dxa"/>
          </w:tcPr>
          <w:p>
            <w:pPr>
              <w:pStyle w:val="Compact"/>
              <w:jc w:val="left"/>
            </w:pPr>
            <w:r>
              <w:rPr>
                <w:b/>
                <w:color w:val="FFFFFF"/>
                <w:sz w:val="18"/>
              </w:rPr>
              <w:t xml:space="preserve">Timeline</w:t>
            </w:r>
          </w:p>
        </w:tc>
        <w:tc>
          <w:tcPr>
            <w:shd w:val="clear" w:color="auto" w:fill="1B3A6B"/>
            <w:tcW w:w="1965" w:type="dxa"/>
          </w:tcPr>
          <w:p>
            <w:pPr>
              <w:pStyle w:val="Compact"/>
              <w:jc w:val="left"/>
            </w:pPr>
            <w:r>
              <w:rPr>
                <w:b/>
                <w:color w:val="FFFFFF"/>
                <w:sz w:val="18"/>
              </w:rPr>
              <w:t xml:space="preserve">Primary Vehicle</w:t>
            </w:r>
          </w:p>
        </w:tc>
      </w:tr>
      <w:tr>
        <w:trPr>
          <w:cantSplit/>
        </w:trPr>
        <w:tc>
          <w:tcPr>
            <w:tcW w:w="2025" w:type="dxa"/>
          </w:tcPr>
          <w:p>
            <w:pPr>
              <w:pStyle w:val="Compact"/>
              <w:jc w:val="left"/>
            </w:pPr>
            <w:r>
              <w:rPr>
                <w:sz w:val="18"/>
              </w:rPr>
              <w:t xml:space="preserve">PCMH transformation support for all Vermont primary care practices</w:t>
            </w:r>
          </w:p>
        </w:tc>
        <w:tc>
          <w:tcPr>
            <w:tcW w:w="384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Blueprint program; DVHA; AHEAD implementation team</w:t>
            </w:r>
          </w:p>
        </w:tc>
      </w:tr>
      <w:tr>
        <w:trPr/>
        <w:tc>
          <w:tcPr>
            <w:tcW w:w="2025" w:type="dxa"/>
          </w:tcPr>
          <w:p>
            <w:pPr>
              <w:pStyle w:val="Compact"/>
              <w:jc w:val="left"/>
            </w:pPr>
            <w:r>
              <w:rPr>
                <w:sz w:val="18"/>
              </w:rPr>
              <w:t xml:space="preserve">CoCM deployment at every PCMH practice</w:t>
            </w:r>
          </w:p>
        </w:tc>
        <w:tc>
          <w:tcPr>
            <w:tcW w:w="3840" w:type="dxa"/>
          </w:tcPr>
          <w:p>
            <w:pPr>
              <w:pStyle w:val="Compact"/>
              <w:jc w:val="left"/>
            </w:pPr>
            <w:r>
              <w:rPr>
                <w:sz w:val="18"/>
              </w:rPr>
              <w:t xml:space="preserve">BHCM workforce training funded; telepsychiatry consultation network established; CoCM billing infrastructure in place at all Blueprint practices</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MHI permanent funding through AHEAD EAST Fund; RHT Program; CCBHC partnerships</w:t>
            </w:r>
          </w:p>
        </w:tc>
      </w:tr>
      <w:tr>
        <w:trPr/>
        <w:tc>
          <w:tcPr>
            <w:tcW w:w="2025" w:type="dxa"/>
          </w:tcPr>
          <w:p>
            <w:pPr>
              <w:pStyle w:val="Compact"/>
              <w:jc w:val="left"/>
            </w:pPr>
            <w:r>
              <w:rPr>
                <w:sz w:val="18"/>
              </w:rPr>
              <w:t xml:space="preserve">Structured data capture standards across all Vermont primary care</w:t>
            </w:r>
          </w:p>
        </w:tc>
        <w:tc>
          <w:tcPr>
            <w:tcW w:w="384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data infrastructure; GMCB analytics vendor; VITL</w:t>
            </w:r>
          </w:p>
        </w:tc>
      </w:tr>
      <w:tr>
        <w:trPr/>
        <w:tc>
          <w:tcPr>
            <w:tcW w:w="2025" w:type="dxa"/>
          </w:tcPr>
          <w:p>
            <w:pPr>
              <w:pStyle w:val="Compact"/>
              <w:jc w:val="left"/>
            </w:pPr>
            <w:r>
              <w:rPr>
                <w:sz w:val="18"/>
              </w:rPr>
              <w:t xml:space="preserve">Care transition protocols at all Vermont hospitals for Blueprint-attributed patients</w:t>
            </w:r>
          </w:p>
        </w:tc>
        <w:tc>
          <w:tcPr>
            <w:tcW w:w="384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CHT model; VITL infrastructure; DVHA quality targets</w:t>
            </w:r>
          </w:p>
        </w:tc>
      </w:tr>
      <w:tr>
        <w:trPr>
          <w:cantSplit/>
        </w:trPr>
        <w:tc>
          <w:tcPr>
            <w:tcW w:w="2025" w:type="dxa"/>
          </w:tcPr>
          <w:p>
            <w:pPr>
              <w:pStyle w:val="Compact"/>
              <w:jc w:val="left"/>
            </w:pPr>
            <w:r>
              <w:rPr>
                <w:sz w:val="18"/>
              </w:rPr>
              <w:t xml:space="preserve">Clinical leader engagement in AHEAD governance and Statewide Strategic Plan development</w:t>
            </w:r>
          </w:p>
        </w:tc>
        <w:tc>
          <w:tcPr>
            <w:tcW w:w="384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70" w:name="_Toc1269"/>
      <w:r>
        <w:rPr>
          <w:b/>
          <w:bCs/>
          <w:color w:val="161B22"/>
        </w:rPr>
        <w:t xml:space="preserve">Clinical Pillar Implementation Matrix</w:t>
      </w:r>
      <w:bookmarkEnd w:id="1270"/>
    </w:p>
    <w:p>
      <w:pPr>
        <w:pStyle w:val="FirstParagraph"/>
        <w:keepNext w:val="false"/>
      </w:pPr>
      <w: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Caption"/>
        <w:spacing w:before="120"/>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keepNext w:val="false"/>
      </w:pPr>
      <w:r>
        <w:rPr>
          <w:color w:val="161B22"/>
        </w:rPr>
        <w:t xml:space="preserve">9.10  </w:t>
      </w:r>
      <w:bookmarkStart w:id="1271" w:name="_Toc1270"/>
      <w:r>
        <w:rPr>
          <w:b/>
          <w:bCs/>
          <w:color w:val="161B22"/>
        </w:rPr>
        <w:t xml:space="preserve">Work This Chapter on the Platform</w:t>
      </w:r>
      <w:bookmarkEnd w:id="1271"/>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72" w:name="_Toc1271"/>
      <w:r>
        <w:rPr>
          <w:b/>
          <w:bCs/>
          <w:color w:val="161B22"/>
        </w:rPr>
        <w:t xml:space="preserve">Implications for You</w:t>
      </w:r>
      <w:bookmarkEnd w:id="1272"/>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Heading2"/>
        <w:pBdr>
          <w:top w:val="single" w:sz="6" w:space="10" w:color="C9D2DF"/>
        </w:pBdr>
      </w:pPr>
      <w:r>
        <w:rPr>
          <w:color w:val="161B22"/>
        </w:rPr>
        <w:t xml:space="preserve">9.12  </w:t>
      </w:r>
      <w:bookmarkStart w:id="1273" w:name="_Toc1272"/>
      <w:r>
        <w:rPr>
          <w:b/>
          <w:bCs/>
          <w:color w:val="161B22"/>
        </w:rPr>
        <w:t xml:space="preserve">Key Concepts in This Chapter</w:t>
      </w:r>
      <w:bookmarkEnd w:id="1273"/>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4" w:name="_Toc1273"/>
      <w:r>
        <w:rPr>
          <w:b/>
          <w:bCs/>
          <w:color w:val="161B22"/>
        </w:rPr>
        <w:t xml:space="preserve">Chapter 10: The Equity Pillar — Closing Gaps, Not Just Averaging Them</w:t>
      </w:r>
      <w:bookmarkEnd w:id="12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5" w:name="_Toc1274"/>
      <w:r>
        <w:rPr>
          <w:b/>
          <w:bCs/>
          <w:color w:val="161B22"/>
        </w:rPr>
        <w:t xml:space="preserve">The Equity Pillar: Why Average Outcomes Are the Wrong Target</w:t>
      </w:r>
      <w:bookmarkEnd w:id="1275"/>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6" w:name="_Toc1275"/>
      <w:r>
        <w:rPr>
          <w:b/>
          <w:bCs/>
          <w:color w:val="161B22"/>
        </w:rPr>
        <w:t xml:space="preserve">Vermont’s Equity Landscape — What the Data Shows</w:t>
      </w:r>
      <w:bookmarkEnd w:id="1276"/>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7" w:name="_Toc1276"/>
      <w:r>
        <w:rPr>
          <w:b/>
          <w:bCs/>
          <w:color w:val="161B22"/>
        </w:rPr>
        <w:t xml:space="preserve">Geographic Equity: The Rural-Urban Divide</w:t>
      </w:r>
      <w:bookmarkEnd w:id="1277"/>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8" w:name="_Toc1277"/>
      <w:r>
        <w:rPr>
          <w:b/>
          <w:bCs/>
          <w:color w:val="161B22"/>
        </w:rPr>
        <w:t xml:space="preserve">Racial and Demographic Equity</w:t>
      </w:r>
      <w:bookmarkEnd w:id="1278"/>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9" w:name="_Toc1278"/>
      <w:r>
        <w:rPr>
          <w:b/>
          <w:bCs/>
          <w:color w:val="161B22"/>
        </w:rPr>
        <w:t xml:space="preserve">The SDOH Burden</w:t>
      </w:r>
      <w:bookmarkEnd w:id="1279"/>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275"/>
        <w:gridCol w:w="3795"/>
        <w:gridCol w:w="4005"/>
      </w:tblGrid>
      <w:tr>
        <w:trPr>
          <w:tblHeader w:val="on"/>
          <w:cantSplit/>
        </w:trPr>
        <w:tc>
          <w:tcPr>
            <w:shd w:val="clear" w:color="auto" w:fill="1B3A6B"/>
            <w:tcW w:w="1275" w:type="dxa"/>
          </w:tcPr>
          <w:p>
            <w:pPr>
              <w:pStyle w:val="Compact"/>
              <w:jc w:val="left"/>
            </w:pPr>
            <w:r>
              <w:rPr>
                <w:b/>
                <w:color w:val="FFFFFF"/>
                <w:sz w:val="18"/>
              </w:rPr>
              <w:t xml:space="preserve">SDOH domain</w:t>
            </w:r>
          </w:p>
        </w:tc>
        <w:tc>
          <w:tcPr>
            <w:shd w:val="clear" w:color="auto" w:fill="1B3A6B"/>
            <w:tcW w:w="3795" w:type="dxa"/>
          </w:tcPr>
          <w:p>
            <w:pPr>
              <w:pStyle w:val="Compact"/>
              <w:jc w:val="left"/>
            </w:pPr>
            <w:r>
              <w:rPr>
                <w:b/>
                <w:color w:val="FFFFFF"/>
                <w:sz w:val="18"/>
              </w:rPr>
              <w:t xml:space="preserve">Vermont statistic</w:t>
            </w:r>
          </w:p>
        </w:tc>
        <w:tc>
          <w:tcPr>
            <w:shd w:val="clear" w:color="auto" w:fill="1B3A6B"/>
            <w:tcW w:w="4005" w:type="dxa"/>
          </w:tcPr>
          <w:p>
            <w:pPr>
              <w:pStyle w:val="Compact"/>
              <w:jc w:val="left"/>
            </w:pPr>
            <w:r>
              <w:rPr>
                <w:b/>
                <w:color w:val="FFFFFF"/>
                <w:sz w:val="18"/>
              </w:rPr>
              <w:t xml:space="preserve">Equity implication</w:t>
            </w:r>
          </w:p>
        </w:tc>
      </w:tr>
      <w:tr>
        <w:trPr>
          <w:cantSplit/>
        </w:trPr>
        <w:tc>
          <w:tcPr>
            <w:tcW w:w="1275" w:type="dxa"/>
          </w:tcPr>
          <w:p>
            <w:pPr>
              <w:pStyle w:val="Compact"/>
              <w:jc w:val="left"/>
            </w:pPr>
            <w:r>
              <w:rPr>
                <w:sz w:val="18"/>
              </w:rPr>
              <w:t xml:space="preserve">Housing</w:t>
            </w:r>
          </w:p>
        </w:tc>
        <w:tc>
          <w:tcPr>
            <w:tcW w:w="3795" w:type="dxa"/>
          </w:tcPr>
          <w:p>
            <w:pPr>
              <w:pStyle w:val="Compact"/>
              <w:jc w:val="left"/>
            </w:pPr>
            <w:r>
              <w:rPr>
                <w:sz w:val="18"/>
              </w:rPr>
              <w:t xml:space="preserve">Rental vacancy rate 3% (healthy market = 5%); half of Vermont renters cost-burdened; per capita homelessness rate second highest nationally</w:t>
            </w:r>
          </w:p>
        </w:tc>
        <w:tc>
          <w:tcPr>
            <w:tcW w:w="4005"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275" w:type="dxa"/>
          </w:tcPr>
          <w:p>
            <w:pPr>
              <w:pStyle w:val="Compact"/>
              <w:jc w:val="left"/>
            </w:pPr>
            <w:r>
              <w:rPr>
                <w:sz w:val="18"/>
              </w:rPr>
              <w:t xml:space="preserve">Broadband access</w:t>
            </w:r>
          </w:p>
        </w:tc>
        <w:tc>
          <w:tcPr>
            <w:tcW w:w="3795" w:type="dxa"/>
          </w:tcPr>
          <w:p>
            <w:pPr>
              <w:pStyle w:val="Compact"/>
              <w:jc w:val="left"/>
            </w:pPr>
            <w:r>
              <w:rPr>
                <w:sz w:val="18"/>
              </w:rPr>
              <w:t xml:space="preserve">80% of rural Vermonters have broadband; 14% of all Vermonters lack access</w:t>
            </w:r>
          </w:p>
        </w:tc>
        <w:tc>
          <w:tcPr>
            <w:tcW w:w="4005"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275" w:type="dxa"/>
          </w:tcPr>
          <w:p>
            <w:pPr>
              <w:pStyle w:val="Compact"/>
              <w:jc w:val="left"/>
            </w:pPr>
            <w:r>
              <w:rPr>
                <w:sz w:val="18"/>
              </w:rPr>
              <w:t xml:space="preserve">Food insecurity</w:t>
            </w:r>
          </w:p>
        </w:tc>
        <w:tc>
          <w:tcPr>
            <w:tcW w:w="3795" w:type="dxa"/>
          </w:tcPr>
          <w:p>
            <w:pPr>
              <w:pStyle w:val="Compact"/>
              <w:jc w:val="left"/>
            </w:pPr>
            <w:r>
              <w:rPr>
                <w:sz w:val="18"/>
              </w:rPr>
              <w:t xml:space="preserve">9% of Vermonters are food insecure</w:t>
            </w:r>
          </w:p>
        </w:tc>
        <w:tc>
          <w:tcPr>
            <w:tcW w:w="4005"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275" w:type="dxa"/>
          </w:tcPr>
          <w:p>
            <w:pPr>
              <w:pStyle w:val="Compact"/>
              <w:jc w:val="left"/>
            </w:pPr>
            <w:r>
              <w:rPr>
                <w:sz w:val="18"/>
              </w:rPr>
              <w:t xml:space="preserve">Transportation</w:t>
            </w:r>
          </w:p>
        </w:tc>
        <w:tc>
          <w:tcPr>
            <w:tcW w:w="3795" w:type="dxa"/>
          </w:tcPr>
          <w:p>
            <w:pPr>
              <w:pStyle w:val="Compact"/>
              <w:jc w:val="left"/>
            </w:pPr>
            <w:r>
              <w:rPr>
                <w:sz w:val="18"/>
              </w:rPr>
              <w:t xml:space="preserve">Public transportation limited or unreliable in most rural counties, particularly Northeast Kingdom and Rutland County</w:t>
            </w:r>
          </w:p>
        </w:tc>
        <w:tc>
          <w:tcPr>
            <w:tcW w:w="4005"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275" w:type="dxa"/>
          </w:tcPr>
          <w:p>
            <w:pPr>
              <w:pStyle w:val="Compact"/>
              <w:jc w:val="left"/>
            </w:pPr>
            <w:r>
              <w:rPr>
                <w:sz w:val="18"/>
              </w:rPr>
              <w:t xml:space="preserve">Income</w:t>
            </w:r>
          </w:p>
        </w:tc>
        <w:tc>
          <w:tcPr>
            <w:tcW w:w="3795" w:type="dxa"/>
          </w:tcPr>
          <w:p>
            <w:pPr>
              <w:pStyle w:val="Compact"/>
              <w:jc w:val="left"/>
            </w:pPr>
            <w:r>
              <w:rPr>
                <w:sz w:val="18"/>
              </w:rPr>
              <w:t xml:space="preserve">Rural counties (Essex, Windham, Orleans) report higher poverty rates; Northeast Kingdom has highest unemployment</w:t>
            </w:r>
          </w:p>
        </w:tc>
        <w:tc>
          <w:tcPr>
            <w:tcW w:w="4005"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80" w:name="_Toc1279"/>
      <w:r>
        <w:rPr>
          <w:b/>
          <w:bCs/>
          <w:color w:val="161B22"/>
        </w:rPr>
        <w:t xml:space="preserve">The Disparity Root Cause Taxonomy — Why Vermont’s Equity Gaps Exist</w:t>
      </w:r>
      <w:bookmarkEnd w:id="1280"/>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spacing w:before="0" w:after="0" w:line="240" w:lineRule="auto"/>
              <w:jc w:val="left"/>
            </w:pPr>
            <w:r>
              <w:rPr>
                <w:b/>
                <w:color w:val="FFFFFF"/>
                <w:sz w:val="17"/>
              </w:rPr>
              <w:t xml:space="preserve">Root cause category</w:t>
            </w:r>
          </w:p>
        </w:tc>
        <w:tc>
          <w:tcPr>
            <w:shd w:val="clear" w:color="auto" w:fill="1B3A6B"/>
            <w:tcW w:w="5852" w:type="dxa"/>
          </w:tcPr>
          <w:p>
            <w:pPr>
              <w:pStyle w:val="Compact"/>
              <w:spacing w:before="0" w:after="0" w:line="240" w:lineRule="auto"/>
              <w:jc w:val="left"/>
            </w:pPr>
            <w:r>
              <w:rPr>
                <w:b/>
                <w:color w:val="FFFFFF"/>
                <w:sz w:val="17"/>
              </w:rPr>
              <w:t xml:space="preserve">Mechanisms and Vermont interventions</w:t>
            </w:r>
          </w:p>
        </w:tc>
      </w:tr>
      <w:tr>
        <w:trPr>
          <w:cantSplit/>
        </w:trPr>
        <w:tc>
          <w:tcPr>
            <w:tcW w:w="3219" w:type="dxa"/>
          </w:tcPr>
          <w:p>
            <w:pPr>
              <w:pStyle w:val="Compact"/>
              <w:spacing w:before="0" w:after="0" w:line="240" w:lineRule="auto"/>
              <w:jc w:val="left"/>
            </w:pPr>
            <w:r>
              <w:rPr>
                <w:sz w:val="17"/>
              </w:rPr>
              <w:t xml:space="preserve">1 Geographic Access Barriers</w:t>
            </w:r>
          </w:p>
        </w:tc>
        <w:tc>
          <w:tcPr>
            <w:tcW w:w="5852" w:type="dxa"/>
          </w:tcPr>
          <w:p>
            <w:pPr>
              <w:pStyle w:val="Compact"/>
              <w:spacing w:before="0" w:after="0" w:line="240" w:lineRule="auto"/>
              <w:jc w:val="left"/>
            </w:pPr>
            <w:r>
              <w:rPr>
                <w:sz w:val="17"/>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r>
        <w:trPr/>
        <w:tc>
          <w:tcPr>
            <w:tcW w:w="3219" w:type="dxa"/>
          </w:tcPr>
          <w:p>
            <w:pPr>
              <w:pStyle w:val="Compact"/>
              <w:spacing w:before="0" w:after="0" w:line="240" w:lineRule="auto"/>
              <w:jc w:val="left"/>
            </w:pPr>
            <w:r>
              <w:rPr>
                <w:sz w:val="17"/>
              </w:rPr>
              <w:t xml:space="preserve">2 Social Needs Barriers</w:t>
            </w:r>
          </w:p>
        </w:tc>
        <w:tc>
          <w:tcPr>
            <w:tcW w:w="5852" w:type="dxa"/>
          </w:tcPr>
          <w:p>
            <w:pPr>
              <w:pStyle w:val="Compact"/>
              <w:spacing w:before="0" w:after="0" w:line="240" w:lineRule="auto"/>
              <w:jc w:val="left"/>
            </w:pPr>
            <w:r>
              <w:rPr>
                <w:sz w:val="17"/>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r>
        <w:trPr/>
        <w:tc>
          <w:tcPr>
            <w:tcW w:w="3219" w:type="dxa"/>
          </w:tcPr>
          <w:p>
            <w:pPr>
              <w:pStyle w:val="Compact"/>
              <w:spacing w:before="0" w:after="0" w:line="240" w:lineRule="auto"/>
              <w:jc w:val="left"/>
            </w:pPr>
            <w:r>
              <w:rPr>
                <w:sz w:val="17"/>
              </w:rPr>
              <w:t xml:space="preserve">3 Clinical Practice Variation</w:t>
            </w:r>
          </w:p>
        </w:tc>
        <w:tc>
          <w:tcPr>
            <w:tcW w:w="5852" w:type="dxa"/>
          </w:tcPr>
          <w:p>
            <w:pPr>
              <w:pStyle w:val="Compact"/>
              <w:spacing w:before="0" w:after="0" w:line="240" w:lineRule="auto"/>
              <w:jc w:val="left"/>
            </w:pPr>
            <w:r>
              <w:rPr>
                <w:sz w:val="17"/>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r>
        <w:trPr/>
        <w:tc>
          <w:tcPr>
            <w:tcW w:w="3219" w:type="dxa"/>
          </w:tcPr>
          <w:p>
            <w:pPr>
              <w:pStyle w:val="Compact"/>
              <w:spacing w:before="0" w:after="0" w:line="240" w:lineRule="auto"/>
              <w:jc w:val="left"/>
            </w:pPr>
            <w:r>
              <w:rPr>
                <w:sz w:val="17"/>
              </w:rPr>
              <w:t xml:space="preserve">4 Insurance and Coverage Barriers</w:t>
            </w:r>
          </w:p>
        </w:tc>
        <w:tc>
          <w:tcPr>
            <w:tcW w:w="5852" w:type="dxa"/>
          </w:tcPr>
          <w:p>
            <w:pPr>
              <w:pStyle w:val="Compact"/>
              <w:spacing w:before="0" w:after="0" w:line="240" w:lineRule="auto"/>
              <w:jc w:val="left"/>
            </w:pPr>
            <w:r>
              <w:rPr>
                <w:sz w:val="17"/>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r>
        <w:trPr>
          <w:cantSplit/>
        </w:trPr>
        <w:tc>
          <w:tcPr>
            <w:tcW w:w="3219" w:type="dxa"/>
          </w:tcPr>
          <w:p>
            <w:pPr>
              <w:pStyle w:val="Compact"/>
              <w:spacing w:before="0" w:after="0" w:line="240" w:lineRule="auto"/>
              <w:jc w:val="left"/>
            </w:pPr>
            <w:r>
              <w:rPr>
                <w:sz w:val="17"/>
              </w:rPr>
              <w:t xml:space="preserve">5 Trust and Engagement Barriers</w:t>
            </w:r>
          </w:p>
        </w:tc>
        <w:tc>
          <w:tcPr>
            <w:tcW w:w="5852" w:type="dxa"/>
          </w:tcPr>
          <w:p>
            <w:pPr>
              <w:pStyle w:val="Compact"/>
              <w:spacing w:before="0" w:after="0" w:line="240" w:lineRule="auto"/>
              <w:jc w:val="left"/>
            </w:pPr>
            <w:r>
              <w:rPr>
                <w:sz w:val="17"/>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Caption"/>
        <w:spacing w:before="120"/>
      </w:pPr>
      <w:r>
        <w:rPr>
          <w:i/>
          <w:iCs/>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1" w:name="_Toc1280"/>
      <w:r>
        <w:rPr>
          <w:b/>
          <w:bCs/>
          <w:color w:val="161B22"/>
        </w:rPr>
        <w:t xml:space="preserve">Rural Equity — Vermont’s Defining Challenge</w:t>
      </w:r>
      <w:bookmarkEnd w:id="1281"/>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2" w:name="_Toc1281"/>
      <w:r>
        <w:rPr>
          <w:b/>
          <w:bCs/>
          <w:color w:val="161B22"/>
        </w:rPr>
        <w:t xml:space="preserve">The Northeast Kingdom: Vermont’s Equity Priority</w:t>
      </w:r>
      <w:bookmarkEnd w:id="1282"/>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83" w:name="_Toc1282"/>
      <w:r>
        <w:rPr>
          <w:b/>
          <w:bCs/>
          <w:color w:val="161B22"/>
        </w:rPr>
        <w:t xml:space="preserve">The GLP-1 Access Crisis — The Most Important New Equity Issue</w:t>
      </w:r>
      <w:bookmarkEnd w:id="1283"/>
    </w:p>
    <w:p>
      <w:pPr>
        <w:pStyle w:val="Heading3"/>
      </w:pPr>
      <w:r>
        <w:rPr>
          <w:color w:val="161B22"/>
        </w:rPr>
        <w:t xml:space="preserve">10.5.1  </w:t>
      </w:r>
      <w:bookmarkStart w:id="1284" w:name="_Toc1283"/>
      <w:r>
        <w:rPr>
          <w:b/>
          <w:bCs/>
          <w:color w:val="161B22"/>
        </w:rPr>
        <w:t xml:space="preserve">The GLP-1 Access Crisis — The Most Important New Equity Issue</w:t>
      </w:r>
      <w:bookmarkEnd w:id="1284"/>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5" w:name="_Toc1284"/>
      <w:r>
        <w:rPr>
          <w:b/>
          <w:bCs/>
          <w:color w:val="161B22"/>
        </w:rPr>
        <w:t xml:space="preserve">The BALANCE Model: A Partial Solution</w:t>
      </w:r>
      <w:bookmarkEnd w:id="1285"/>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6" w:name="_Toc1285"/>
      <w:r>
        <w:rPr>
          <w:b/>
          <w:bCs/>
          <w:color w:val="161B22"/>
        </w:rPr>
        <w:t xml:space="preserve">The GLP-1 Equity Implication for Vermont’s Transformation</w:t>
      </w:r>
      <w:bookmarkEnd w:id="1286"/>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7" w:name="_Toc1286"/>
      <w:r>
        <w:rPr>
          <w:b/>
          <w:bCs/>
          <w:color w:val="161B22"/>
        </w:rPr>
        <w:t xml:space="preserve">Vermont’s Equity Architecture — What Is Already Built and What Remains</w:t>
      </w:r>
      <w:bookmarkEnd w:id="1287"/>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8" w:name="_Toc1287"/>
      <w:r>
        <w:rPr>
          <w:b/>
          <w:bCs/>
          <w:color w:val="161B22"/>
        </w:rPr>
        <w:t xml:space="preserve">What Is Already Operational</w:t>
      </w:r>
      <w:bookmarkEnd w:id="1288"/>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9" w:name="_Toc1288"/>
      <w:r>
        <w:rPr>
          <w:b/>
          <w:bCs/>
          <w:color w:val="161B22"/>
        </w:rPr>
        <w:t xml:space="preserve">What Must Be Built</w:t>
      </w:r>
      <w:bookmarkEnd w:id="1289"/>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10.4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90" w:name="_Toc1289"/>
      <w:r>
        <w:rPr>
          <w:b/>
          <w:bCs/>
          <w:color w:val="161B22"/>
        </w:rPr>
        <w:t xml:space="preserve">Equity and the Six-Pillar Framework — How Every Pillar Has an Equity Dimension</w:t>
      </w:r>
      <w:bookmarkEnd w:id="1290"/>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10.5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91" w:name="_Toc1290"/>
      <w:r>
        <w:rPr>
          <w:b/>
          <w:bCs/>
          <w:color w:val="161B22"/>
        </w:rPr>
        <w:t xml:space="preserve">Vermont’s Equity Accountability Framework</w:t>
      </w:r>
      <w:bookmarkEnd w:id="1291"/>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10.6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2" w:name="_Toc1291"/>
      <w:r>
        <w:rPr>
          <w:b/>
          <w:bCs/>
          <w:color w:val="161B22"/>
        </w:rPr>
        <w:t xml:space="preserve">Work This Chapter on the Platform</w:t>
      </w:r>
      <w:bookmarkEnd w:id="1292"/>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93" w:name="_Toc1292"/>
      <w:r>
        <w:rPr>
          <w:b/>
          <w:bCs/>
          <w:color w:val="161B22"/>
        </w:rPr>
        <w:t xml:space="preserve">Implications for You</w:t>
      </w:r>
      <w:bookmarkEnd w:id="1293"/>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4" w:name="_Toc1293"/>
      <w:r>
        <w:rPr>
          <w:b/>
          <w:bCs/>
          <w:color w:val="161B22"/>
        </w:rPr>
        <w:t xml:space="preserve">Measuring Equity: HEROI, HEDIS Stratification, and VBC Safeguards</w:t>
      </w:r>
      <w:bookmarkEnd w:id="1294"/>
    </w:p>
    <w:p>
      <w:pPr>
        <w:pStyle w:val="Heading2"/>
        <w:pBdr>
          <w:top w:val="single" w:sz="6" w:space="10" w:color="C9D2DF"/>
        </w:pBdr>
      </w:pPr>
      <w:r>
        <w:rPr>
          <w:color w:val="161B22"/>
        </w:rPr>
        <w:t xml:space="preserve">10.12  </w:t>
      </w:r>
      <w:bookmarkStart w:id="1295" w:name="_Toc1294"/>
      <w:r>
        <w:rPr>
          <w:b/>
          <w:bCs/>
          <w:color w:val="161B22"/>
        </w:rPr>
        <w:t xml:space="preserve">From Identifying Disparities to Eliminating Them</w:t>
      </w:r>
      <w:bookmarkEnd w:id="1295"/>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6" w:name="_Toc1295"/>
      <w:r>
        <w:rPr>
          <w:b/>
          <w:bCs/>
          <w:color w:val="161B22"/>
        </w:rPr>
        <w:t xml:space="preserve">Stratified HEDIS Measurement — The Foundation of Equity Analytics</w:t>
      </w:r>
      <w:bookmarkEnd w:id="1296"/>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7" w:name="_Toc1296"/>
      <w:r>
        <w:rPr>
          <w:b/>
          <w:bCs/>
          <w:color w:val="161B22"/>
        </w:rPr>
        <w:t xml:space="preserve">The NCQA HEDIS Stratification Framework</w:t>
      </w:r>
      <w:bookmarkEnd w:id="1297"/>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Figure 10.7 — Vermont HEDIS equity stratification framework. Sources: NCQA HEDIS Technical Specifications; AHS Health Equity Data Report (January 2025); Blueprint for Health data.</w:t>
      </w:r>
    </w:p>
    <w:p>
      <w:pPr>
        <w:pStyle w:val="Heading2"/>
        <w:pBdr>
          <w:top w:val="single" w:sz="6" w:space="10" w:color="C9D2DF"/>
        </w:pBdr>
        <w:keepNext w:val="false"/>
      </w:pPr>
      <w:r>
        <w:rPr>
          <w:color w:val="161B22"/>
        </w:rPr>
        <w:t xml:space="preserve">10.14  </w:t>
      </w:r>
      <w:bookmarkStart w:id="1298" w:name="_Toc1297"/>
      <w:r>
        <w:rPr>
          <w:b/>
          <w:bCs/>
          <w:color w:val="161B22"/>
        </w:rPr>
        <w:t xml:space="preserve">Equity Pillar Implementation Matrix</w:t>
      </w:r>
      <w:bookmarkEnd w:id="1298"/>
    </w:p>
    <w:p>
      <w:pPr>
        <w:pStyle w:val="FirstParagraph"/>
        <w:keepNext w:val="false"/>
      </w:pPr>
      <w:r>
        <w:t xml:space="preserve">The following matrix provides implementation guidance for the key Equity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10.8 — Equity pillar implementation matrix. Sources: Vermont Department of Health Health Equity Data Report (January 2025); Act 68 of 2025.</w:t>
      </w:r>
    </w:p>
    <w:p>
      <w:pPr>
        <w:pStyle w:val="Heading3"/>
      </w:pPr>
      <w:r>
        <w:rPr>
          <w:color w:val="161B22"/>
        </w:rPr>
        <w:t xml:space="preserve">10.14.1  </w:t>
      </w:r>
      <w:bookmarkStart w:id="1299" w:name="_Toc1298"/>
      <w:r>
        <w:rPr>
          <w:b/>
          <w:bCs/>
          <w:color w:val="161B22"/>
        </w:rPr>
        <w:t xml:space="preserve">The Data Collection Challenge — Getting Demographic Data Right</w:t>
      </w:r>
      <w:bookmarkEnd w:id="1299"/>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300" w:name="_Toc1299"/>
      <w:r>
        <w:rPr>
          <w:b/>
          <w:bCs/>
          <w:color w:val="161B22"/>
        </w:rPr>
        <w:t xml:space="preserve">The HEROI Framework — A Composite Equity Score</w:t>
      </w:r>
      <w:bookmarkEnd w:id="1300"/>
    </w:p>
    <w:p>
      <w:pPr>
        <w:pStyle w:val="Heading3"/>
      </w:pPr>
      <w:r>
        <w:rPr>
          <w:color w:val="161B22"/>
        </w:rPr>
        <w:t xml:space="preserve">10.15.1  </w:t>
      </w:r>
      <w:bookmarkStart w:id="1301" w:name="_Toc1300"/>
      <w:r>
        <w:rPr>
          <w:b/>
          <w:bCs/>
          <w:color w:val="161B22"/>
        </w:rPr>
        <w:t xml:space="preserve">HEROI Composite Score — Five Dimensions</w:t>
      </w:r>
      <w:bookmarkEnd w:id="1301"/>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2" w:name="_Toc1301"/>
      <w:r>
        <w:rPr>
          <w:b/>
          <w:bCs/>
          <w:color w:val="161B22"/>
        </w:rPr>
        <w:t xml:space="preserve">HEROI Components</w:t>
      </w:r>
      <w:bookmarkEnd w:id="1302"/>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3" w:name="_Toc1302"/>
      <w:r>
        <w:rPr>
          <w:b/>
          <w:bCs/>
          <w:color w:val="161B22"/>
        </w:rPr>
        <w:t xml:space="preserve">Root Cause Analytics — Matching Interventions to Causes</w:t>
      </w:r>
      <w:bookmarkEnd w:id="1303"/>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4" w:name="_Toc1303"/>
      <w:r>
        <w:rPr>
          <w:b/>
          <w:bCs/>
          <w:color w:val="161B22"/>
        </w:rPr>
        <w:t xml:space="preserve">The Disparity Decomposition Method</w:t>
      </w:r>
      <w:bookmarkEnd w:id="1304"/>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5" w:name="_Toc1304"/>
      <w:r>
        <w:rPr>
          <w:b/>
          <w:bCs/>
          <w:color w:val="161B22"/>
        </w:rPr>
        <w:t xml:space="preserve">The Five-Step Disparity Closure Process</w:t>
      </w:r>
      <w:bookmarkEnd w:id="1305"/>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10.9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6" w:name="_Toc1305"/>
      <w:r>
        <w:rPr>
          <w:b/>
          <w:bCs/>
          <w:color w:val="161B22"/>
        </w:rPr>
        <w:t xml:space="preserve">Equity in VBC Contracting — Protecting Against Unintended Consequences</w:t>
      </w:r>
      <w:bookmarkEnd w:id="1306"/>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7" w:name="_Toc1306"/>
      <w:r>
        <w:rPr>
          <w:b/>
          <w:bCs/>
          <w:color w:val="161B22"/>
        </w:rPr>
        <w:t xml:space="preserve">Social Risk Adjustment — The Equity Design Requirement for VBC Contracts</w:t>
      </w:r>
      <w:bookmarkEnd w:id="1307"/>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8" w:name="_Toc1307"/>
      <w:r>
        <w:rPr>
          <w:b/>
          <w:bCs/>
          <w:color w:val="161B22"/>
        </w:rPr>
        <w:t xml:space="preserve">The VBC Equity Audit</w:t>
      </w:r>
      <w:bookmarkEnd w:id="1308"/>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9" w:name="_Toc1308"/>
      <w:r>
        <w:rPr>
          <w:b/>
          <w:bCs/>
          <w:color w:val="161B22"/>
        </w:rPr>
        <w:t xml:space="preserve">Vermont’s Population Health Equity Analytics Architecture</w:t>
      </w:r>
      <w:bookmarkEnd w:id="1309"/>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Figure 10.10 — Vermont equity analytics: current data sources by equity dimension. Sources: GMCB; VDH; Blueprint for Health; DVHA; AHS.</w:t>
      </w:r>
    </w:p>
    <w:p>
      <w:pPr>
        <w:pStyle w:val="Heading2"/>
        <w:pBdr>
          <w:top w:val="single" w:sz="6" w:space="10" w:color="C9D2DF"/>
        </w:pBdr>
      </w:pPr>
      <w:r>
        <w:rPr>
          <w:color w:val="161B22"/>
        </w:rPr>
        <w:t xml:space="preserve">10.19  </w:t>
      </w:r>
      <w:bookmarkStart w:id="1310" w:name="_Toc1309"/>
      <w:r>
        <w:rPr>
          <w:b/>
          <w:bCs/>
          <w:color w:val="161B22"/>
        </w:rPr>
        <w:t xml:space="preserve">Implications for You — Equity Measurement</w:t>
      </w:r>
      <w:bookmarkEnd w:id="1310"/>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Heading2"/>
        <w:pBdr>
          <w:top w:val="single" w:sz="6" w:space="10" w:color="C9D2DF"/>
        </w:pBdr>
      </w:pPr>
      <w:r>
        <w:rPr>
          <w:color w:val="161B22"/>
        </w:rPr>
        <w:t xml:space="preserve">10.20  </w:t>
      </w:r>
      <w:bookmarkStart w:id="1311" w:name="_Toc1310"/>
      <w:r>
        <w:rPr>
          <w:b/>
          <w:bCs/>
          <w:color w:val="161B22"/>
        </w:rPr>
        <w:t xml:space="preserve">Key Concepts in This Chapter</w:t>
      </w:r>
      <w:bookmarkEnd w:id="1311"/>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2" w:name="_Toc1311"/>
      <w:r>
        <w:rPr>
          <w:b/>
          <w:bCs/>
          <w:color w:val="161B22"/>
        </w:rPr>
        <w:t xml:space="preserve">Chapter 11: The Operations Pillar — Executing Hospital System Transformation</w:t>
      </w:r>
      <w:bookmarkEnd w:id="131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3" w:name="_Toc1312"/>
      <w:r>
        <w:rPr>
          <w:b/>
          <w:bCs/>
          <w:color w:val="161B22"/>
        </w:rPr>
        <w:t xml:space="preserve">The Operations Pillar: Where Strategy Meets Reality</w:t>
      </w:r>
      <w:bookmarkEnd w:id="1313"/>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4" w:name="_Toc1313"/>
      <w:r>
        <w:rPr>
          <w:b/>
          <w:bCs/>
          <w:color w:val="161B22"/>
        </w:rPr>
        <w:t xml:space="preserve">The Vermont Transformation Operating Model</w:t>
      </w:r>
      <w:bookmarkEnd w:id="1314"/>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5" w:name="_Toc1314"/>
      <w:r>
        <w:rPr>
          <w:b/>
          <w:bCs/>
          <w:color w:val="161B22"/>
        </w:rPr>
        <w:t xml:space="preserve">The Institutional Architecture</w:t>
      </w:r>
      <w:bookmarkEnd w:id="1315"/>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6" w:name="_Toc1315"/>
      <w:r>
        <w:rPr>
          <w:b/>
          <w:bCs/>
          <w:color w:val="161B22"/>
        </w:rPr>
        <w:t xml:space="preserve">The Transformation Planning Sequence</w:t>
      </w:r>
      <w:bookmarkEnd w:id="1316"/>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7" w:name="_Toc1316"/>
      <w:r>
        <w:rPr>
          <w:b/>
          <w:bCs/>
          <w:color w:val="161B22"/>
        </w:rPr>
        <w:t xml:space="preserve">The RHRC Methodology — Technical Assistance for Rural Hospital Transformation</w:t>
      </w:r>
      <w:bookmarkEnd w:id="1317"/>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8" w:name="_Toc1317"/>
      <w:r>
        <w:rPr>
          <w:b/>
          <w:bCs/>
          <w:color w:val="161B22"/>
        </w:rPr>
        <w:t xml:space="preserve">What RHRC Did</w:t>
      </w:r>
      <w:bookmarkEnd w:id="1318"/>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9" w:name="_Toc1318"/>
      <w:r>
        <w:rPr>
          <w:b/>
          <w:bCs/>
          <w:color w:val="161B22"/>
        </w:rPr>
        <w:t xml:space="preserve">RHRC’s Four Workstreams at Each Hospital</w:t>
      </w:r>
      <w:bookmarkEnd w:id="1319"/>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20" w:name="_Toc1319"/>
      <w:r>
        <w:rPr>
          <w:b/>
          <w:bCs/>
          <w:color w:val="161B22"/>
        </w:rPr>
        <w:t xml:space="preserve">The Analytics Gap and Its Resolution</w:t>
      </w:r>
      <w:bookmarkEnd w:id="1320"/>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21" w:name="_Toc1320"/>
      <w:r>
        <w:rPr>
          <w:b/>
          <w:bCs/>
          <w:color w:val="161B22"/>
        </w:rPr>
        <w:t xml:space="preserve">The Vermont Hospital Performance Dashboard — Where Each Hospital Stands</w:t>
      </w:r>
      <w:bookmarkEnd w:id="132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2" w:name="_Toc1321"/>
      <w:r>
        <w:rPr>
          <w:b/>
          <w:bCs/>
          <w:color w:val="161B22"/>
        </w:rPr>
        <w:t xml:space="preserve">Regionalization — The Operational Logic of Right-Sizing a 14-Hospital System</w:t>
      </w:r>
      <w:bookmarkEnd w:id="1322"/>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3" w:name="_Toc1322"/>
      <w:r>
        <w:rPr>
          <w:b/>
          <w:bCs/>
          <w:color w:val="161B22"/>
        </w:rPr>
        <w:t xml:space="preserve">The Regional Network Design Framework</w:t>
      </w:r>
      <w:bookmarkEnd w:id="1323"/>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4" w:name="_Toc1323"/>
      <w:r>
        <w:rPr>
          <w:b/>
          <w:bCs/>
          <w:color w:val="161B22"/>
        </w:rPr>
        <w:t xml:space="preserve">The Operational Mechanics of Regionalization</w:t>
      </w:r>
      <w:bookmarkEnd w:id="1324"/>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5" w:name="_Toc1324"/>
      <w:r>
        <w:rPr>
          <w:b/>
          <w:bCs/>
          <w:color w:val="161B22"/>
        </w:rPr>
        <w:t xml:space="preserve">The Workforce Crisis — Vermont’s Most Binding Operational Constraint</w:t>
      </w:r>
      <w:bookmarkEnd w:id="132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6" w:name="_Toc1325"/>
      <w:r>
        <w:rPr>
          <w:b/>
          <w:bCs/>
          <w:color w:val="161B22"/>
        </w:rPr>
        <w:t xml:space="preserve">The Dimensions of Vermont’s Workforce Crisis</w:t>
      </w:r>
      <w:bookmarkEnd w:id="1326"/>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7" w:name="_Toc1326"/>
      <w:r>
        <w:rPr>
          <w:b/>
          <w:bCs/>
          <w:color w:val="161B22"/>
        </w:rPr>
        <w:t xml:space="preserve">Vermont’s Workforce Strategy: The RHT Investment Framework</w:t>
      </w:r>
      <w:bookmarkEnd w:id="1327"/>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8" w:name="_Toc1327"/>
      <w:r>
        <w:rPr>
          <w:b/>
          <w:bCs/>
          <w:color w:val="161B22"/>
        </w:rPr>
        <w:t xml:space="preserve">RHT Workforce Investment Priorities</w:t>
      </w:r>
      <w:bookmarkEnd w:id="1328"/>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9" w:name="_Toc1328"/>
      <w:r>
        <w:rPr>
          <w:b/>
          <w:bCs/>
          <w:color w:val="161B22"/>
        </w:rPr>
        <w:t xml:space="preserve">The Operations Metrics Framework — What AHS Must Track</w:t>
      </w:r>
      <w:bookmarkEnd w:id="1329"/>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30" w:name="_Toc1329"/>
      <w:r>
        <w:rPr>
          <w:b/>
          <w:bCs/>
          <w:color w:val="161B22"/>
        </w:rPr>
        <w:t xml:space="preserve">AHS as System Operator — Organizational Design for the 2028 Mandate</w:t>
      </w:r>
      <w:bookmarkEnd w:id="1330"/>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31" w:name="_Toc1330"/>
      <w:r>
        <w:rPr>
          <w:b/>
          <w:bCs/>
          <w:color w:val="161B22"/>
        </w:rPr>
        <w:t xml:space="preserve">The Current Organizational Gaps</w:t>
      </w:r>
      <w:bookmarkEnd w:id="1331"/>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2" w:name="_Toc1331"/>
      <w:r>
        <w:rPr>
          <w:b/>
          <w:bCs/>
          <w:color w:val="161B22"/>
        </w:rPr>
        <w:t xml:space="preserve">The Emerging Solution: A Population Health Management Operating Model</w:t>
      </w:r>
      <w:bookmarkEnd w:id="1332"/>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3" w:name="_Toc1332"/>
      <w:r>
        <w:rPr>
          <w:b/>
          <w:bCs/>
          <w:color w:val="161B22"/>
        </w:rPr>
        <w:t xml:space="preserve">Work This Chapter on the Platform</w:t>
      </w:r>
      <w:bookmarkEnd w:id="1333"/>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34" w:name="_Toc1333"/>
      <w:r>
        <w:rPr>
          <w:b/>
          <w:bCs/>
          <w:color w:val="161B22"/>
        </w:rPr>
        <w:t xml:space="preserve">Implications for You</w:t>
      </w:r>
      <w:bookmarkEnd w:id="1334"/>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5" w:name="_Toc1334"/>
      <w:r>
        <w:rPr>
          <w:b/>
          <w:bCs/>
          <w:color w:val="161B22"/>
        </w:rPr>
        <w:t xml:space="preserve">Revenue Cycle, HCC Coding, Credentialing, and Administrative Simplification</w:t>
      </w:r>
      <w:bookmarkEnd w:id="1335"/>
    </w:p>
    <w:p>
      <w:pPr>
        <w:pStyle w:val="Heading2"/>
        <w:pBdr>
          <w:top w:val="single" w:sz="6" w:space="10" w:color="C9D2DF"/>
        </w:pBdr>
      </w:pPr>
      <w:r>
        <w:rPr>
          <w:color w:val="161B22"/>
        </w:rPr>
        <w:t xml:space="preserve">11.12  </w:t>
      </w:r>
      <w:bookmarkStart w:id="1336" w:name="_Toc1335"/>
      <w:r>
        <w:rPr>
          <w:b/>
          <w:bCs/>
          <w:color w:val="161B22"/>
        </w:rPr>
        <w:t xml:space="preserve">Operations Where Money Actually Lives</w:t>
      </w:r>
      <w:bookmarkEnd w:id="1336"/>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7" w:name="_Toc1336"/>
      <w:r>
        <w:rPr>
          <w:b/>
          <w:bCs/>
          <w:color w:val="161B22"/>
        </w:rPr>
        <w:t xml:space="preserve">Revenue Cycle Transformation — From FFS Optimization to VBC Management</w:t>
      </w:r>
      <w:bookmarkEnd w:id="1337"/>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8" w:name="_Toc1337"/>
      <w:r>
        <w:rPr>
          <w:b/>
          <w:bCs/>
          <w:color w:val="161B22"/>
        </w:rPr>
        <w:t xml:space="preserve">Attribution Management — The VBC-Specific Revenue Function</w:t>
      </w:r>
      <w:bookmarkEnd w:id="1338"/>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9" w:name="_Toc1338"/>
      <w:r>
        <w:rPr>
          <w:b/>
          <w:bCs/>
          <w:color w:val="161B22"/>
        </w:rPr>
        <w:t xml:space="preserve">Total Cost of Care Monitoring — Seeing What You Cannot Bill</w:t>
      </w:r>
      <w:bookmarkEnd w:id="1339"/>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40" w:name="_Toc1339"/>
      <w:r>
        <w:rPr>
          <w:b/>
          <w:bCs/>
          <w:color w:val="161B22"/>
        </w:rPr>
        <w:t xml:space="preserve">HCC Coding Excellence — The Risk Adjustment Foundation</w:t>
      </w:r>
      <w:bookmarkEnd w:id="1340"/>
    </w:p>
    <w:p>
      <w:pPr>
        <w:pStyle w:val="Heading3"/>
      </w:pPr>
      <w:r>
        <w:rPr>
          <w:color w:val="161B22"/>
        </w:rPr>
        <w:t xml:space="preserve">11.14.1  </w:t>
      </w:r>
      <w:bookmarkStart w:id="1341" w:name="_Toc1340"/>
      <w:r>
        <w:rPr>
          <w:b/>
          <w:bCs/>
          <w:color w:val="161B22"/>
        </w:rPr>
        <w:t xml:space="preserve">HCC Gap Closure: High-ROI Pre-AHEAD Action for Every Vermont Hospital</w:t>
      </w:r>
      <w:bookmarkEnd w:id="1341"/>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2" w:name="_Toc1341"/>
      <w:r>
        <w:rPr>
          <w:b/>
          <w:bCs/>
          <w:color w:val="161B22"/>
        </w:rPr>
        <w:t xml:space="preserve">The HCC Model — How It Works</w:t>
      </w:r>
      <w:bookmarkEnd w:id="1342"/>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3" w:name="_Toc1342"/>
      <w:r>
        <w:rPr>
          <w:b/>
          <w:bCs/>
          <w:color w:val="161B22"/>
        </w:rPr>
        <w:t xml:space="preserve">The HCC Gap Closure Process</w:t>
      </w:r>
      <w:bookmarkEnd w:id="1343"/>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44" w:name="_Toc1343"/>
      <w:r>
        <w:rPr>
          <w:b/>
          <w:bCs/>
          <w:color w:val="161B22"/>
        </w:rPr>
        <w:t xml:space="preserve">Credentialing Efficiency — The Hidden Operations Bottleneck</w:t>
      </w:r>
      <w:bookmarkEnd w:id="1344"/>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5" w:name="_Toc1344"/>
      <w:r>
        <w:rPr>
          <w:b/>
          <w:bCs/>
          <w:color w:val="161B22"/>
        </w:rPr>
        <w:t xml:space="preserve">Credentialing as a Transformation Bottleneck</w:t>
      </w:r>
      <w:bookmarkEnd w:id="1345"/>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6" w:name="_Toc1345"/>
      <w:r>
        <w:rPr>
          <w:b/>
          <w:bCs/>
          <w:color w:val="161B22"/>
        </w:rPr>
        <w:t xml:space="preserve">The Credentialing Efficiency Framework</w:t>
      </w:r>
      <w:bookmarkEnd w:id="1346"/>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7" w:name="_Toc1346"/>
      <w:r>
        <w:rPr>
          <w:b/>
          <w:bCs/>
          <w:color w:val="161B22"/>
        </w:rPr>
        <w:t xml:space="preserve">Workforce Operations — Managing the Care Team in a Transformed System</w:t>
      </w:r>
      <w:bookmarkEnd w:id="1347"/>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8" w:name="_Toc1347"/>
      <w:r>
        <w:rPr>
          <w:b/>
          <w:bCs/>
          <w:color w:val="161B22"/>
        </w:rPr>
        <w:t xml:space="preserve">The Workforce Supply Challenge — What Can Actually Be Done</w:t>
      </w:r>
      <w:bookmarkEnd w:id="1348"/>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9" w:name="_Toc1348"/>
      <w:r>
        <w:rPr>
          <w:b/>
          <w:bCs/>
          <w:color w:val="161B22"/>
        </w:rPr>
        <w:t xml:space="preserve">Workforce Deployment — Team-Based Care at Scale</w:t>
      </w:r>
      <w:bookmarkEnd w:id="1349"/>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50" w:name="_Toc1349"/>
      <w:r>
        <w:rPr>
          <w:b/>
          <w:bCs/>
          <w:color w:val="161B22"/>
        </w:rPr>
        <w:t xml:space="preserve">Workforce Retention — The Math of Turnover</w:t>
      </w:r>
      <w:bookmarkEnd w:id="1350"/>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51" w:name="_Toc1350"/>
      <w:r>
        <w:rPr>
          <w:b/>
          <w:bCs/>
          <w:color w:val="161B22"/>
        </w:rPr>
        <w:t xml:space="preserve">Administrative Simplification — The Vermont Agenda</w:t>
      </w:r>
      <w:bookmarkEnd w:id="1351"/>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2" w:name="_Toc1351"/>
      <w:r>
        <w:rPr>
          <w:b/>
          <w:bCs/>
          <w:color w:val="161B22"/>
        </w:rPr>
        <w:t xml:space="preserve">The Vermont Administrative Simplification Priorities</w:t>
      </w:r>
      <w:bookmarkEnd w:id="1352"/>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3" w:name="_Toc1352"/>
      <w:r>
        <w:rPr>
          <w:b/>
          <w:bCs/>
          <w:color w:val="161B22"/>
        </w:rPr>
        <w:t xml:space="preserve">Operations Pillar Implementation Matrix</w:t>
      </w:r>
      <w:bookmarkEnd w:id="1353"/>
    </w:p>
    <w:p>
      <w:pPr>
        <w:pStyle w:val="FirstParagraph"/>
        <w:keepNext w:val="false"/>
      </w:pPr>
      <w: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Caption"/>
        <w:spacing w:before="120"/>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11.19  </w:t>
      </w:r>
      <w:bookmarkStart w:id="1354" w:name="_Toc1353"/>
      <w:r>
        <w:rPr>
          <w:b/>
          <w:bCs/>
          <w:color w:val="161B22"/>
        </w:rPr>
        <w:t xml:space="preserve">Implications for You — Revenue Cycle and Coding</w:t>
      </w:r>
      <w:bookmarkEnd w:id="1354"/>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Heading2"/>
        <w:pBdr>
          <w:top w:val="single" w:sz="6" w:space="10" w:color="C9D2DF"/>
        </w:pBdr>
      </w:pPr>
      <w:r>
        <w:rPr>
          <w:color w:val="161B22"/>
        </w:rPr>
        <w:t xml:space="preserve">11.20  </w:t>
      </w:r>
      <w:bookmarkStart w:id="1355" w:name="_Toc1354"/>
      <w:r>
        <w:rPr>
          <w:b/>
          <w:bCs/>
          <w:color w:val="161B22"/>
        </w:rPr>
        <w:t xml:space="preserve">Key Concepts in This Chapter</w:t>
      </w:r>
      <w:bookmarkEnd w:id="1355"/>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6" w:name="_Toc1355"/>
      <w:r>
        <w:rPr>
          <w:b/>
          <w:bCs/>
          <w:color w:val="161B22"/>
        </w:rPr>
        <w:t xml:space="preserve">Chapter 12: Infrastructure for Knowledge Transfer and Implementation</w:t>
      </w:r>
      <w:bookmarkEnd w:id="135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7" w:name="_Toc1356"/>
      <w:r>
        <w:rPr>
          <w:b/>
          <w:bCs/>
          <w:color w:val="161B22"/>
        </w:rPr>
        <w:t xml:space="preserve">The Gap Between Understanding and Doing</w:t>
      </w:r>
      <w:bookmarkEnd w:id="1357"/>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8" w:name="_Toc1357"/>
      <w:r>
        <w:rPr>
          <w:b/>
          <w:bCs/>
          <w:color w:val="161B22"/>
        </w:rPr>
        <w:t xml:space="preserve">The Knowledge and Implementation Infrastructure</w:t>
      </w:r>
      <w:bookmarkEnd w:id="1358"/>
    </w:p>
    <w:p>
      <w:pPr>
        <w:pStyle w:val="Heading3"/>
      </w:pPr>
      <w:r>
        <w:rPr>
          <w:color w:val="161B22"/>
        </w:rPr>
        <w:t xml:space="preserve">12.2.1  </w:t>
      </w:r>
      <w:bookmarkStart w:id="1359" w:name="_Toc1358"/>
      <w:r>
        <w:rPr>
          <w:b/>
          <w:bCs/>
          <w:color w:val="161B22"/>
        </w:rPr>
        <w:t xml:space="preserve">The HTR Platform — Four Components</w:t>
      </w:r>
      <w:bookmarkEnd w:id="1359"/>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60" w:name="_Toc1359"/>
      <w:r>
        <w:rPr>
          <w:b/>
          <w:bCs/>
          <w:color w:val="161B22"/>
        </w:rPr>
        <w:t xml:space="preserve">Four Components of the HTR Platform</w:t>
      </w:r>
      <w:bookmarkEnd w:id="1360"/>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61" w:name="_Toc1360"/>
      <w:r>
        <w:rPr>
          <w:b/>
          <w:bCs/>
          <w:color w:val="161B22"/>
        </w:rPr>
        <w:t xml:space="preserve">The Transformation Advisory Domains — Structured for the Six Pillars</w:t>
      </w:r>
      <w:bookmarkEnd w:id="1361"/>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2" w:name="_Toc1361"/>
      <w:r>
        <w:rPr>
          <w:b/>
          <w:bCs/>
          <w:color w:val="161B22"/>
        </w:rPr>
        <w:t xml:space="preserve">Policy Strategy</w:t>
      </w:r>
      <w:bookmarkEnd w:id="1362"/>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3" w:name="_Toc1362"/>
      <w:r>
        <w:rPr>
          <w:b/>
          <w:bCs/>
          <w:color w:val="161B22"/>
        </w:rPr>
        <w:t xml:space="preserve">VBC Economics</w:t>
      </w:r>
      <w:bookmarkEnd w:id="1363"/>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4" w:name="_Toc1363"/>
      <w:r>
        <w:rPr>
          <w:b/>
          <w:bCs/>
          <w:color w:val="161B22"/>
        </w:rPr>
        <w:t xml:space="preserve">Health Equity Practice</w:t>
      </w:r>
      <w:bookmarkEnd w:id="1364"/>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5" w:name="_Toc1364"/>
      <w:r>
        <w:rPr>
          <w:b/>
          <w:bCs/>
          <w:color w:val="161B22"/>
        </w:rPr>
        <w:t xml:space="preserve">Technology Strategy</w:t>
      </w:r>
      <w:bookmarkEnd w:id="1365"/>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6" w:name="_Toc1365"/>
      <w:r>
        <w:rPr>
          <w:b/>
          <w:bCs/>
          <w:color w:val="161B22"/>
        </w:rPr>
        <w:t xml:space="preserve">Transformation Management</w:t>
      </w:r>
      <w:bookmarkEnd w:id="1366"/>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7" w:name="_Toc1366"/>
      <w:r>
        <w:rPr>
          <w:b/>
          <w:bCs/>
          <w:color w:val="161B22"/>
        </w:rPr>
        <w:t xml:space="preserve">The Change Management Science Behind Healthcare Transformation</w:t>
      </w:r>
      <w:bookmarkEnd w:id="1367"/>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8" w:name="_Toc1367"/>
      <w:r>
        <w:rPr>
          <w:b/>
          <w:bCs/>
          <w:color w:val="161B22"/>
        </w:rPr>
        <w:t xml:space="preserve">Kotter’s Framework Applied to Healthcare Transformation</w:t>
      </w:r>
      <w:bookmarkEnd w:id="1368"/>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9" w:name="_Toc1368"/>
      <w:r>
        <w:rPr>
          <w:b/>
          <w:bCs/>
          <w:color w:val="161B22"/>
        </w:rPr>
        <w:t xml:space="preserve">The Transformation Pace Problem</w:t>
      </w:r>
      <w:bookmarkEnd w:id="1369"/>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70" w:name="_Toc1369"/>
      <w:r>
        <w:rPr>
          <w:b/>
          <w:bCs/>
          <w:color w:val="161B22"/>
        </w:rPr>
        <w:t xml:space="preserve">The HTR Implementation Toolkit</w:t>
      </w:r>
      <w:bookmarkEnd w:id="1370"/>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71" w:name="_Toc1370"/>
      <w:r>
        <w:rPr>
          <w:b/>
          <w:bCs/>
          <w:color w:val="161B22"/>
        </w:rPr>
        <w:t xml:space="preserve">A Framework for Selecting Advisory Support</w:t>
      </w:r>
      <w:bookmarkEnd w:id="1371"/>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2" w:name="_Toc1371"/>
      <w:r>
        <w:rPr>
          <w:b/>
          <w:bCs/>
          <w:color w:val="161B22"/>
        </w:rPr>
        <w:t xml:space="preserve">The Role of External Technical Assistance in State-Level Transformation</w:t>
      </w:r>
      <w:bookmarkEnd w:id="1372"/>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3" w:name="_Toc1372"/>
      <w:r>
        <w:rPr>
          <w:b/>
          <w:bCs/>
          <w:color w:val="161B22"/>
        </w:rPr>
        <w:t xml:space="preserve">Work This Chapter on the Platform</w:t>
      </w:r>
      <w:bookmarkEnd w:id="1373"/>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407">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8">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74" w:name="_Toc1373"/>
      <w:r>
        <w:rPr>
          <w:b/>
          <w:bCs/>
          <w:color w:val="161B22"/>
        </w:rPr>
        <w:t xml:space="preserve">Implications for You</w:t>
      </w:r>
      <w:bookmarkEnd w:id="1374"/>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5" w:name="_Toc1374"/>
      <w:r>
        <w:rPr>
          <w:b/>
          <w:bCs/>
          <w:color w:val="161B22"/>
        </w:rPr>
        <w:t xml:space="preserve">Key Concepts in This Chapter</w:t>
      </w:r>
      <w:bookmarkEnd w:id="1375"/>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6" w:name="_Toc1375"/>
      <w:r>
        <w:rPr>
          <w:b/>
          <w:bCs/>
          <w:color w:val="161B22"/>
        </w:rPr>
        <w:t xml:space="preserve">Chapter 13 — The Future of Healthcare Transformation: 2026, What Vermont Proves, and What Remains</w:t>
      </w:r>
      <w:bookmarkEnd w:id="137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7" w:name="_Toc1376"/>
      <w:r>
        <w:rPr>
          <w:b/>
          <w:bCs/>
          <w:color w:val="161B22"/>
        </w:rPr>
        <w:t xml:space="preserve">Vermont Transformation Scorecard: Six-Pillar Status, April 2026</w:t>
      </w:r>
      <w:bookmarkEnd w:id="1377"/>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8" w:name="_Toc1377"/>
      <w:r>
        <w:rPr>
          <w:b/>
          <w:bCs/>
          <w:color w:val="161B22"/>
        </w:rPr>
        <w:t xml:space="preserve">Where the System Stands in April 2026 — A Necessary Update</w:t>
      </w:r>
      <w:bookmarkEnd w:id="1378"/>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9" w:name="_Toc1378"/>
      <w:r>
        <w:rPr>
          <w:b/>
          <w:bCs/>
          <w:color w:val="161B22"/>
        </w:rPr>
        <w:t xml:space="preserve">Five Forces Shaping the Next Decade</w:t>
      </w:r>
      <w:bookmarkEnd w:id="1379"/>
    </w:p>
    <w:p>
      <w:pPr>
        <w:pStyle w:val="Heading3"/>
      </w:pPr>
      <w:r>
        <w:rPr>
          <w:color w:val="161B22"/>
        </w:rPr>
        <w:t xml:space="preserve">13.3.1  </w:t>
      </w:r>
      <w:bookmarkStart w:id="1380" w:name="_Toc1379"/>
      <w:r>
        <w:rPr>
          <w:b/>
          <w:bCs/>
          <w:color w:val="161B22"/>
        </w:rPr>
        <w:t xml:space="preserve">Force 1: The Medicaid–RHT Tension — the Defining Policy Dynamic</w:t>
      </w:r>
      <w:bookmarkEnd w:id="1380"/>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81" w:name="_Toc1380"/>
      <w:r>
        <w:rPr>
          <w:b/>
          <w:bCs/>
          <w:color w:val="161B22"/>
        </w:rPr>
        <w:t xml:space="preserve">Force 2: AI Clinical Transformation — Accelerating Faster Than Governance</w:t>
      </w:r>
      <w:bookmarkEnd w:id="1381"/>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2" w:name="_Toc1381"/>
      <w:r>
        <w:rPr>
          <w:b/>
          <w:bCs/>
          <w:color w:val="161B22"/>
        </w:rPr>
        <w:t xml:space="preserve">Force 3: The Demographic Reckoning — No Longer a Future Problem</w:t>
      </w:r>
      <w:bookmarkEnd w:id="1382"/>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3" w:name="_Toc1382"/>
      <w:r>
        <w:rPr>
          <w:b/>
          <w:bCs/>
          <w:color w:val="161B22"/>
        </w:rPr>
        <w:t xml:space="preserve">Force 4: The Drug-Pricing Reckoning — Complexity Compounding</w:t>
      </w:r>
      <w:bookmarkEnd w:id="1383"/>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4" w:name="_Toc1383"/>
      <w:r>
        <w:rPr>
          <w:b/>
          <w:bCs/>
          <w:color w:val="161B22"/>
        </w:rPr>
        <w:t xml:space="preserve">Force 5: The Value-Based-Care Tipping Point — Still Approaching</w:t>
      </w:r>
      <w:bookmarkEnd w:id="1384"/>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85" w:name="_Toc1384"/>
      <w:r>
        <w:rPr>
          <w:b/>
          <w:bCs/>
          <w:color w:val="161B22"/>
        </w:rPr>
        <w:t xml:space="preserve">The Six-Pillar Forecast: 2026–2035</w:t>
      </w:r>
      <w:bookmarkEnd w:id="1385"/>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6" w:name="_Toc1385"/>
      <w:r>
        <w:rPr>
          <w:b/>
          <w:bCs/>
          <w:color w:val="161B22"/>
        </w:rPr>
        <w:t xml:space="preserve">Vermont’s Ten-Year Trajectory: Two Scenarios</w:t>
      </w:r>
      <w:bookmarkEnd w:id="1386"/>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7" w:name="_Toc1386"/>
      <w:r>
        <w:rPr>
          <w:b/>
          <w:bCs/>
          <w:color w:val="161B22"/>
        </w:rPr>
        <w:t xml:space="preserve">The Transformation-Success Scenario</w:t>
      </w:r>
      <w:bookmarkEnd w:id="1387"/>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8" w:name="_Toc1387"/>
      <w:r>
        <w:rPr>
          <w:b/>
          <w:bCs/>
          <w:color w:val="161B22"/>
        </w:rPr>
        <w:t xml:space="preserve">The Partial-Transformation Scenario</w:t>
      </w:r>
      <w:bookmarkEnd w:id="1388"/>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9" w:name="_Toc1388"/>
      <w:r>
        <w:rPr>
          <w:b/>
          <w:bCs/>
          <w:color w:val="161B22"/>
        </w:rPr>
        <w:t xml:space="preserve">Vermont as National Template — The Decisions That Will Determine Outcomes</w:t>
      </w:r>
      <w:bookmarkEnd w:id="1389"/>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90" w:name="_Toc1389"/>
      <w:r>
        <w:rPr>
          <w:b/>
          <w:bCs/>
          <w:color w:val="161B22"/>
        </w:rPr>
        <w:t xml:space="preserve">Work This Chapter on the Platform</w:t>
      </w:r>
      <w:bookmarkEnd w:id="1390"/>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27">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91" w:name="_Toc1390"/>
      <w:r>
        <w:rPr>
          <w:b/>
          <w:bCs/>
          <w:color w:val="161B22"/>
        </w:rPr>
        <w:t xml:space="preserve">Implications for You</w:t>
      </w:r>
      <w:bookmarkEnd w:id="1391"/>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2" w:name="_Toc1391"/>
      <w:r>
        <w:rPr>
          <w:b/>
          <w:bCs/>
          <w:color w:val="161B22"/>
        </w:rPr>
        <w:t xml:space="preserve">Key Concepts in This Chapter</w:t>
      </w:r>
      <w:bookmarkEnd w:id="1392"/>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3" w:name="_Toc1392"/>
      <w:r>
        <w:rPr>
          <w:b/>
          <w:bCs/>
          <w:color w:val="161B22"/>
        </w:rPr>
        <w:t xml:space="preserve">A Closing Note: What This Book Is Betting On</w:t>
      </w:r>
      <w:bookmarkEnd w:id="1393"/>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4" w:name="_Toc1393"/>
      <w:r>
        <w:rPr>
          <w:b/>
          <w:bCs/>
          <w:color w:val="161B22"/>
        </w:rPr>
        <w:t xml:space="preserve">Chapter 14 — Political Sustainability: Protecting Transformation Across Election Cycles</w:t>
      </w:r>
      <w:bookmarkEnd w:id="139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5" w:name="_Toc1394"/>
      <w:r>
        <w:rPr>
          <w:b/>
          <w:bCs/>
          <w:color w:val="161B22"/>
        </w:rPr>
        <w:t xml:space="preserve">Why Political Sustainability Is an Analytical Problem, Not Only a Political One</w:t>
      </w:r>
      <w:bookmarkEnd w:id="1395"/>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6" w:name="_Toc1395"/>
      <w:r>
        <w:rPr>
          <w:b/>
          <w:bCs/>
          <w:color w:val="161B22"/>
        </w:rPr>
        <w:t xml:space="preserve">The Structural Durability of Vermont’s Reform Architecture</w:t>
      </w:r>
      <w:bookmarkEnd w:id="1396"/>
    </w:p>
    <w:p>
      <w:pPr>
        <w:pStyle w:val="Heading3"/>
      </w:pPr>
      <w:r>
        <w:rPr>
          <w:color w:val="161B22"/>
        </w:rPr>
        <w:t xml:space="preserve">14.2.1  </w:t>
      </w:r>
      <w:bookmarkStart w:id="1397" w:name="_Toc1396"/>
      <w:r>
        <w:rPr>
          <w:b/>
          <w:bCs/>
          <w:color w:val="161B22"/>
        </w:rPr>
        <w:t xml:space="preserve">What Is Hard to Reverse</w:t>
      </w:r>
      <w:bookmarkEnd w:id="1397"/>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8" w:name="_Toc1397"/>
      <w:r>
        <w:rPr>
          <w:b/>
          <w:bCs/>
          <w:color w:val="161B22"/>
        </w:rPr>
        <w:t xml:space="preserve">What Is Politically Exposed</w:t>
      </w:r>
      <w:bookmarkEnd w:id="1398"/>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9" w:name="_Toc1398"/>
      <w:r>
        <w:rPr>
          <w:b/>
          <w:bCs/>
          <w:color w:val="161B22"/>
        </w:rPr>
        <w:t xml:space="preserve">Early-Warning Signals of Political Risk</w:t>
      </w:r>
      <w:bookmarkEnd w:id="1399"/>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400" w:name="_Toc1399"/>
      <w:r>
        <w:rPr>
          <w:b/>
          <w:bCs/>
          <w:color w:val="161B22"/>
        </w:rPr>
        <w:t xml:space="preserve">Organizational Strategies for Political Risk Management</w:t>
      </w:r>
      <w:bookmarkEnd w:id="1400"/>
    </w:p>
    <w:p>
      <w:pPr>
        <w:pStyle w:val="Heading3"/>
      </w:pPr>
      <w:r>
        <w:rPr>
          <w:color w:val="161B22"/>
        </w:rPr>
        <w:t xml:space="preserve">14.4.1  </w:t>
      </w:r>
      <w:bookmarkStart w:id="1401" w:name="_Toc1400"/>
      <w:r>
        <w:rPr>
          <w:b/>
          <w:bCs/>
          <w:color w:val="161B22"/>
        </w:rPr>
        <w:t xml:space="preserve">Strategy 1 — Build investments that are hard to reverse</w:t>
      </w:r>
      <w:bookmarkEnd w:id="1401"/>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2" w:name="_Toc1401"/>
      <w:r>
        <w:rPr>
          <w:b/>
          <w:bCs/>
          <w:color w:val="161B22"/>
        </w:rPr>
        <w:t xml:space="preserve">Strategy 2 — Engage the regulatory process early and substantively</w:t>
      </w:r>
      <w:bookmarkEnd w:id="1402"/>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3" w:name="_Toc1402"/>
      <w:r>
        <w:rPr>
          <w:b/>
          <w:bCs/>
          <w:color w:val="161B22"/>
        </w:rPr>
        <w:t xml:space="preserve">Strategy 3 — Maintain scenario plans for policy disruption</w:t>
      </w:r>
      <w:bookmarkEnd w:id="1403"/>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4" w:name="_Toc1403"/>
      <w:r>
        <w:rPr>
          <w:b/>
          <w:bCs/>
          <w:color w:val="161B22"/>
        </w:rPr>
        <w:t xml:space="preserve">Strategy 4 — Document and communicate transformation progress</w:t>
      </w:r>
      <w:bookmarkEnd w:id="1404"/>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5" w:name="_Toc1404"/>
      <w:r>
        <w:rPr>
          <w:b/>
          <w:bCs/>
          <w:color w:val="161B22"/>
        </w:rPr>
        <w:t xml:space="preserve">Vermont’s Reform Cascade as Political-Sustainability Architecture</w:t>
      </w:r>
      <w:bookmarkEnd w:id="1405"/>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6" w:name="_Toc1405"/>
      <w:r>
        <w:rPr>
          <w:b/>
          <w:bCs/>
          <w:color w:val="161B22"/>
        </w:rPr>
        <w:t xml:space="preserve">Work This Chapter on the Platform</w:t>
      </w:r>
      <w:bookmarkEnd w:id="1406"/>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407" w:name="_Toc1406"/>
      <w:r>
        <w:rPr>
          <w:b/>
          <w:bCs/>
          <w:color w:val="161B22"/>
        </w:rPr>
        <w:t xml:space="preserve">Implications for You</w:t>
      </w:r>
      <w:bookmarkEnd w:id="1407"/>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9" w:name="_Toc1408"/>
      <w:r>
        <w:rPr>
          <w:b/>
          <w:bCs/>
          <w:color w:val="161B22"/>
        </w:rPr>
        <w:t xml:space="preserve">Chapter 15 — Healthcare Transformation as Portfolio Management: Applying PMI Standards to Six-Pillar Reform</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10" w:name="_Toc1409"/>
      <w:r>
        <w:rPr>
          <w:b/>
          <w:bCs/>
          <w:color w:val="161B22"/>
        </w:rPr>
        <w:t xml:space="preserve">The Project-Management Gap in Healthcare Transformation</w:t>
      </w:r>
      <w:bookmarkEnd w:id="1410"/>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11" w:name="_Toc1410"/>
      <w:r>
        <w:rPr>
          <w:b/>
          <w:bCs/>
          <w:color w:val="161B22"/>
        </w:rPr>
        <w:t xml:space="preserve">Project, Program, and Portfolio: Getting the Levels Right</w:t>
      </w:r>
      <w:bookmarkEnd w:id="1411"/>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2" w:name="_Toc1411"/>
      <w:r>
        <w:rPr>
          <w:b/>
          <w:bCs/>
          <w:color w:val="161B22"/>
        </w:rPr>
        <w:t xml:space="preserve">Vermont’s Transformation Portfolio: 19 Components</w:t>
      </w:r>
      <w:bookmarkEnd w:id="1412"/>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13" w:name="_Toc1412"/>
      <w:r>
        <w:rPr>
          <w:b/>
          <w:bCs/>
          <w:color w:val="161B22"/>
        </w:rPr>
        <w:t xml:space="preserve">The Case for a Portfolio Manager</w:t>
      </w:r>
      <w:bookmarkEnd w:id="1413"/>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4" w:name="_Toc1413"/>
      <w:r>
        <w:rPr>
          <w:b/>
          <w:bCs/>
          <w:color w:val="161B22"/>
        </w:rPr>
        <w:t xml:space="preserve">Pillar-Level Project Managers: Six Roles, One Framework</w:t>
      </w:r>
      <w:bookmarkEnd w:id="1414"/>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5" w:name="_Toc1414"/>
      <w:r>
        <w:rPr>
          <w:b/>
          <w:bCs/>
          <w:color w:val="161B22"/>
        </w:rPr>
        <w:t xml:space="preserve">Governance Architecture and the Ten Knowledge Areas</w:t>
      </w:r>
      <w:bookmarkEnd w:id="1415"/>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6" w:name="_Toc1415"/>
      <w:r>
        <w:rPr>
          <w:b/>
          <w:bCs/>
          <w:color w:val="161B22"/>
        </w:rPr>
        <w:t xml:space="preserve">Portfolio Sequence Is Dependency Sequence</w:t>
      </w:r>
      <w:bookmarkEnd w:id="1416"/>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17" w:name="_Toc1416"/>
      <w:r>
        <w:rPr>
          <w:b/>
          <w:bCs/>
          <w:color w:val="161B22"/>
        </w:rPr>
        <w:t xml:space="preserve">Predictive vs. Adaptive Approaches</w:t>
      </w:r>
      <w:bookmarkEnd w:id="1417"/>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8" w:name="_Toc1417"/>
      <w:r>
        <w:rPr>
          <w:b/>
          <w:bCs/>
          <w:color w:val="161B22"/>
        </w:rPr>
        <w:t xml:space="preserve">The Portfolio Risk Register</w:t>
      </w:r>
      <w:bookmarkEnd w:id="1418"/>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9" w:name="_Toc1418"/>
      <w:r>
        <w:rPr>
          <w:b/>
          <w:bCs/>
          <w:color w:val="161B22"/>
        </w:rPr>
        <w:t xml:space="preserve">Benefits Realization: Connecting the PMO to Act 167’s Five Goals</w:t>
      </w:r>
      <w:bookmarkEnd w:id="1419"/>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20" w:name="_Toc1419"/>
      <w:r>
        <w:rPr>
          <w:b/>
          <w:bCs/>
          <w:color w:val="161B22"/>
        </w:rPr>
        <w:t xml:space="preserve">The Business Case</w:t>
      </w:r>
      <w:bookmarkEnd w:id="1420"/>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21" w:name="_Toc1420"/>
      <w:r>
        <w:rPr>
          <w:b/>
          <w:bCs/>
          <w:color w:val="161B22"/>
        </w:rPr>
        <w:t xml:space="preserve">Implementation Roadmap</w:t>
      </w:r>
      <w:bookmarkEnd w:id="1421"/>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2" w:name="_Toc1421"/>
      <w:r>
        <w:rPr>
          <w:b/>
          <w:bCs/>
          <w:color w:val="161B22"/>
        </w:rPr>
        <w:t xml:space="preserve">Answering the Four Objections</w:t>
      </w:r>
      <w:bookmarkEnd w:id="1422"/>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3" w:name="_Toc1422"/>
      <w:r>
        <w:rPr>
          <w:b/>
          <w:bCs/>
          <w:color w:val="161B22"/>
        </w:rPr>
        <w:t xml:space="preserve">Work This Chapter on the Platform</w:t>
      </w:r>
      <w:bookmarkEnd w:id="1423"/>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62">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24" w:name="_Toc1423"/>
      <w:r>
        <w:rPr>
          <w:b/>
          <w:bCs/>
          <w:color w:val="161B22"/>
        </w:rPr>
        <w:t xml:space="preserve">Implications for You</w:t>
      </w:r>
      <w:bookmarkEnd w:id="1424"/>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5" w:name="_Toc1424"/>
      <w:r>
        <w:rPr>
          <w:b/>
          <w:bCs/>
          <w:color w:val="161B22"/>
        </w:rPr>
        <w:t xml:space="preserve">Key Concepts in This Chapter</w:t>
      </w:r>
      <w:bookmarkEnd w:id="1425"/>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6" w:name="_Toc1425"/>
      <w:r>
        <w:rPr>
          <w:b/>
          <w:bCs/>
          <w:color w:val="161B22"/>
        </w:rPr>
        <w:t xml:space="preserve">Chapter 16 — The AHS Restructuring Roadmap: A Six-Pillar Framework for System Architects</w:t>
      </w:r>
      <w:bookmarkEnd w:id="142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7" w:name="_Toc1426"/>
      <w:r>
        <w:rPr>
          <w:b/>
          <w:bCs/>
          <w:color w:val="161B22"/>
        </w:rPr>
        <w:t xml:space="preserve">The Statutory Mandate — What Act 68 Actually Requires AHS to Do</w:t>
      </w:r>
      <w:bookmarkEnd w:id="1427"/>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8" w:name="_Toc1427"/>
      <w:r>
        <w:rPr>
          <w:b/>
          <w:bCs/>
          <w:color w:val="161B22"/>
        </w:rPr>
        <w:t xml:space="preserve">The Organizational Diagnosis — Why AHS Must Restructure, Not Just Plan</w:t>
      </w:r>
      <w:bookmarkEnd w:id="1428"/>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9" w:name="_Toc1428"/>
      <w:r>
        <w:rPr>
          <w:b/>
          <w:bCs/>
          <w:color w:val="161B22"/>
        </w:rPr>
        <w:t xml:space="preserve">The Four Structural Gaps</w:t>
      </w:r>
      <w:bookmarkEnd w:id="1429"/>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30" w:name="_Toc1429"/>
      <w:r>
        <w:rPr>
          <w:b/>
          <w:bCs/>
          <w:color w:val="161B22"/>
        </w:rPr>
        <w:t xml:space="preserve">The Redesigned AHS Operating Model — A Population Health System Operator</w:t>
      </w:r>
      <w:bookmarkEnd w:id="1430"/>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31" w:name="_Toc1430"/>
      <w:r>
        <w:rPr>
          <w:b/>
          <w:bCs/>
          <w:color w:val="161B22"/>
        </w:rPr>
        <w:t xml:space="preserve">Level 1 — Statewide System Architect</w:t>
      </w:r>
      <w:bookmarkEnd w:id="1431"/>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2" w:name="_Toc1431"/>
      <w:r>
        <w:rPr>
          <w:b/>
          <w:bCs/>
          <w:color w:val="161B22"/>
        </w:rPr>
        <w:t xml:space="preserve">Level 2 — Regional Network Convener (HSA Level)</w:t>
      </w:r>
      <w:bookmarkEnd w:id="1432"/>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3" w:name="_Toc1432"/>
      <w:r>
        <w:rPr>
          <w:b/>
          <w:bCs/>
          <w:color w:val="161B22"/>
        </w:rPr>
        <w:t xml:space="preserve">Level 3 — Program Delivery Operator</w:t>
      </w:r>
      <w:bookmarkEnd w:id="1433"/>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4" w:name="_Toc1433"/>
      <w:r>
        <w:rPr>
          <w:b/>
          <w:bCs/>
          <w:color w:val="161B22"/>
        </w:rPr>
        <w:t xml:space="preserve">The Six-Pillar Framework Applied to AHS’s Mandate</w:t>
      </w:r>
      <w:bookmarkEnd w:id="1434"/>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5" w:name="_Toc1434"/>
      <w:r>
        <w:rPr>
          <w:b/>
          <w:bCs/>
          <w:color w:val="161B22"/>
        </w:rPr>
        <w:t xml:space="preserve">The AHS Restructuring Implementation Timeline</w:t>
      </w:r>
      <w:bookmarkEnd w:id="1435"/>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6" w:name="_Toc1435"/>
      <w:r>
        <w:rPr>
          <w:b/>
          <w:bCs/>
          <w:color w:val="161B22"/>
        </w:rPr>
        <w:t xml:space="preserve">A Framework for the 2028 Statewide Strategic Plan</w:t>
      </w:r>
      <w:bookmarkEnd w:id="1436"/>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37" w:name="_Toc1436"/>
      <w:r>
        <w:rPr>
          <w:b/>
          <w:bCs/>
          <w:color w:val="161B22"/>
        </w:rPr>
        <w:t xml:space="preserve">The Central Commitment the Plan Must Make</w:t>
      </w:r>
      <w:bookmarkEnd w:id="1437"/>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8" w:name="_Toc1437"/>
      <w:r>
        <w:rPr>
          <w:b/>
          <w:bCs/>
          <w:color w:val="161B22"/>
        </w:rPr>
        <w:t xml:space="preserve">Vermont as National Template — Why This Restructuring Matters Beyond Vermont</w:t>
      </w:r>
      <w:bookmarkEnd w:id="1438"/>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9" w:name="_Toc1438"/>
      <w:r>
        <w:rPr>
          <w:b/>
          <w:bCs/>
          <w:color w:val="161B22"/>
        </w:rPr>
        <w:t xml:space="preserve">Work This Chapter on the Platform</w:t>
      </w:r>
      <w:bookmarkEnd w:id="1439"/>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9">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40" w:name="_Toc1439"/>
      <w:r>
        <w:rPr>
          <w:b/>
          <w:bCs/>
          <w:color w:val="161B22"/>
        </w:rPr>
        <w:t xml:space="preserve">Implications for You</w:t>
      </w:r>
      <w:bookmarkEnd w:id="1440"/>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41" w:name="_Toc1440"/>
      <w:r>
        <w:rPr>
          <w:b/>
          <w:bCs/>
          <w:color w:val="161B22"/>
        </w:rPr>
        <w:t xml:space="preserve">Key Concepts in This Chapter</w:t>
      </w:r>
      <w:bookmarkEnd w:id="1441"/>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2" w:name="_Toc1441"/>
      <w:r>
        <w:rPr>
          <w:b/>
          <w:bCs/>
          <w:color w:val="161B22"/>
        </w:rPr>
        <w:t xml:space="preserve">Conclusion — What Vermont Proves, and What Remains to Be Proven</w:t>
      </w:r>
      <w:bookmarkEnd w:id="1442"/>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3" w:name="_Toc1442"/>
      <w:r>
        <w:rPr>
          <w:b/>
          <w:bCs/>
          <w:color w:val="161B22"/>
        </w:rPr>
        <w:t xml:space="preserve">What Failure Actually Looks Like</w:t>
      </w:r>
      <w:bookmarkEnd w:id="1443"/>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4" w:name="_Toc1443"/>
      <w:r>
        <w:rPr>
          <w:b/>
          <w:bCs/>
          <w:color w:val="161B22"/>
        </w:rPr>
        <w:t xml:space="preserve">The Three Decisions That Are Not Yet Made</w:t>
      </w:r>
      <w:bookmarkEnd w:id="1444"/>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5" w:name="_Toc1444"/>
      <w:r>
        <w:rPr>
          <w:b/>
          <w:bCs/>
          <w:color w:val="161B22"/>
        </w:rPr>
        <w:t xml:space="preserve">Decision 1: Will the Statewide Strategic Plan Be Binding or Descriptive?</w:t>
      </w:r>
      <w:bookmarkEnd w:id="1445"/>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6" w:name="_Toc1445"/>
      <w:r>
        <w:rPr>
          <w:b/>
          <w:bCs/>
          <w:color w:val="161B22"/>
        </w:rPr>
        <w:t xml:space="preserve">Decision 2: Will the Analytics Vendor Be Operational Before AHEAD’s Financial Accountability Begins?</w:t>
      </w:r>
      <w:bookmarkEnd w:id="1446"/>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7" w:name="_Toc1446"/>
      <w:r>
        <w:rPr>
          <w:b/>
          <w:bCs/>
          <w:color w:val="161B22"/>
        </w:rPr>
        <w:t xml:space="preserve">Decision 3: Will H.R. 1’s Medicaid Cuts Force a Contraction or Accelerate a Transformation?</w:t>
      </w:r>
      <w:bookmarkEnd w:id="1447"/>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8" w:name="_Toc1447"/>
      <w:r>
        <w:rPr>
          <w:b/>
          <w:bCs/>
          <w:color w:val="161B22"/>
        </w:rPr>
        <w:t xml:space="preserve">What Vermont Has Proved — As of April 2026</w:t>
      </w:r>
      <w:bookmarkEnd w:id="1448"/>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9" w:name="_Toc1448"/>
      <w:r>
        <w:rPr>
          <w:b/>
          <w:bCs/>
          <w:color w:val="161B22"/>
        </w:rPr>
        <w:t xml:space="preserve">The People This Book Cannot Reach</w:t>
      </w:r>
      <w:bookmarkEnd w:id="1449"/>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50" w:name="_Toc1449"/>
      <w:r>
        <w:rPr>
          <w:b/>
          <w:bCs/>
          <w:color w:val="161B22"/>
        </w:rPr>
        <w:t xml:space="preserve">The Call</w:t>
      </w:r>
      <w:bookmarkEnd w:id="1450"/>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51" w:name="_Toc1450"/>
      <w:r>
        <w:rPr>
          <w:b/>
          <w:bCs/>
          <w:color w:val="161B22"/>
        </w:rPr>
        <w:t xml:space="preserve">Key Concepts in This Chapter</w:t>
      </w:r>
      <w:bookmarkEnd w:id="1451"/>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2" w:name="_Toc1451"/>
      <w:r>
        <w:rPr>
          <w:b/>
          <w:bCs/>
          <w:color w:val="161B22"/>
        </w:rPr>
        <w:t xml:space="preserve">Appendix A — Vermont System Portrait</w:t>
      </w:r>
      <w:bookmarkEnd w:id="1452"/>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3" w:name="_Toc1452"/>
      <w:r>
        <w:rPr>
          <w:b/>
          <w:bCs/>
          <w:color w:val="161B22"/>
        </w:rPr>
        <w:t xml:space="preserve">A.1 Vermont: The State</w:t>
      </w:r>
      <w:bookmarkEnd w:id="1453"/>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4" w:name="_Toc1453"/>
      <w:r>
        <w:rPr>
          <w:b/>
          <w:bCs/>
          <w:color w:val="161B22"/>
        </w:rPr>
        <w:t xml:space="preserve">A.2 Demographics and Population Projections</w:t>
      </w:r>
      <w:bookmarkEnd w:id="1454"/>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5" w:name="_Toc1454"/>
      <w:r>
        <w:rPr>
          <w:b/>
          <w:bCs/>
          <w:color w:val="161B22"/>
        </w:rPr>
        <w:t xml:space="preserve">A.3 Regulatory Architecture: The Green Mountain Care Board</w:t>
      </w:r>
      <w:bookmarkEnd w:id="1455"/>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6" w:name="_Toc1455"/>
      <w:r>
        <w:rPr>
          <w:b/>
          <w:bCs/>
          <w:color w:val="161B22"/>
        </w:rPr>
        <w:t xml:space="preserve">A.4 The Hospital System</w:t>
      </w:r>
      <w:bookmarkEnd w:id="1456"/>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7" w:name="_Toc1456"/>
      <w:r>
        <w:rPr>
          <w:b/>
          <w:bCs/>
          <w:color w:val="161B22"/>
        </w:rPr>
        <w:t xml:space="preserve">The Fourteen Hospitals (January 2026 transformation plans)</w:t>
      </w:r>
      <w:bookmarkEnd w:id="1457"/>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8" w:name="_Toc1457"/>
      <w:r>
        <w:rPr>
          <w:b/>
          <w:bCs/>
          <w:color w:val="161B22"/>
        </w:rPr>
        <w:t xml:space="preserve">Patterns in the Data</w:t>
      </w:r>
      <w:bookmarkEnd w:id="1458"/>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9" w:name="_Toc1458"/>
      <w:r>
        <w:rPr>
          <w:b/>
          <w:bCs/>
          <w:color w:val="161B22"/>
        </w:rPr>
        <w:t xml:space="preserve">A.5 The Transformation Plans: A System in Motion</w:t>
      </w:r>
      <w:bookmarkEnd w:id="1459"/>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60" w:name="_Toc1459"/>
      <w:r>
        <w:rPr>
          <w:b/>
          <w:bCs/>
          <w:color w:val="161B22"/>
        </w:rPr>
        <w:t xml:space="preserve">A.6 The Insurance and Premium Crisis</w:t>
      </w:r>
      <w:bookmarkEnd w:id="1460"/>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61" w:name="_Toc1460"/>
      <w:r>
        <w:rPr>
          <w:b/>
          <w:bCs/>
          <w:color w:val="161B22"/>
        </w:rPr>
        <w:t xml:space="preserve">A.7 Healthcare Workforce</w:t>
      </w:r>
      <w:bookmarkEnd w:id="1461"/>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2" w:name="_Toc1461"/>
      <w:r>
        <w:rPr>
          <w:b/>
          <w:bCs/>
          <w:color w:val="161B22"/>
        </w:rPr>
        <w:t xml:space="preserve">A.8 Clinical Quality Indicators</w:t>
      </w:r>
      <w:bookmarkEnd w:id="1462"/>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3" w:name="_Toc1462"/>
      <w:r>
        <w:rPr>
          <w:b/>
          <w:bCs/>
          <w:color w:val="161B22"/>
        </w:rPr>
        <w:t xml:space="preserve">Appendix B — Act 68 Statutory Timeline and Milestones</w:t>
      </w:r>
      <w:bookmarkEnd w:id="1463"/>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Figure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4" w:name="_Toc1463"/>
      <w:r>
        <w:rPr>
          <w:b/>
          <w:bCs/>
          <w:color w:val="161B22"/>
        </w:rPr>
        <w:t xml:space="preserve">Policy-Pillar Implementation Matrix</w:t>
      </w:r>
      <w:bookmarkEnd w:id="1464"/>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B.2 — Policy-pillar implementation matrix. Sources: HTR Advisory methodology; Vermont RHT Program Application (2025); GMCB rate-setting documentation.</w:t>
      </w:r>
    </w:p>
    <w:p>
      <w:r>
        <w:br w:type="page"/>
      </w:r>
    </w:p>
    <w:p>
      <w:pPr>
        <w:pStyle w:val="Heading1"/>
        <w:keepNext w:val="false"/>
      </w:pPr>
      <w:bookmarkStart w:id="1465" w:name="_Toc1464"/>
      <w:r>
        <w:rPr>
          <w:b/>
          <w:bCs/>
          <w:color w:val="161B22"/>
        </w:rPr>
        <w:t xml:space="preserve">Appendix C — The 14-Hospital Centers of Excellence Assignment Framework</w:t>
      </w:r>
      <w:bookmarkEnd w:id="1465"/>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6" w:name="_Toc1465"/>
      <w:r>
        <w:rPr>
          <w:b/>
          <w:bCs/>
          <w:color w:val="161B22"/>
        </w:rPr>
        <w:t xml:space="preserve">Appendix D — AHEAD State Agreement: Key Terms and Provisions</w:t>
      </w:r>
      <w:bookmarkEnd w:id="1466"/>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Figure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7" w:name="_Toc1466"/>
      <w:r>
        <w:rPr>
          <w:b/>
          <w:bCs/>
          <w:color w:val="161B22"/>
        </w:rPr>
        <w:t xml:space="preserve">Appendix E — HTR Platform Tools and Methodology Overview</w:t>
      </w:r>
      <w:bookmarkEnd w:id="1467"/>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8" w:name="_Toc1467"/>
      <w:r>
        <w:rPr>
          <w:b/>
          <w:bCs/>
          <w:color w:val="161B22"/>
        </w:rPr>
        <w:t xml:space="preserve">Appendix F — Vermont Transformation Scorecard: 2022 Baseline, 2026 Status, 2028 Target</w:t>
      </w:r>
      <w:bookmarkEnd w:id="1468"/>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9" w:name="_Toc1468"/>
      <w:r>
        <w:rPr>
          <w:b/>
          <w:bCs/>
          <w:color w:val="161B22"/>
        </w:rPr>
        <w:t xml:space="preserve">Policy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70" w:name="_Toc1469"/>
      <w:r>
        <w:rPr>
          <w:b/>
          <w:bCs/>
          <w:color w:val="161B22"/>
        </w:rPr>
        <w:t xml:space="preserve">Technology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71" w:name="_Toc1470"/>
      <w:r>
        <w:rPr>
          <w:b/>
          <w:bCs/>
          <w:color w:val="161B22"/>
        </w:rPr>
        <w:t xml:space="preserve">Economics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2" w:name="_Toc1471"/>
      <w:r>
        <w:rPr>
          <w:b/>
          <w:bCs/>
          <w:color w:val="161B22"/>
        </w:rPr>
        <w:t xml:space="preserve">Clinical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3" w:name="_Toc1472"/>
      <w:r>
        <w:rPr>
          <w:b/>
          <w:bCs/>
          <w:color w:val="161B22"/>
        </w:rPr>
        <w:t xml:space="preserve">Equity Pillar</w:t>
      </w:r>
      <w:bookmarkEnd w:id="147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4" w:name="_Toc1473"/>
      <w:r>
        <w:rPr>
          <w:b/>
          <w:bCs/>
          <w:color w:val="161B22"/>
        </w:rPr>
        <w:t xml:space="preserve">Operations Pillar</w:t>
      </w:r>
      <w:bookmarkEnd w:id="147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5" w:name="_Toc1474"/>
      <w:r>
        <w:rPr>
          <w:b/>
          <w:bCs/>
          <w:color w:val="161B22"/>
        </w:rPr>
        <w:t xml:space="preserve">Appendix G — A Reader’s Guide to the Health Transformation Review Platform</w:t>
      </w:r>
      <w:bookmarkEnd w:id="1475"/>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6" w:name="_Toc1475"/>
      <w:r>
        <w:rPr>
          <w:b/>
          <w:bCs/>
          <w:color w:val="161B22"/>
        </w:rPr>
        <w:t xml:space="preserve">What This Platform Is</w:t>
      </w:r>
      <w:bookmarkEnd w:id="1476"/>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7" w:name="_Toc1476"/>
      <w:r>
        <w:rPr>
          <w:b/>
          <w:bCs/>
          <w:color w:val="161B22"/>
        </w:rPr>
        <w:t xml:space="preserve">Navigating the Platform</w:t>
      </w:r>
      <w:bookmarkEnd w:id="1477"/>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8" w:name="_Toc1477"/>
      <w:r>
        <w:rPr>
          <w:b/>
          <w:bCs/>
          <w:color w:val="161B22"/>
        </w:rPr>
        <w:t xml:space="preserve">The Six Pillars of Intelligence</w:t>
      </w:r>
      <w:bookmarkEnd w:id="1478"/>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9" w:name="_Toc1478"/>
      <w:r>
        <w:rPr>
          <w:b/>
          <w:bCs/>
          <w:color w:val="161B22"/>
        </w:rPr>
        <w:t xml:space="preserve">The Academy</w:t>
      </w:r>
      <w:bookmarkEnd w:id="1479"/>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80" w:name="_Toc1479"/>
      <w:r>
        <w:rPr>
          <w:b/>
          <w:bCs/>
          <w:color w:val="161B22"/>
        </w:rPr>
        <w:t xml:space="preserve">The Research Lab</w:t>
      </w:r>
      <w:bookmarkEnd w:id="1480"/>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81" w:name="_Toc1480"/>
      <w:r>
        <w:rPr>
          <w:b/>
          <w:bCs/>
          <w:color w:val="161B22"/>
        </w:rPr>
        <w:t xml:space="preserve">States &amp; Programs</w:t>
      </w:r>
      <w:bookmarkEnd w:id="1481"/>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2" w:name="_Toc1481"/>
      <w:r>
        <w:rPr>
          <w:b/>
          <w:bCs/>
          <w:color w:val="161B22"/>
        </w:rPr>
        <w:t xml:space="preserve">Advisory &amp; Services and the AI Analyst</w:t>
      </w:r>
      <w:bookmarkEnd w:id="1482"/>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3" w:name="_Toc1482"/>
      <w:r>
        <w:rPr>
          <w:b/>
          <w:bCs/>
          <w:color w:val="161B22"/>
        </w:rPr>
        <w:t xml:space="preserve">Reader Profiles and Recommended Paths</w:t>
      </w:r>
      <w:bookmarkEnd w:id="1483"/>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4" w:name="_Toc1483"/>
      <w:r>
        <w:rPr>
          <w:b/>
          <w:bCs/>
          <w:color w:val="161B22"/>
        </w:rPr>
        <w:t xml:space="preserve">Appendix H — Adapting and Stress-Testing the Framework</w:t>
      </w:r>
      <w:bookmarkEnd w:id="1484"/>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5" w:name="_Toc1484"/>
      <w:r>
        <w:rPr>
          <w:b/>
          <w:bCs/>
          <w:color w:val="161B22"/>
        </w:rPr>
        <w:t xml:space="preserve">H.1 Glossary of Vermont-Specific Acronyms and Institutions</w:t>
      </w:r>
      <w:bookmarkEnd w:id="1485"/>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6" w:name="_Toc1485"/>
      <w:r>
        <w:rPr>
          <w:b/>
          <w:bCs/>
          <w:color w:val="161B22"/>
        </w:rPr>
        <w:t xml:space="preserve">H.2 Worksheet — Adapt This Framework to Your State</w:t>
      </w:r>
      <w:bookmarkEnd w:id="1486"/>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7" w:name="_Toc1486"/>
      <w:r>
        <w:rPr>
          <w:b/>
          <w:bCs/>
          <w:color w:val="161B22"/>
        </w:rPr>
        <w:t xml:space="preserve">H.3 The Transition Window — Financing FY2027–2030</w:t>
      </w:r>
      <w:bookmarkEnd w:id="1487"/>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8" w:name="_Toc1487"/>
      <w:r>
        <w:rPr>
          <w:b/>
          <w:bCs/>
          <w:color w:val="161B22"/>
        </w:rPr>
        <w:t xml:space="preserve">What bridges exist</w:t>
      </w:r>
      <w:bookmarkEnd w:id="1488"/>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9" w:name="_Toc1488"/>
      <w:r>
        <w:rPr>
          <w:b/>
          <w:bCs/>
          <w:color w:val="161B22"/>
        </w:rPr>
        <w:t xml:space="preserve">What this means for a hospital CFO</w:t>
      </w:r>
      <w:bookmarkEnd w:id="1489"/>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90" w:name="_Toc1489"/>
      <w:r>
        <w:rPr>
          <w:b/>
          <w:bCs/>
          <w:color w:val="161B22"/>
        </w:rPr>
        <w:t xml:space="preserve">H.4 Two Clocks — Reconciling Act 68 and AHEAD Cohort 2 Timelines</w:t>
      </w:r>
      <w:bookmarkEnd w:id="1490"/>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91" w:name="_Toc1490"/>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91"/>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2" w:name="_Toc1491"/>
      <w:r>
        <w:rPr>
          <w:b/>
          <w:bCs/>
          <w:color w:val="161B22"/>
        </w:rPr>
        <w:t xml:space="preserve">GMCB’s enforcement toolkit</w:t>
      </w:r>
      <w:bookmarkEnd w:id="1492"/>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3" w:name="_Toc1492"/>
      <w:r>
        <w:rPr>
          <w:b/>
          <w:bCs/>
          <w:color w:val="161B22"/>
        </w:rPr>
        <w:t xml:space="preserve">The test case: GMCB v. UVMMC</w:t>
      </w:r>
      <w:bookmarkEnd w:id="1493"/>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94" w:name="_Toc1493"/>
      <w:r>
        <w:rPr>
          <w:b/>
          <w:bCs/>
          <w:color w:val="161B22"/>
        </w:rPr>
        <w:t xml:space="preserve">Appendix I — The HTR Lab Workbook: A Six-Pillar Practicum</w:t>
      </w:r>
      <w:bookmarkEnd w:id="1494"/>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5" w:name="_Toc1494"/>
      <w:r>
        <w:rPr>
          <w:b/>
          <w:bCs/>
          <w:color w:val="161B22"/>
        </w:rPr>
        <w:t xml:space="preserve">How to Use This Workbook</w:t>
      </w:r>
      <w:bookmarkEnd w:id="1495"/>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6" w:name="_Toc1495"/>
      <w:r>
        <w:rPr>
          <w:b/>
          <w:bCs/>
          <w:color w:val="161B22"/>
        </w:rPr>
        <w:t xml:space="preserve">Stage 1 — Policy: Establish the Mandate</w:t>
      </w:r>
      <w:bookmarkEnd w:id="1496"/>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7" w:name="_Toc1496"/>
      <w:r>
        <w:rPr>
          <w:b/>
          <w:bCs/>
          <w:color w:val="161B22"/>
        </w:rPr>
        <w:t xml:space="preserve">Stage 2 — Technology: Build the Substrate</w:t>
      </w:r>
      <w:bookmarkEnd w:id="1497"/>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8" w:name="_Toc1497"/>
      <w:r>
        <w:rPr>
          <w:b/>
          <w:bCs/>
          <w:color w:val="161B22"/>
        </w:rPr>
        <w:t xml:space="preserve">Stage 3 — Economics: Put Incentives on a Visible System</w:t>
      </w:r>
      <w:bookmarkEnd w:id="1498"/>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9" w:name="_Toc1498"/>
      <w:r>
        <w:rPr>
          <w:b/>
          <w:bCs/>
          <w:color w:val="161B22"/>
        </w:rPr>
        <w:t xml:space="preserve">Stage 4 — Clinical: Redesign Care on Aligned Incentives</w:t>
      </w:r>
      <w:bookmarkEnd w:id="1499"/>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500" w:name="_Toc1499"/>
      <w:r>
        <w:rPr>
          <w:b/>
          <w:bCs/>
          <w:color w:val="161B22"/>
        </w:rPr>
        <w:t xml:space="preserve">Stage 5 — Equity: Calibrate for the Gap, Not the Average</w:t>
      </w:r>
      <w:bookmarkEnd w:id="1500"/>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501" w:name="_Toc1500"/>
      <w:r>
        <w:rPr>
          <w:b/>
          <w:bCs/>
          <w:color w:val="161B22"/>
        </w:rPr>
        <w:t xml:space="preserve">Stage 6 — Operations: Close the Execution Gap</w:t>
      </w:r>
      <w:bookmarkEnd w:id="1501"/>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502" w:name="_Toc1501"/>
      <w:r>
        <w:rPr>
          <w:b/>
          <w:bCs/>
          <w:color w:val="161B22"/>
        </w:rPr>
        <w:t xml:space="preserve">Figure Index</w:t>
      </w:r>
      <w:bookmarkEnd w:id="1502"/>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T.1 — Vermont Healthcare Transformation Timeline: 2022–2035. Sources: Vermont Legislature, CMS, AHS, GMCB.</w:t>
      </w:r>
    </w:p>
    <w:p>
      <w:pPr>
        <w:pStyle w:val="Caption"/>
      </w:pPr>
      <w:r>
        <w:t xml:space="preserve">Figure 2.1 — Common perceptions of Vermont’s health system versus the data. Source: Oliver Wyman Act 167 Report; GMCB.</w:t>
      </w:r>
    </w:p>
    <w:p>
      <w:pPr>
        <w:pStyle w:val="Caption"/>
      </w:pPr>
      <w:r>
        <w:t xml:space="preserve">Figure 2.2 — Proposed Centers of Excellence assignments by hospital. Source: Oliver Wyman regionalization blueprint.</w:t>
      </w:r>
    </w:p>
    <w:p>
      <w:pPr>
        <w:pStyle w:val="Caption"/>
      </w:pPr>
      <w:r>
        <w:t xml:space="preserve">Figure 2.3 — Act 68 statutory implementation timeline. Source: Act 68 of 2025.</w:t>
      </w:r>
    </w:p>
    <w:p>
      <w:pPr>
        <w:pStyle w:val="Caption"/>
      </w:pPr>
      <w:r>
        <w:t xml:space="preserve">Figure 2.4 — State reference-based pricing and rate-setting programs compared. Sources: state program documentation; RAND; GMCB.</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CMMI models most relevant to Vermont’s transformation. Source: CMS Innovation Center.</w:t>
      </w:r>
    </w:p>
    <w:p>
      <w:pPr>
        <w:pStyle w:val="Caption"/>
      </w:pPr>
      <w:r>
        <w:t xml:space="preserve">Figure 3.3 — Policy strategy functions for healthcare organizations. Source: HTR Advisory framework.</w:t>
      </w:r>
    </w:p>
    <w:p>
      <w:pPr>
        <w:pStyle w:val="Caption"/>
      </w:pPr>
      <w:r>
        <w:t xml:space="preserve">Figure 3.4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4.2 — VHCURES data coverage summary. Commercial coverage is partial because ERISA exempts self-insured employers; extracts hold up to five years of eligibility and paid claims. Source: GMCB VHCURES documentation.</w:t>
      </w:r>
    </w:p>
    <w:p>
      <w:pPr>
        <w:pStyle w:val="Caption"/>
      </w:pPr>
      <w:r>
        <w:t xml:space="preserve">Figure 4.3 — VHCURES structural limitations and required improvements. Sources: GMCB VHCURES data documentation; Oliver Wyman Act 167 Report; AHS Transformation Reports; Act 68 of 2025.</w:t>
      </w:r>
    </w:p>
    <w:p>
      <w:pPr>
        <w:pStyle w:val="Caption"/>
      </w:pPr>
      <w:r>
        <w:t xml:space="preserve">Figure 4.4 — Vermont’s three-step path to integrated health records. Sources: Vermont HIE Steering Committee statutory mandate; AHS January 2025 Legislative Presentation; DVHA HIE governance documents.</w:t>
      </w:r>
    </w:p>
    <w:p>
      <w:pPr>
        <w:pStyle w:val="Caption"/>
      </w:pPr>
      <w:r>
        <w:t xml:space="preserve">Figure 4.5 — The UHDS three-layer architecture. Each layer is dependent on the one below it. Sources: Vermont UHDS Transition Plan; DVHA HIE program documentation.</w:t>
      </w:r>
    </w:p>
    <w:p>
      <w:pPr>
        <w:pStyle w:val="Caption"/>
      </w:pPr>
      <w:r>
        <w:t xml:space="preserve">Figure 4.6 — Vermont statewide EHR: case for and against. The feasibility assessment underway will weigh these factors against Vermont’s specific cost, disruption tolerance, and FHIR interoperability capacity.</w:t>
      </w:r>
    </w:p>
    <w:p>
      <w:pPr>
        <w:pStyle w:val="Caption"/>
      </w:pPr>
      <w:r>
        <w:t xml:space="preserve">Figure 4.7 — Vermont FHIR compliance landscape (estimated as of 2026). Sources: AHS Legislative Presentation January 2025; Vermont RHT Program Application; GMCB HIE connectivity criteria.</w:t>
      </w:r>
    </w:p>
    <w:p>
      <w:pPr>
        <w:pStyle w:val="Caption"/>
      </w:pPr>
      <w: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5.3 — Technology pillar implementation matrix. Sources: HTR Advisory; Vermont RHT Program (2025); CMS interoperability rule.</w:t>
      </w:r>
    </w:p>
    <w:p>
      <w:pPr>
        <w:pStyle w:val="Caption"/>
      </w:pPr>
      <w:r>
        <w:t xml:space="preserve">Figure 5.H — Hands-on platform tools for the Technology Pillar in practice.</w:t>
      </w:r>
    </w:p>
    <w:p>
      <w:pPr>
        <w:pStyle w:val="Caption"/>
      </w:pPr>
      <w:r>
        <w:t xml:space="preserve">Figure 6.1 — Vermont hospital commercial pricing vs. Medicare and break-even benchmarks. Sources: GMCB Act 68 RBP Update (February 2026); RAND Hospital Price Transparency Study.</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6.3 — Cross-state reference-based pricing and rate regulation: design and outcomes. Sources: GMCB Act 68 Update (February 2026); Health Affairs; Commonwealth Fund; CMS.</w:t>
      </w:r>
    </w:p>
    <w:p>
      <w:pPr>
        <w:pStyle w:val="Caption"/>
      </w:pPr>
      <w:r>
        <w:t xml:space="preserve">Figure 6.4 — Vermont RBP and global budget implementation phases. Source: GMCB Act 68 Update, February 2026.</w:t>
      </w:r>
    </w:p>
    <w:p>
      <w:pPr>
        <w:pStyle w:val="Caption"/>
      </w:pPr>
      <w:r>
        <w:t xml:space="preserve">Figure 6.5 — Five dimensions of global budget design with Vermont’s current direction. Source: GMCB Act 68 Update (February 2026); Act 68 of 2025.</w:t>
      </w:r>
    </w:p>
    <w:p>
      <w:pPr>
        <w:pStyle w:val="Caption"/>
      </w:pPr>
      <w:r>
        <w:t xml:space="preserve">Figure 6.6 — Vermont global budget history: four attempts and the central lesson. Sources: GMCB Act 68 Update (February 2026); Oliver Wyman Act 167 Report.</w:t>
      </w:r>
    </w:p>
    <w:p>
      <w:pPr>
        <w:pStyle w:val="Caption"/>
      </w:pPr>
      <w:r>
        <w:t xml:space="preserve">Figure 6.7 — Maryland All-Payer Global Budget Model results summary. Sources: HSCRC; CMS; Commonwealth Fund; Milbank Memorial Fund.</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The economics of prevention under value-based payment. Inpatient and ED costs are approximate averages and vary by DRG and acuity; the ROI range reflects well-designed ACO care-management programs. Sources: CMS; GMCB; HTR analysis.</w:t>
      </w:r>
    </w:p>
    <w:p>
      <w:pPr>
        <w:pStyle w:val="Caption"/>
      </w:pPr>
      <w:r>
        <w:t xml:space="preserve">Figure 7.3 — Economics pillar implementation matrix. Sources: HTR Research Lab; Oliver Wyman Act 167 Report; Vermont AHEAD documentation.</w:t>
      </w:r>
    </w:p>
    <w:p>
      <w:pPr>
        <w:pStyle w:val="Caption"/>
      </w:pPr>
      <w:r>
        <w:t xml:space="preserve">Figure 7.4 — APM contract review framework: provisions and key questions. Source: HTR Advisory framework.</w:t>
      </w:r>
    </w:p>
    <w:p>
      <w:pPr>
        <w:pStyle w:val="Caption"/>
      </w:pPr>
      <w:r>
        <w:t xml:space="preserve">Figure 7.5 — Financial metrics transformation: FFS versus global budget environment. Source: HTR’s Economics pillar framework.</w:t>
      </w:r>
    </w:p>
    <w:p>
      <w:pPr>
        <w:pStyle w:val="Caption"/>
      </w:pPr>
      <w:r>
        <w:t xml:space="preserve">Figure 7.6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8.H — Hands-on platform tools for the Clinical Pillar.</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9.H — Hands-on platform tools for the Clinical Pillar in practice.</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Caption"/>
      </w:pPr>
      <w:r>
        <w:t xml:space="preserve">Figure 10.4 — Vermont equity gaps and required investments. Sources: Vermont Department of Health Health Equity Data Report (January 2025); Oliver Wyman Act 167 Report; AHS Transformation Reports; KFF GLP-1 coverage analysis.</w:t>
      </w:r>
    </w:p>
    <w:p>
      <w:pPr>
        <w:pStyle w:val="Caption"/>
      </w:pPr>
      <w:r>
        <w:t xml:space="preserve">Figure 10.5 — Equity as a cross-cutting dimension of all six pillars. Sources: Act 67 of 2025; Oliver Wyman Act 167 Report; six-pillar framework.</w:t>
      </w:r>
    </w:p>
    <w:p>
      <w:pPr>
        <w:pStyle w:val="Caption"/>
      </w:pPr>
      <w:r>
        <w:t xml:space="preserve">Figure 10.6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Equity pillar implementation matrix. Sources: Vermont Department of Health Health Equity Data Report (January 2025); Act 68 of 2025.</w:t>
      </w:r>
    </w:p>
    <w:p>
      <w:pPr>
        <w:pStyle w:val="Caption"/>
      </w:pPr>
      <w:r>
        <w:t xml:space="preserve">Figure 10.9 — Five-step disparity closure process with Vermont applications. Source: HTR’s Health Equity Studio methodology.</w:t>
      </w:r>
    </w:p>
    <w:p>
      <w:pPr>
        <w:pStyle w:val="Caption"/>
      </w:pPr>
      <w:r>
        <w:t xml:space="preserve">Figure 10.10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Caption"/>
      </w:pPr>
      <w:r>
        <w:t xml:space="preserve">Figure A.1 — Vermont demographic transformation. Sources: Oliver Wyman Act 167 Report (2024); Vermont RHT Program Application; KFF.</w:t>
      </w:r>
    </w:p>
    <w:p>
      <w:pPr>
        <w:pStyle w:val="Caption"/>
      </w:pPr>
      <w:r>
        <w:t xml:space="preserve">Figure A.2 — GMCB regulatory functions. Sources: GMCB Hospital Budget Review Guide; Acts 167 and 68; GMCB Annual Report 2024.</w:t>
      </w:r>
    </w:p>
    <w:p>
      <w:pPr>
        <w:pStyle w:val="Caption"/>
      </w:pPr>
      <w:r>
        <w:t xml:space="preserve">Figure A.3 — Vermont’s 14 hospitals: typology, grant status, focus, and challenges. Sources: AHS Hospital Tracking data (January 2026); individual transformation plans (January 15, 2026); GMCB FY26 Budget Orders.</w:t>
      </w:r>
    </w:p>
    <w:p>
      <w:pPr>
        <w:pStyle w:val="Caption"/>
      </w:pPr>
      <w:r>
        <w:t xml:space="preserve">Figure A.4 — Vermont hospital transformation initiative themes, January 2026 (148 initiatives). Source: AHS Transformation Plans Analysis (January 2026).</w:t>
      </w:r>
    </w:p>
    <w:p>
      <w:pPr>
        <w:pStyle w:val="Caption"/>
      </w:pPr>
      <w:r>
        <w:t xml:space="preserve">Figure B.1 — Act 68 statutory timeline and milestones. Source: Act 68 of 2025.</w:t>
      </w:r>
    </w:p>
    <w:p>
      <w:pPr>
        <w:pStyle w:val="Caption"/>
      </w:pPr>
      <w:r>
        <w:t xml:space="preserve">Figure B.2 — Policy-pillar implementation matrix. Sources: HTR Advisory methodology; Vermont RHT Program Application (2025); GMCB rate-setting documentation.</w:t>
      </w:r>
    </w:p>
    <w:p>
      <w:pPr>
        <w:pStyle w:val="Caption"/>
      </w:pPr>
      <w:r>
        <w:t xml:space="preserve">Figure D.1 — AHEAD State Agreement key terms and Vermont-specific provisions. Source: Vermont AHEAD State Agreement (January 2025).</w:t>
      </w:r>
    </w:p>
    <w:p>
      <w:pPr>
        <w:pStyle w:val="Caption"/>
      </w:pPr>
      <w:r>
        <w:t xml:space="preserve">Figure F.1 — Policy-pillar scorecard. Sources: Act 68 of 2025; Oliver Wyman Act 167 Report; CMS AHEAD documentation; Vermont RHT Program Application.</w:t>
      </w:r>
    </w:p>
    <w:p>
      <w:pPr>
        <w:pStyle w:val="Caption"/>
      </w:pPr>
      <w:r>
        <w:t xml:space="preserve">Figure F.2 — Technology-pillar scorecard. Sources: GMCB VHCURES; VITL; Vermont DOH Health Equity Data Report (January 2025); Vermont RHT Application.</w:t>
      </w:r>
    </w:p>
    <w:p>
      <w:pPr>
        <w:pStyle w:val="Caption"/>
      </w:pPr>
      <w:r>
        <w:t xml:space="preserve">Figure F.3 — Economics-pillar scorecard. Sources: Oliver Wyman Act 167 Report; AHS November 2025 Report; GMCB price-transparency data; CMS AHEAD.</w:t>
      </w:r>
    </w:p>
    <w:p>
      <w:pPr>
        <w:pStyle w:val="Caption"/>
      </w:pPr>
      <w:r>
        <w:t xml:space="preserve">Figure F.4 — Clinical-pillar scorecard. Sources: Vermont Blueprint Annual Report 2024; Vermont AHS; GMCB quality reporting; Oliver Wyman workforce analysis.</w:t>
      </w:r>
    </w:p>
    <w:p>
      <w:pPr>
        <w:pStyle w:val="Caption"/>
      </w:pPr>
      <w:r>
        <w:t xml:space="preserve">Figure F.5 — Equity-pillar scorecard. Sources: Vermont DOH Health Equity Data Report (January 2025); Act 68; GMCB equity reporting; HTR HEROI framework.</w:t>
      </w:r>
    </w:p>
    <w:p>
      <w:pPr>
        <w:pStyle w:val="Caption"/>
      </w:pPr>
      <w:r>
        <w:t xml:space="preserve">Figure F.6 — Operations-pillar scorecard. Sources: AHS Transformation Reports (August, November 2025); RHRC; Vermont RHT Program Application; Act 68.</w:t>
      </w:r>
    </w:p>
    <w:p>
      <w:pPr>
        <w:pStyle w:val="Caption"/>
      </w:pPr>
      <w:r>
        <w:t xml:space="preserve">Figure I.1 — The HTR Lab Workbook maps each of the six pillars to a working platform tool, in the book’s execution sequence.</w:t>
      </w:r>
    </w:p>
    <w:p>
      <w:pPr>
        <w:pStyle w:val="Heading1"/>
      </w:pPr>
      <w:bookmarkStart w:id="1503" w:name="_Toc1502"/>
      <w:r>
        <w:rPr>
          <w:b/>
          <w:bCs/>
          <w:color w:val="161B22"/>
        </w:rPr>
        <w:t xml:space="preserve">Bibliography and Source Notes</w:t>
      </w:r>
      <w:bookmarkEnd w:id="1503"/>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4" w:name="_Toc1503"/>
      <w:r>
        <w:rPr>
          <w:b/>
          <w:bCs/>
          <w:color w:val="161B22"/>
        </w:rPr>
        <w:t xml:space="preserve">Index (Selected)</w:t>
      </w:r>
      <w:bookmarkEnd w:id="1504"/>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2026-08-04T21:47:16Z</dcterms:created>
  <dcterms:modified xsi:type="dcterms:W3CDTF">2026-08-04T21:47:16Z</dcterms:modified>
</cp:coreProperties>
</file>

<file path=docProps/custom.xml><?xml version="1.0" encoding="utf-8"?>
<Properties xmlns="http://schemas.openxmlformats.org/officeDocument/2006/custom-properties" xmlns:vt="http://schemas.openxmlformats.org/officeDocument/2006/docPropsVTypes"/>
</file>