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 data confirms the 5.8:1 ROI.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Typically 50-75% for one-sided risk models, and reaches 100% in global-risk models such as ACO REACH.</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typically 2-3.5% of benchmark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a year in RHT funds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$195M/yr RHT capital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