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Work This Chapter on the Platform</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Implications for You</w:t>
        </w:r>
      </w:hyperlink>
      <w:r>
        <w:tab/>
      </w:r>
      <w:r>
        <w:fldChar w:fldCharType="begin"/>
      </w:r>
      <w:r>
        <w:instrText xml:space="preserve"> PAGEREF _Toc1365 \h </w:instrText>
      </w:r>
      <w:r>
        <w:fldChar w:fldCharType="separate"/>
      </w:r>
      <w:r>
        <w:t>1</w:t>
      </w:r>
      <w:r>
        <w:fldChar w:fldCharType="end"/>
      </w:r>
    </w:p>
    <w:p>
      <w:pPr>
        <w:pStyle w:val="TOC2"/>
      </w:pPr>
      <w:hyperlink w:anchor="_Toc1366">
        <w:r>
          <w:t xml:space="preserve">Key Concepts in This Chapter</w:t>
        </w:r>
      </w:hyperlink>
      <w:r>
        <w:tab/>
      </w:r>
      <w:r>
        <w:fldChar w:fldCharType="begin"/>
      </w:r>
      <w:r>
        <w:instrText xml:space="preserve"> PAGEREF _Toc1366 \h </w:instrText>
      </w:r>
      <w:r>
        <w:fldChar w:fldCharType="separate"/>
      </w:r>
      <w:r>
        <w:t>1</w:t>
      </w:r>
      <w:r>
        <w:fldChar w:fldCharType="end"/>
      </w:r>
    </w:p>
    <w:p>
      <w:pPr>
        <w:pStyle w:val="TOC1"/>
      </w:pPr>
      <w:hyperlink w:anchor="_Toc1367">
        <w:r>
          <w:t xml:space="preserve">Chapter 13 — The Future of Healthcare Transformation: 2026, What Vermont Proves, and What Remains</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Vermont Transformation Scorecard: Six-Pillar Status, April 2026</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Where the System Stands in April 2026 — A Necessary Update</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Five Forces Shaping the Next Decade</w:t>
        </w:r>
      </w:hyperlink>
      <w:r>
        <w:tab/>
      </w:r>
      <w:r>
        <w:fldChar w:fldCharType="begin"/>
      </w:r>
      <w:r>
        <w:instrText xml:space="preserve"> PAGEREF _Toc1370 \h </w:instrText>
      </w:r>
      <w:r>
        <w:fldChar w:fldCharType="separate"/>
      </w:r>
      <w:r>
        <w:t>1</w:t>
      </w:r>
      <w:r>
        <w:fldChar w:fldCharType="end"/>
      </w:r>
    </w:p>
    <w:p>
      <w:pPr>
        <w:pStyle w:val="TOC2"/>
      </w:pPr>
      <w:hyperlink w:anchor="_Toc1376">
        <w:r>
          <w:t xml:space="preserve">The Six-Pillar Forecast: 2026–2035</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Vermont’s Ten-Year Trajectory: Two Scenarios</w:t>
        </w:r>
      </w:hyperlink>
      <w:r>
        <w:tab/>
      </w:r>
      <w:r>
        <w:fldChar w:fldCharType="begin"/>
      </w:r>
      <w:r>
        <w:instrText xml:space="preserve"> PAGEREF _Toc1377 \h </w:instrText>
      </w:r>
      <w:r>
        <w:fldChar w:fldCharType="separate"/>
      </w:r>
      <w:r>
        <w:t>1</w:t>
      </w:r>
      <w:r>
        <w:fldChar w:fldCharType="end"/>
      </w:r>
    </w:p>
    <w:p>
      <w:pPr>
        <w:pStyle w:val="TOC2"/>
      </w:pPr>
      <w:hyperlink w:anchor="_Toc1380">
        <w:r>
          <w:t xml:space="preserve">Vermont as National Template — The Decisions That Will Determine Outcomes</w:t>
        </w:r>
      </w:hyperlink>
      <w:r>
        <w:tab/>
      </w:r>
      <w:r>
        <w:fldChar w:fldCharType="begin"/>
      </w:r>
      <w:r>
        <w:instrText xml:space="preserve"> PAGEREF _Toc1380 \h </w:instrText>
      </w:r>
      <w:r>
        <w:fldChar w:fldCharType="separate"/>
      </w:r>
      <w:r>
        <w:t>1</w:t>
      </w:r>
      <w:r>
        <w:fldChar w:fldCharType="end"/>
      </w:r>
    </w:p>
    <w:p>
      <w:pPr>
        <w:pStyle w:val="TOC2"/>
      </w:pPr>
      <w:hyperlink w:anchor="_Toc1381">
        <w:r>
          <w:t xml:space="preserve">Work This Chapter on the Platform</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Implications for You</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Key Concepts in This Chapter</w:t>
        </w:r>
      </w:hyperlink>
      <w:r>
        <w:tab/>
      </w:r>
      <w:r>
        <w:fldChar w:fldCharType="begin"/>
      </w:r>
      <w:r>
        <w:instrText xml:space="preserve"> PAGEREF _Toc1383 \h </w:instrText>
      </w:r>
      <w:r>
        <w:fldChar w:fldCharType="separate"/>
      </w:r>
      <w:r>
        <w:t>1</w:t>
      </w:r>
      <w:r>
        <w:fldChar w:fldCharType="end"/>
      </w:r>
    </w:p>
    <w:p>
      <w:pPr>
        <w:pStyle w:val="TOC2"/>
      </w:pPr>
      <w:hyperlink w:anchor="_Toc1384">
        <w:r>
          <w:t xml:space="preserve">A Closing Note: What This Book Is Betting On</w:t>
        </w:r>
      </w:hyperlink>
      <w:r>
        <w:tab/>
      </w:r>
      <w:r>
        <w:fldChar w:fldCharType="begin"/>
      </w:r>
      <w:r>
        <w:instrText xml:space="preserve"> PAGEREF _Toc1384 \h </w:instrText>
      </w:r>
      <w:r>
        <w:fldChar w:fldCharType="separate"/>
      </w:r>
      <w:r>
        <w:t>1</w:t>
      </w:r>
      <w:r>
        <w:fldChar w:fldCharType="end"/>
      </w:r>
    </w:p>
    <w:p>
      <w:pPr>
        <w:pStyle w:val="TOC1"/>
      </w:pPr>
      <w:hyperlink w:anchor="_Toc1385">
        <w:r>
          <w:t xml:space="preserve">Chapter 14 — Political Sustainability: Protecting Transformation Across Election Cycles</w:t>
        </w:r>
      </w:hyperlink>
      <w:r>
        <w:tab/>
      </w:r>
      <w:r>
        <w:fldChar w:fldCharType="begin"/>
      </w:r>
      <w:r>
        <w:instrText xml:space="preserve"> PAGEREF _Toc1385 \h </w:instrText>
      </w:r>
      <w:r>
        <w:fldChar w:fldCharType="separate"/>
      </w:r>
      <w:r>
        <w:t>1</w:t>
      </w:r>
      <w:r>
        <w:fldChar w:fldCharType="end"/>
      </w:r>
    </w:p>
    <w:p>
      <w:pPr>
        <w:pStyle w:val="TOC2"/>
      </w:pPr>
      <w:hyperlink w:anchor="_Toc1386">
        <w:r>
          <w:t xml:space="preserve">Why Political Sustainability Is an Analytical Problem, Not Only a Political One</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The Structural Durability of Vermont’s Reform Architecture</w:t>
        </w:r>
      </w:hyperlink>
      <w:r>
        <w:tab/>
      </w:r>
      <w:r>
        <w:fldChar w:fldCharType="begin"/>
      </w:r>
      <w:r>
        <w:instrText xml:space="preserve"> PAGEREF _Toc1387 \h </w:instrText>
      </w:r>
      <w:r>
        <w:fldChar w:fldCharType="separate"/>
      </w:r>
      <w:r>
        <w:t>1</w:t>
      </w:r>
      <w:r>
        <w:fldChar w:fldCharType="end"/>
      </w:r>
    </w:p>
    <w:p>
      <w:pPr>
        <w:pStyle w:val="TOC2"/>
      </w:pPr>
      <w:hyperlink w:anchor="_Toc1390">
        <w:r>
          <w:t xml:space="preserve">Early-Warning Signals of Political Risk</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Organizational Strategies for Political Risk Management</w:t>
        </w:r>
      </w:hyperlink>
      <w:r>
        <w:tab/>
      </w:r>
      <w:r>
        <w:fldChar w:fldCharType="begin"/>
      </w:r>
      <w:r>
        <w:instrText xml:space="preserve"> PAGEREF _Toc1391 \h </w:instrText>
      </w:r>
      <w:r>
        <w:fldChar w:fldCharType="separate"/>
      </w:r>
      <w:r>
        <w:t>1</w:t>
      </w:r>
      <w:r>
        <w:fldChar w:fldCharType="end"/>
      </w:r>
    </w:p>
    <w:p>
      <w:pPr>
        <w:pStyle w:val="TOC2"/>
      </w:pPr>
      <w:hyperlink w:anchor="_Toc1396">
        <w:r>
          <w:t xml:space="preserve">Vermont’s Reform Cascade as Political-Sustainability Architecture</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Work This Chapter on the Platform</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Implications for You</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Key Concepts in This Chapter</w:t>
        </w:r>
      </w:hyperlink>
      <w:r>
        <w:tab/>
      </w:r>
      <w:r>
        <w:fldChar w:fldCharType="begin"/>
      </w:r>
      <w:r>
        <w:instrText xml:space="preserve"> PAGEREF _Toc1399 \h </w:instrText>
      </w:r>
      <w:r>
        <w:fldChar w:fldCharType="separate"/>
      </w:r>
      <w:r>
        <w:t>1</w:t>
      </w:r>
      <w:r>
        <w:fldChar w:fldCharType="end"/>
      </w:r>
    </w:p>
    <w:p>
      <w:pPr>
        <w:pStyle w:val="TOC1"/>
      </w:pPr>
      <w:hyperlink w:anchor="_Toc1400">
        <w:r>
          <w:t xml:space="preserve">Chapter 15 — Healthcare Transformation as Portfolio Management: Applying PMI Standards to Six-Pillar Reform</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The Project-Management Gap in Healthcare Transformation</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Project, Program, and Portfolio: Getting the Levels Right</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Vermont’s Transformation Portfolio: 19 Components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Case for a Portfolio Manager</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Pillar-Level Project Managers: Six Roles, One Framework</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Governance Architecture and the Ten Knowledge Areas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Portfolio Sequence Is Dependency Sequence</w:t>
        </w:r>
      </w:hyperlink>
      <w:r>
        <w:tab/>
      </w:r>
      <w:r>
        <w:fldChar w:fldCharType="begin"/>
      </w:r>
      <w:r>
        <w:instrText xml:space="preserve"> PAGEREF _Toc1407 \h </w:instrText>
      </w:r>
      <w:r>
        <w:fldChar w:fldCharType="separate"/>
      </w:r>
      <w:r>
        <w:t>1</w:t>
      </w:r>
      <w:r>
        <w:fldChar w:fldCharType="end"/>
      </w:r>
    </w:p>
    <w:p>
      <w:pPr>
        <w:pStyle w:val="TOC2"/>
      </w:pPr>
      <w:hyperlink w:anchor="_Toc1408">
        <w:r>
          <w:t xml:space="preserve">Predictive vs. Adaptive Approaches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Portfolio Risk Register</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Benefits Realization: Connecting the PMO to Act 167’s Five Goals</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The Business Case</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Implementation Roadmap</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Answering the Four Objections</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Work This Chapter on the Platform</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Implications for You</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Key Concepts in This Chapter</w:t>
        </w:r>
      </w:hyperlink>
      <w:r>
        <w:tab/>
      </w:r>
      <w:r>
        <w:fldChar w:fldCharType="begin"/>
      </w:r>
      <w:r>
        <w:instrText xml:space="preserve"> PAGEREF _Toc1416 \h </w:instrText>
      </w:r>
      <w:r>
        <w:fldChar w:fldCharType="separate"/>
      </w:r>
      <w:r>
        <w:t>1</w:t>
      </w:r>
      <w:r>
        <w:fldChar w:fldCharType="end"/>
      </w:r>
    </w:p>
    <w:p>
      <w:pPr>
        <w:pStyle w:val="TOC1"/>
      </w:pPr>
      <w:hyperlink w:anchor="_Toc1417">
        <w:r>
          <w:t xml:space="preserve">Chapter 16 — The AHS Restructuring Roadmap: A Six-Pillar Framework for System Architects</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The Statutory Mandate — What Act 68 Actually Requires AHS to Do</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Organizational Diagnosis — Why AHS Must Restructure, Not Just Plan</w:t>
        </w:r>
      </w:hyperlink>
      <w:r>
        <w:tab/>
      </w:r>
      <w:r>
        <w:fldChar w:fldCharType="begin"/>
      </w:r>
      <w:r>
        <w:instrText xml:space="preserve"> PAGEREF _Toc1419 \h </w:instrText>
      </w:r>
      <w:r>
        <w:fldChar w:fldCharType="separate"/>
      </w:r>
      <w:r>
        <w:t>1</w:t>
      </w:r>
      <w:r>
        <w:fldChar w:fldCharType="end"/>
      </w:r>
    </w:p>
    <w:p>
      <w:pPr>
        <w:pStyle w:val="TOC2"/>
      </w:pPr>
      <w:hyperlink w:anchor="_Toc1421">
        <w:r>
          <w:t xml:space="preserve">The Redesigned AHS Operating Model — A Population Health System Operator</w:t>
        </w:r>
      </w:hyperlink>
      <w:r>
        <w:tab/>
      </w:r>
      <w:r>
        <w:fldChar w:fldCharType="begin"/>
      </w:r>
      <w:r>
        <w:instrText xml:space="preserve"> PAGEREF _Toc1421 \h </w:instrText>
      </w:r>
      <w:r>
        <w:fldChar w:fldCharType="separate"/>
      </w:r>
      <w:r>
        <w:t>1</w:t>
      </w:r>
      <w:r>
        <w:fldChar w:fldCharType="end"/>
      </w:r>
    </w:p>
    <w:p>
      <w:pPr>
        <w:pStyle w:val="TOC2"/>
      </w:pPr>
      <w:hyperlink w:anchor="_Toc1425">
        <w:r>
          <w:t xml:space="preserve">The Six-Pillar Framework Applied to AHS’s Mandate</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AHS Restructuring Implementation Timeline</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A Framework for the 2028 Statewide Strategic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Vermont as National Template — Why This Restructuring Matters Beyond Vermont</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Work This Chapter on the Platform</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Implications for You</w:t>
        </w:r>
      </w:hyperlink>
      <w:r>
        <w:tab/>
      </w:r>
      <w:r>
        <w:fldChar w:fldCharType="begin"/>
      </w:r>
      <w:r>
        <w:instrText xml:space="preserve"> PAGEREF _Toc1431 \h </w:instrText>
      </w:r>
      <w:r>
        <w:fldChar w:fldCharType="separate"/>
      </w:r>
      <w:r>
        <w:t>1</w:t>
      </w:r>
      <w:r>
        <w:fldChar w:fldCharType="end"/>
      </w:r>
    </w:p>
    <w:p>
      <w:pPr>
        <w:pStyle w:val="TOC2"/>
      </w:pPr>
      <w:hyperlink w:anchor="_Toc1432">
        <w:r>
          <w:t xml:space="preserve">Key Concepts in This Chapter</w:t>
        </w:r>
      </w:hyperlink>
      <w:r>
        <w:tab/>
      </w:r>
      <w:r>
        <w:fldChar w:fldCharType="begin"/>
      </w:r>
      <w:r>
        <w:instrText xml:space="preserve"> PAGEREF _Toc1432 \h </w:instrText>
      </w:r>
      <w:r>
        <w:fldChar w:fldCharType="separate"/>
      </w:r>
      <w:r>
        <w:t>1</w:t>
      </w:r>
      <w:r>
        <w:fldChar w:fldCharType="end"/>
      </w:r>
    </w:p>
    <w:p>
      <w:pPr>
        <w:pStyle w:val="TOC1"/>
      </w:pPr>
      <w:hyperlink w:anchor="_Toc1433">
        <w:r>
          <w:t xml:space="preserve">Conclusion — What Vermont Proves, and What Remains to Be Proven</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What Failure Actually Looks Like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The Three Decisions That Are Not Yet Made</w:t>
        </w:r>
      </w:hyperlink>
      <w:r>
        <w:tab/>
      </w:r>
      <w:r>
        <w:fldChar w:fldCharType="begin"/>
      </w:r>
      <w:r>
        <w:instrText xml:space="preserve"> PAGEREF _Toc1435 \h </w:instrText>
      </w:r>
      <w:r>
        <w:fldChar w:fldCharType="separate"/>
      </w:r>
      <w:r>
        <w:t>1</w:t>
      </w:r>
      <w:r>
        <w:fldChar w:fldCharType="end"/>
      </w:r>
    </w:p>
    <w:p>
      <w:pPr>
        <w:pStyle w:val="TOC2"/>
      </w:pPr>
      <w:hyperlink w:anchor="_Toc1439">
        <w:r>
          <w:t xml:space="preserve">What Vermont Has Proved — As of April 2026</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The People This Book Cannot Reach</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The Call</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Key Concepts in This Chapter</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A — Vermont System Portrait</w:t>
        </w:r>
      </w:hyperlink>
      <w:r>
        <w:tab/>
      </w:r>
      <w:r>
        <w:fldChar w:fldCharType="begin"/>
      </w:r>
      <w:r>
        <w:instrText xml:space="preserve"> PAGEREF _Toc1443 \h </w:instrText>
      </w:r>
      <w:r>
        <w:fldChar w:fldCharType="separate"/>
      </w:r>
      <w:r>
        <w:t>1</w:t>
      </w:r>
      <w:r>
        <w:fldChar w:fldCharType="end"/>
      </w:r>
    </w:p>
    <w:p>
      <w:pPr>
        <w:pStyle w:val="TOC2"/>
      </w:pPr>
      <w:hyperlink w:anchor="_Toc1444">
        <w:r>
          <w:t xml:space="preserve">A.1 Vermont: The State</w:t>
        </w:r>
      </w:hyperlink>
      <w:r>
        <w:tab/>
      </w:r>
      <w:r>
        <w:fldChar w:fldCharType="begin"/>
      </w:r>
      <w:r>
        <w:instrText xml:space="preserve"> PAGEREF _Toc1444 \h </w:instrText>
      </w:r>
      <w:r>
        <w:fldChar w:fldCharType="separate"/>
      </w:r>
      <w:r>
        <w:t>1</w:t>
      </w:r>
      <w:r>
        <w:fldChar w:fldCharType="end"/>
      </w:r>
    </w:p>
    <w:p>
      <w:pPr>
        <w:pStyle w:val="TOC2"/>
      </w:pPr>
      <w:hyperlink w:anchor="_Toc1445">
        <w:r>
          <w:t xml:space="preserve">A.2 Demographics and Population Projections</w:t>
        </w:r>
      </w:hyperlink>
      <w:r>
        <w:tab/>
      </w:r>
      <w:r>
        <w:fldChar w:fldCharType="begin"/>
      </w:r>
      <w:r>
        <w:instrText xml:space="preserve"> PAGEREF _Toc1445 \h </w:instrText>
      </w:r>
      <w:r>
        <w:fldChar w:fldCharType="separate"/>
      </w:r>
      <w:r>
        <w:t>1</w:t>
      </w:r>
      <w:r>
        <w:fldChar w:fldCharType="end"/>
      </w:r>
    </w:p>
    <w:p>
      <w:pPr>
        <w:pStyle w:val="TOC2"/>
      </w:pPr>
      <w:hyperlink w:anchor="_Toc1446">
        <w:r>
          <w:t xml:space="preserve">A.3 Regulatory Architecture: The Green Mountain Care Board</w:t>
        </w:r>
      </w:hyperlink>
      <w:r>
        <w:tab/>
      </w:r>
      <w:r>
        <w:fldChar w:fldCharType="begin"/>
      </w:r>
      <w:r>
        <w:instrText xml:space="preserve"> PAGEREF _Toc1446 \h </w:instrText>
      </w:r>
      <w:r>
        <w:fldChar w:fldCharType="separate"/>
      </w:r>
      <w:r>
        <w:t>1</w:t>
      </w:r>
      <w:r>
        <w:fldChar w:fldCharType="end"/>
      </w:r>
    </w:p>
    <w:p>
      <w:pPr>
        <w:pStyle w:val="TOC2"/>
      </w:pPr>
      <w:hyperlink w:anchor="_Toc1447">
        <w:r>
          <w:t xml:space="preserve">A.4 The Hospital System</w:t>
        </w:r>
      </w:hyperlink>
      <w:r>
        <w:tab/>
      </w:r>
      <w:r>
        <w:fldChar w:fldCharType="begin"/>
      </w:r>
      <w:r>
        <w:instrText xml:space="preserve"> PAGEREF _Toc1447 \h </w:instrText>
      </w:r>
      <w:r>
        <w:fldChar w:fldCharType="separate"/>
      </w:r>
      <w:r>
        <w:t>1</w:t>
      </w:r>
      <w:r>
        <w:fldChar w:fldCharType="end"/>
      </w:r>
    </w:p>
    <w:p>
      <w:pPr>
        <w:pStyle w:val="TOC2"/>
      </w:pPr>
      <w:hyperlink w:anchor="_Toc1450">
        <w:r>
          <w:t xml:space="preserve">A.5 The Transformation Plans: A System in Motion</w:t>
        </w:r>
      </w:hyperlink>
      <w:r>
        <w:tab/>
      </w:r>
      <w:r>
        <w:fldChar w:fldCharType="begin"/>
      </w:r>
      <w:r>
        <w:instrText xml:space="preserve"> PAGEREF _Toc1450 \h </w:instrText>
      </w:r>
      <w:r>
        <w:fldChar w:fldCharType="separate"/>
      </w:r>
      <w:r>
        <w:t>1</w:t>
      </w:r>
      <w:r>
        <w:fldChar w:fldCharType="end"/>
      </w:r>
    </w:p>
    <w:p>
      <w:pPr>
        <w:pStyle w:val="TOC2"/>
      </w:pPr>
      <w:hyperlink w:anchor="_Toc1451">
        <w:r>
          <w:t xml:space="preserve">A.6 The Insurance and Premium Crisis</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A.7 Healthcare Workforce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A.8 Clinical Quality Indicators</w:t>
        </w:r>
      </w:hyperlink>
      <w:r>
        <w:tab/>
      </w:r>
      <w:r>
        <w:fldChar w:fldCharType="begin"/>
      </w:r>
      <w:r>
        <w:instrText xml:space="preserve"> PAGEREF _Toc1453 \h </w:instrText>
      </w:r>
      <w:r>
        <w:fldChar w:fldCharType="separate"/>
      </w:r>
      <w:r>
        <w:t>1</w:t>
      </w:r>
      <w:r>
        <w:fldChar w:fldCharType="end"/>
      </w:r>
    </w:p>
    <w:p>
      <w:pPr>
        <w:pStyle w:val="TOC1"/>
      </w:pPr>
      <w:hyperlink w:anchor="_Toc1454">
        <w:r>
          <w:t xml:space="preserve">Appendix B — Act 68 Statutory Timeline and Milestones</w:t>
        </w:r>
      </w:hyperlink>
      <w:r>
        <w:tab/>
      </w:r>
      <w:r>
        <w:fldChar w:fldCharType="begin"/>
      </w:r>
      <w:r>
        <w:instrText xml:space="preserve"> PAGEREF _Toc1454 \h </w:instrText>
      </w:r>
      <w:r>
        <w:fldChar w:fldCharType="separate"/>
      </w:r>
      <w:r>
        <w:t>1</w:t>
      </w:r>
      <w:r>
        <w:fldChar w:fldCharType="end"/>
      </w:r>
    </w:p>
    <w:p>
      <w:pPr>
        <w:pStyle w:val="TOC1"/>
      </w:pPr>
      <w:hyperlink w:anchor="_Toc1456">
        <w:r>
          <w:t xml:space="preserve">Appendix C — The 14-Hospital Centers of Excellence Assignment Framework</w:t>
        </w:r>
      </w:hyperlink>
      <w:r>
        <w:tab/>
      </w:r>
      <w:r>
        <w:fldChar w:fldCharType="begin"/>
      </w:r>
      <w:r>
        <w:instrText xml:space="preserve"> PAGEREF _Toc1456 \h </w:instrText>
      </w:r>
      <w:r>
        <w:fldChar w:fldCharType="separate"/>
      </w:r>
      <w:r>
        <w:t>1</w:t>
      </w:r>
      <w:r>
        <w:fldChar w:fldCharType="end"/>
      </w:r>
    </w:p>
    <w:p>
      <w:pPr>
        <w:pStyle w:val="TOC1"/>
      </w:pPr>
      <w:hyperlink w:anchor="_Toc1457">
        <w:r>
          <w:t xml:space="preserve">Appendix D — AHEAD State Agreement: Key Terms and Provisions</w:t>
        </w:r>
      </w:hyperlink>
      <w:r>
        <w:tab/>
      </w:r>
      <w:r>
        <w:fldChar w:fldCharType="begin"/>
      </w:r>
      <w:r>
        <w:instrText xml:space="preserve"> PAGEREF _Toc1457 \h </w:instrText>
      </w:r>
      <w:r>
        <w:fldChar w:fldCharType="separate"/>
      </w:r>
      <w:r>
        <w:t>1</w:t>
      </w:r>
      <w:r>
        <w:fldChar w:fldCharType="end"/>
      </w:r>
    </w:p>
    <w:p>
      <w:pPr>
        <w:pStyle w:val="TOC1"/>
      </w:pPr>
      <w:hyperlink w:anchor="_Toc1458">
        <w:r>
          <w:t xml:space="preserve">Appendix E — HTR Platform Tools and Methodology Overview</w:t>
        </w:r>
      </w:hyperlink>
      <w:r>
        <w:tab/>
      </w:r>
      <w:r>
        <w:fldChar w:fldCharType="begin"/>
      </w:r>
      <w:r>
        <w:instrText xml:space="preserve"> PAGEREF _Toc1458 \h </w:instrText>
      </w:r>
      <w:r>
        <w:fldChar w:fldCharType="separate"/>
      </w:r>
      <w:r>
        <w:t>1</w:t>
      </w:r>
      <w:r>
        <w:fldChar w:fldCharType="end"/>
      </w:r>
    </w:p>
    <w:p>
      <w:pPr>
        <w:pStyle w:val="TOC1"/>
      </w:pPr>
      <w:hyperlink w:anchor="_Toc1459">
        <w:r>
          <w:t xml:space="preserve">Appendix F — Vermont Transformation Scorecard: 2022 Baseline, 2026 Status, 2028 Target</w:t>
        </w:r>
      </w:hyperlink>
      <w:r>
        <w:tab/>
      </w:r>
      <w:r>
        <w:fldChar w:fldCharType="begin"/>
      </w:r>
      <w:r>
        <w:instrText xml:space="preserve"> PAGEREF _Toc1459 \h </w:instrText>
      </w:r>
      <w:r>
        <w:fldChar w:fldCharType="separate"/>
      </w:r>
      <w:r>
        <w:t>1</w:t>
      </w:r>
      <w:r>
        <w:fldChar w:fldCharType="end"/>
      </w:r>
    </w:p>
    <w:p>
      <w:pPr>
        <w:pStyle w:val="TOC1"/>
      </w:pPr>
      <w:hyperlink w:anchor="_Toc1466">
        <w:r>
          <w:t xml:space="preserve">Appendix G — A Reader’s Guide to the Health Transformation Review Platform</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What This Platform Is</w:t>
        </w:r>
      </w:hyperlink>
      <w:r>
        <w:tab/>
      </w:r>
      <w:r>
        <w:fldChar w:fldCharType="begin"/>
      </w:r>
      <w:r>
        <w:instrText xml:space="preserve"> PAGEREF _Toc1467 \h </w:instrText>
      </w:r>
      <w:r>
        <w:fldChar w:fldCharType="separate"/>
      </w:r>
      <w:r>
        <w:t>1</w:t>
      </w:r>
      <w:r>
        <w:fldChar w:fldCharType="end"/>
      </w:r>
    </w:p>
    <w:p>
      <w:pPr>
        <w:pStyle w:val="TOC2"/>
      </w:pPr>
      <w:hyperlink w:anchor="_Toc1468">
        <w:r>
          <w:t xml:space="preserve">Navigating the Platform</w:t>
        </w:r>
      </w:hyperlink>
      <w:r>
        <w:tab/>
      </w:r>
      <w:r>
        <w:fldChar w:fldCharType="begin"/>
      </w:r>
      <w:r>
        <w:instrText xml:space="preserve"> PAGEREF _Toc1468 \h </w:instrText>
      </w:r>
      <w:r>
        <w:fldChar w:fldCharType="separate"/>
      </w:r>
      <w:r>
        <w:t>1</w:t>
      </w:r>
      <w:r>
        <w:fldChar w:fldCharType="end"/>
      </w:r>
    </w:p>
    <w:p>
      <w:pPr>
        <w:pStyle w:val="TOC2"/>
      </w:pPr>
      <w:hyperlink w:anchor="_Toc1469">
        <w:r>
          <w:t xml:space="preserve">The Six Pillars of Intelligence</w:t>
        </w:r>
      </w:hyperlink>
      <w:r>
        <w:tab/>
      </w:r>
      <w:r>
        <w:fldChar w:fldCharType="begin"/>
      </w:r>
      <w:r>
        <w:instrText xml:space="preserve"> PAGEREF _Toc1469 \h </w:instrText>
      </w:r>
      <w:r>
        <w:fldChar w:fldCharType="separate"/>
      </w:r>
      <w:r>
        <w:t>1</w:t>
      </w:r>
      <w:r>
        <w:fldChar w:fldCharType="end"/>
      </w:r>
    </w:p>
    <w:p>
      <w:pPr>
        <w:pStyle w:val="TOC2"/>
      </w:pPr>
      <w:hyperlink w:anchor="_Toc1470">
        <w:r>
          <w:t xml:space="preserve">The Academy</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The Research Lab</w:t>
        </w:r>
      </w:hyperlink>
      <w:r>
        <w:tab/>
      </w:r>
      <w:r>
        <w:fldChar w:fldCharType="begin"/>
      </w:r>
      <w:r>
        <w:instrText xml:space="preserve"> PAGEREF _Toc1471 \h </w:instrText>
      </w:r>
      <w:r>
        <w:fldChar w:fldCharType="separate"/>
      </w:r>
      <w:r>
        <w:t>1</w:t>
      </w:r>
      <w:r>
        <w:fldChar w:fldCharType="end"/>
      </w:r>
    </w:p>
    <w:p>
      <w:pPr>
        <w:pStyle w:val="TOC2"/>
      </w:pPr>
      <w:hyperlink w:anchor="_Toc1472">
        <w:r>
          <w:t xml:space="preserve">States &amp; Programs</w:t>
        </w:r>
      </w:hyperlink>
      <w:r>
        <w:tab/>
      </w:r>
      <w:r>
        <w:fldChar w:fldCharType="begin"/>
      </w:r>
      <w:r>
        <w:instrText xml:space="preserve"> PAGEREF _Toc1472 \h </w:instrText>
      </w:r>
      <w:r>
        <w:fldChar w:fldCharType="separate"/>
      </w:r>
      <w:r>
        <w:t>1</w:t>
      </w:r>
      <w:r>
        <w:fldChar w:fldCharType="end"/>
      </w:r>
    </w:p>
    <w:p>
      <w:pPr>
        <w:pStyle w:val="TOC2"/>
      </w:pPr>
      <w:hyperlink w:anchor="_Toc1473">
        <w:r>
          <w:t xml:space="preserve">Advisory &amp; Services and the AI Analyst</w:t>
        </w:r>
      </w:hyperlink>
      <w:r>
        <w:tab/>
      </w:r>
      <w:r>
        <w:fldChar w:fldCharType="begin"/>
      </w:r>
      <w:r>
        <w:instrText xml:space="preserve"> PAGEREF _Toc1473 \h </w:instrText>
      </w:r>
      <w:r>
        <w:fldChar w:fldCharType="separate"/>
      </w:r>
      <w:r>
        <w:t>1</w:t>
      </w:r>
      <w:r>
        <w:fldChar w:fldCharType="end"/>
      </w:r>
    </w:p>
    <w:p>
      <w:pPr>
        <w:pStyle w:val="TOC2"/>
      </w:pPr>
      <w:hyperlink w:anchor="_Toc1474">
        <w:r>
          <w:t xml:space="preserve">Reader Profiles and Recommended Paths</w:t>
        </w:r>
      </w:hyperlink>
      <w:r>
        <w:tab/>
      </w:r>
      <w:r>
        <w:fldChar w:fldCharType="begin"/>
      </w:r>
      <w:r>
        <w:instrText xml:space="preserve"> PAGEREF _Toc1474 \h </w:instrText>
      </w:r>
      <w:r>
        <w:fldChar w:fldCharType="separate"/>
      </w:r>
      <w:r>
        <w:t>1</w:t>
      </w:r>
      <w:r>
        <w:fldChar w:fldCharType="end"/>
      </w:r>
    </w:p>
    <w:p>
      <w:pPr>
        <w:pStyle w:val="TOC1"/>
      </w:pPr>
      <w:hyperlink w:anchor="_Toc1475">
        <w:r>
          <w:t xml:space="preserve">Appendix H — Adapting and Stress-Testing the Framework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H.1 Glossary of Vermont-Specific Acronyms and Institutions</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H.2 Worksheet — Adapt This Framework to Your State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H.3 The Transition Window — Financing FY2027–2030</w:t>
        </w:r>
      </w:hyperlink>
      <w:r>
        <w:tab/>
      </w:r>
      <w:r>
        <w:fldChar w:fldCharType="begin"/>
      </w:r>
      <w:r>
        <w:instrText xml:space="preserve"> PAGEREF _Toc1478 \h </w:instrText>
      </w:r>
      <w:r>
        <w:fldChar w:fldCharType="separate"/>
      </w:r>
      <w:r>
        <w:t>1</w:t>
      </w:r>
      <w:r>
        <w:fldChar w:fldCharType="end"/>
      </w:r>
    </w:p>
    <w:p>
      <w:pPr>
        <w:pStyle w:val="TOC2"/>
      </w:pPr>
      <w:hyperlink w:anchor="_Toc1481">
        <w:r>
          <w:t xml:space="preserve">H.4 Two Clocks — Reconciling Act 68 and AHEAD Cohort 2 Timelines</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H.5 Enforcement Mechanics — What “Mandatory” Means in Practice</w:t>
        </w:r>
      </w:hyperlink>
      <w:r>
        <w:tab/>
      </w:r>
      <w:r>
        <w:fldChar w:fldCharType="begin"/>
      </w:r>
      <w:r>
        <w:instrText xml:space="preserve"> PAGEREF _Toc1482 \h </w:instrText>
      </w:r>
      <w:r>
        <w:fldChar w:fldCharType="separate"/>
      </w:r>
      <w:r>
        <w:t>1</w:t>
      </w:r>
      <w:r>
        <w:fldChar w:fldCharType="end"/>
      </w:r>
    </w:p>
    <w:p>
      <w:pPr>
        <w:pStyle w:val="TOC1"/>
      </w:pPr>
      <w:hyperlink w:anchor="_Toc1485">
        <w:r>
          <w:t xml:space="preserve">Appendix I — The HTR Lab Workbook: A Six-Pillar Practicum</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How to Use This Workbook</w:t>
        </w:r>
      </w:hyperlink>
      <w:r>
        <w:tab/>
      </w:r>
      <w:r>
        <w:fldChar w:fldCharType="begin"/>
      </w:r>
      <w:r>
        <w:instrText xml:space="preserve"> PAGEREF _Toc1486 \h </w:instrText>
      </w:r>
      <w:r>
        <w:fldChar w:fldCharType="separate"/>
      </w:r>
      <w:r>
        <w:t>1</w:t>
      </w:r>
      <w:r>
        <w:fldChar w:fldCharType="end"/>
      </w:r>
    </w:p>
    <w:p>
      <w:pPr>
        <w:pStyle w:val="TOC2"/>
      </w:pPr>
      <w:hyperlink w:anchor="_Toc1487">
        <w:r>
          <w:t xml:space="preserve">Stage 1 — Policy: Establish the Mandate</w:t>
        </w:r>
      </w:hyperlink>
      <w:r>
        <w:tab/>
      </w:r>
      <w:r>
        <w:fldChar w:fldCharType="begin"/>
      </w:r>
      <w:r>
        <w:instrText xml:space="preserve"> PAGEREF _Toc1487 \h </w:instrText>
      </w:r>
      <w:r>
        <w:fldChar w:fldCharType="separate"/>
      </w:r>
      <w:r>
        <w:t>1</w:t>
      </w:r>
      <w:r>
        <w:fldChar w:fldCharType="end"/>
      </w:r>
    </w:p>
    <w:p>
      <w:pPr>
        <w:pStyle w:val="TOC2"/>
      </w:pPr>
      <w:hyperlink w:anchor="_Toc1488">
        <w:r>
          <w:t xml:space="preserve">Stage 2 — Technology: Build the Substrate</w:t>
        </w:r>
      </w:hyperlink>
      <w:r>
        <w:tab/>
      </w:r>
      <w:r>
        <w:fldChar w:fldCharType="begin"/>
      </w:r>
      <w:r>
        <w:instrText xml:space="preserve"> PAGEREF _Toc1488 \h </w:instrText>
      </w:r>
      <w:r>
        <w:fldChar w:fldCharType="separate"/>
      </w:r>
      <w:r>
        <w:t>1</w:t>
      </w:r>
      <w:r>
        <w:fldChar w:fldCharType="end"/>
      </w:r>
    </w:p>
    <w:p>
      <w:pPr>
        <w:pStyle w:val="TOC2"/>
      </w:pPr>
      <w:hyperlink w:anchor="_Toc1489">
        <w:r>
          <w:t xml:space="preserve">Stage 3 — Economics: Put Incentives on a Visible System</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Stage 4 — Clinical: Redesign Care on Aligned Incentives</w:t>
        </w:r>
      </w:hyperlink>
      <w:r>
        <w:tab/>
      </w:r>
      <w:r>
        <w:fldChar w:fldCharType="begin"/>
      </w:r>
      <w:r>
        <w:instrText xml:space="preserve"> PAGEREF _Toc1490 \h </w:instrText>
      </w:r>
      <w:r>
        <w:fldChar w:fldCharType="separate"/>
      </w:r>
      <w:r>
        <w:t>1</w:t>
      </w:r>
      <w:r>
        <w:fldChar w:fldCharType="end"/>
      </w:r>
    </w:p>
    <w:p>
      <w:pPr>
        <w:pStyle w:val="TOC2"/>
      </w:pPr>
      <w:hyperlink w:anchor="_Toc1491">
        <w:r>
          <w:t xml:space="preserve">Stage 5 — Equity: Calibrate for the Gap, Not the Average</w:t>
        </w:r>
      </w:hyperlink>
      <w:r>
        <w:tab/>
      </w:r>
      <w:r>
        <w:fldChar w:fldCharType="begin"/>
      </w:r>
      <w:r>
        <w:instrText xml:space="preserve"> PAGEREF _Toc1491 \h </w:instrText>
      </w:r>
      <w:r>
        <w:fldChar w:fldCharType="separate"/>
      </w:r>
      <w:r>
        <w:t>1</w:t>
      </w:r>
      <w:r>
        <w:fldChar w:fldCharType="end"/>
      </w:r>
    </w:p>
    <w:p>
      <w:pPr>
        <w:pStyle w:val="TOC2"/>
      </w:pPr>
      <w:hyperlink w:anchor="_Toc1492">
        <w:r>
          <w:t xml:space="preserve">Stage 6 — Operations: Close the Execution Gap</w:t>
        </w:r>
      </w:hyperlink>
      <w:r>
        <w:tab/>
      </w:r>
      <w:r>
        <w:fldChar w:fldCharType="begin"/>
      </w:r>
      <w:r>
        <w:instrText xml:space="preserve"> PAGEREF _Toc1492 \h </w:instrText>
      </w:r>
      <w:r>
        <w:fldChar w:fldCharType="separate"/>
      </w:r>
      <w:r>
        <w:t>1</w:t>
      </w:r>
      <w:r>
        <w:fldChar w:fldCharType="end"/>
      </w:r>
    </w:p>
    <w:p>
      <w:pPr>
        <w:pStyle w:val="TOC1"/>
      </w:pPr>
      <w:hyperlink w:anchor="_Toc1493">
        <w:r>
          <w:t xml:space="preserve">Figure Index</w:t>
        </w:r>
      </w:hyperlink>
      <w:r>
        <w:tab/>
      </w:r>
      <w:r>
        <w:fldChar w:fldCharType="begin"/>
      </w:r>
      <w:r>
        <w:instrText xml:space="preserve"> PAGEREF _Toc1493 \h </w:instrText>
      </w:r>
      <w:r>
        <w:fldChar w:fldCharType="separate"/>
      </w:r>
      <w:r>
        <w:t>1</w:t>
      </w:r>
      <w:r>
        <w:fldChar w:fldCharType="end"/>
      </w:r>
    </w:p>
    <w:p>
      <w:pPr>
        <w:pStyle w:val="TOC1"/>
      </w:pPr>
      <w:hyperlink w:anchor="_Toc1494">
        <w:r>
          <w:t xml:space="preserve">Bibliography and Source Notes</w:t>
        </w:r>
      </w:hyperlink>
      <w:r>
        <w:tab/>
      </w:r>
      <w:r>
        <w:fldChar w:fldCharType="begin"/>
      </w:r>
      <w:r>
        <w:instrText xml:space="preserve"> PAGEREF _Toc1494 \h </w:instrText>
      </w:r>
      <w:r>
        <w:fldChar w:fldCharType="separate"/>
      </w:r>
      <w:r>
        <w:t>1</w:t>
      </w:r>
      <w:r>
        <w:fldChar w:fldCharType="end"/>
      </w:r>
    </w:p>
    <w:p>
      <w:pPr>
        <w:pStyle w:val="TOC1"/>
      </w:pPr>
      <w:hyperlink w:anchor="_Toc1495">
        <w:r>
          <w:t xml:space="preserve">Index (Selected)</w:t>
        </w:r>
      </w:hyperlink>
      <w:r>
        <w:tab/>
      </w:r>
      <w:r>
        <w:fldChar w:fldCharType="begin"/>
      </w:r>
      <w:r>
        <w:instrText xml:space="preserve"> PAGEREF _Toc1495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185"/>
        <w:gridCol w:w="2280"/>
        <w:gridCol w:w="2625"/>
        <w:gridCol w:w="2970"/>
      </w:tblGrid>
      <w:tr>
        <w:trPr>
          <w:tblHeader w:val="on"/>
          <w:cantSplit/>
        </w:trPr>
        <w:tc>
          <w:tcPr>
            <w:shd w:val="clear" w:color="auto" w:fill="1B3A6B"/>
            <w:tcW w:w="1185" w:type="dxa"/>
          </w:tcPr>
          <w:p>
            <w:pPr>
              <w:pStyle w:val="Compact"/>
              <w:jc w:val="left"/>
            </w:pPr>
            <w:r>
              <w:rPr>
                <w:b/>
                <w:color w:val="FFFFFF"/>
                <w:sz w:val="18"/>
              </w:rPr>
              <w:t xml:space="preserve">Sequencing Gap</w:t>
            </w:r>
          </w:p>
        </w:tc>
        <w:tc>
          <w:tcPr>
            <w:shd w:val="clear" w:color="auto" w:fill="1B3A6B"/>
            <w:tcW w:w="228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185" w:type="dxa"/>
          </w:tcPr>
          <w:p>
            <w:pPr>
              <w:pStyle w:val="Compact"/>
              <w:jc w:val="left"/>
            </w:pPr>
            <w:r>
              <w:rPr>
                <w:sz w:val="18"/>
              </w:rPr>
              <w:t xml:space="preserve">Policy (Stage 1)</w:t>
            </w:r>
          </w:p>
        </w:tc>
        <w:tc>
          <w:tcPr>
            <w:tcW w:w="228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185" w:type="dxa"/>
          </w:tcPr>
          <w:p>
            <w:pPr>
              <w:pStyle w:val="Compact"/>
              <w:jc w:val="left"/>
            </w:pPr>
            <w:r>
              <w:rPr>
                <w:sz w:val="18"/>
              </w:rPr>
              <w:t xml:space="preserve">Technology (Stage 2)</w:t>
            </w:r>
          </w:p>
        </w:tc>
        <w:tc>
          <w:tcPr>
            <w:tcW w:w="228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185" w:type="dxa"/>
          </w:tcPr>
          <w:p>
            <w:pPr>
              <w:pStyle w:val="Compact"/>
              <w:jc w:val="left"/>
            </w:pPr>
            <w:r>
              <w:rPr>
                <w:sz w:val="18"/>
              </w:rPr>
              <w:t xml:space="preserve">Economics (Stage 3)</w:t>
            </w:r>
          </w:p>
        </w:tc>
        <w:tc>
          <w:tcPr>
            <w:tcW w:w="228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185" w:type="dxa"/>
          </w:tcPr>
          <w:p>
            <w:pPr>
              <w:pStyle w:val="Compact"/>
              <w:jc w:val="left"/>
            </w:pPr>
            <w:r>
              <w:rPr>
                <w:sz w:val="18"/>
              </w:rPr>
              <w:t xml:space="preserve">System-level</w:t>
            </w:r>
          </w:p>
        </w:tc>
        <w:tc>
          <w:tcPr>
            <w:tcW w:w="228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530"/>
        <w:gridCol w:w="3255"/>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530" w:type="dxa"/>
          </w:tcPr>
          <w:p>
            <w:pPr>
              <w:pStyle w:val="Compact"/>
              <w:jc w:val="left"/>
            </w:pPr>
            <w:r>
              <w:rPr>
                <w:b/>
                <w:color w:val="FFFFFF"/>
                <w:sz w:val="18"/>
              </w:rPr>
              <w:t xml:space="preserve">Diagnostic question</w:t>
            </w:r>
          </w:p>
        </w:tc>
        <w:tc>
          <w:tcPr>
            <w:shd w:val="clear" w:color="auto" w:fill="1B3A6B"/>
            <w:tcW w:w="3255"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530" w:type="dxa"/>
          </w:tcPr>
          <w:p>
            <w:pPr>
              <w:pStyle w:val="Compact"/>
              <w:jc w:val="left"/>
            </w:pPr>
            <w:r>
              <w:rPr>
                <w:sz w:val="18"/>
              </w:rPr>
              <w:t xml:space="preserve">Is it permissible?</w:t>
            </w:r>
          </w:p>
        </w:tc>
        <w:tc>
          <w:tcPr>
            <w:tcW w:w="3255"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530" w:type="dxa"/>
          </w:tcPr>
          <w:p>
            <w:pPr>
              <w:pStyle w:val="Compact"/>
              <w:jc w:val="left"/>
            </w:pPr>
            <w:r>
              <w:rPr>
                <w:sz w:val="18"/>
              </w:rPr>
              <w:t xml:space="preserve">Is it possible?</w:t>
            </w:r>
          </w:p>
        </w:tc>
        <w:tc>
          <w:tcPr>
            <w:tcW w:w="3255"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530" w:type="dxa"/>
          </w:tcPr>
          <w:p>
            <w:pPr>
              <w:pStyle w:val="Compact"/>
              <w:jc w:val="left"/>
            </w:pPr>
            <w:r>
              <w:rPr>
                <w:sz w:val="18"/>
              </w:rPr>
              <w:t xml:space="preserve">Is it sustainable?</w:t>
            </w:r>
          </w:p>
        </w:tc>
        <w:tc>
          <w:tcPr>
            <w:tcW w:w="3255"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530" w:type="dxa"/>
          </w:tcPr>
          <w:p>
            <w:pPr>
              <w:pStyle w:val="Compact"/>
              <w:jc w:val="left"/>
            </w:pPr>
            <w:r>
              <w:rPr>
                <w:sz w:val="18"/>
              </w:rPr>
              <w:t xml:space="preserve">Is it effective?</w:t>
            </w:r>
          </w:p>
        </w:tc>
        <w:tc>
          <w:tcPr>
            <w:tcW w:w="3255"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530" w:type="dxa"/>
          </w:tcPr>
          <w:p>
            <w:pPr>
              <w:pStyle w:val="Compact"/>
              <w:jc w:val="left"/>
            </w:pPr>
            <w:r>
              <w:rPr>
                <w:sz w:val="18"/>
              </w:rPr>
              <w:t xml:space="preserve">Is it just?</w:t>
            </w:r>
          </w:p>
        </w:tc>
        <w:tc>
          <w:tcPr>
            <w:tcW w:w="3255"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530" w:type="dxa"/>
          </w:tcPr>
          <w:p>
            <w:pPr>
              <w:pStyle w:val="Compact"/>
              <w:jc w:val="left"/>
            </w:pPr>
            <w:r>
              <w:rPr>
                <w:sz w:val="18"/>
              </w:rPr>
              <w:t xml:space="preserve">Is it executable?</w:t>
            </w:r>
          </w:p>
        </w:tc>
        <w:tc>
          <w:tcPr>
            <w:tcW w:w="3255"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2268"/>
        <w:gridCol w:w="2268"/>
        <w:gridCol w:w="2268"/>
        <w:gridCol w:w="2268"/>
      </w:tblGrid>
      <w:tr>
        <w:trPr>
          <w:tblHeader w:val="on"/>
          <w:cantSplit/>
        </w:trPr>
        <w:tc>
          <w:tcPr>
            <w:shd w:val="clear" w:color="auto" w:fill="1B3A6B"/>
            <w:tcW w:w="2268" w:type="dxa"/>
          </w:tcPr>
          <w:p>
            <w:pPr>
              <w:pStyle w:val="Compact"/>
              <w:jc w:val="left"/>
            </w:pPr>
            <w:r>
              <w:rPr>
                <w:b/>
                <w:color w:val="FFFFFF"/>
                <w:sz w:val="18"/>
              </w:rPr>
              <w:t xml:space="preserve">Sequencing error</w:t>
            </w:r>
          </w:p>
        </w:tc>
        <w:tc>
          <w:tcPr>
            <w:shd w:val="clear" w:color="auto" w:fill="1B3A6B"/>
            <w:tcW w:w="2268" w:type="dxa"/>
          </w:tcPr>
          <w:p>
            <w:pPr>
              <w:pStyle w:val="Compact"/>
              <w:jc w:val="left"/>
            </w:pPr>
            <w:r>
              <w:rPr>
                <w:b/>
                <w:color w:val="FFFFFF"/>
                <w:sz w:val="18"/>
              </w:rPr>
              <w:t xml:space="preserve">Early-warning signals</w:t>
            </w:r>
          </w:p>
        </w:tc>
        <w:tc>
          <w:tcPr>
            <w:shd w:val="clear" w:color="auto" w:fill="1B3A6B"/>
            <w:tcW w:w="2268" w:type="dxa"/>
          </w:tcPr>
          <w:p>
            <w:pPr>
              <w:pStyle w:val="Compact"/>
              <w:jc w:val="left"/>
            </w:pPr>
            <w:r>
              <w:rPr>
                <w:b/>
                <w:color w:val="FFFFFF"/>
                <w:sz w:val="18"/>
              </w:rPr>
              <w:t xml:space="preserve">Vermont evidence</w:t>
            </w:r>
          </w:p>
        </w:tc>
        <w:tc>
          <w:tcPr>
            <w:shd w:val="clear" w:color="auto" w:fill="1B3A6B"/>
            <w:tcW w:w="2268" w:type="dxa"/>
          </w:tcPr>
          <w:p>
            <w:pPr>
              <w:pStyle w:val="Compact"/>
              <w:jc w:val="left"/>
            </w:pPr>
            <w:r>
              <w:rPr>
                <w:b/>
                <w:color w:val="FFFFFF"/>
                <w:sz w:val="18"/>
              </w:rPr>
              <w:t xml:space="preserve">Correction</w:t>
            </w:r>
          </w:p>
        </w:tc>
      </w:tr>
      <w:tr>
        <w:trPr>
          <w:cantSplit/>
        </w:trPr>
        <w:tc>
          <w:tcPr>
            <w:tcW w:w="2268"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68" w:type="dxa"/>
          </w:tcPr>
          <w:p>
            <w:pPr>
              <w:pStyle w:val="Compact"/>
              <w:jc w:val="left"/>
            </w:pPr>
            <w:r>
              <w:rPr>
                <w:sz w:val="18"/>
              </w:rPr>
              <w:t xml:space="preserve">Voluntary participation below 80%; highest-cost providers stay out; redesigns driven by adverse selection</w:t>
            </w:r>
          </w:p>
        </w:tc>
        <w:tc>
          <w:tcPr>
            <w:tcW w:w="2268"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8"/>
              </w:rPr>
              <w:t xml:space="preserve">Act 68 mandatory RBP + global budgets</w:t>
            </w:r>
          </w:p>
        </w:tc>
      </w:tr>
      <w:tr>
        <w:trPr/>
        <w:tc>
          <w:tcPr>
            <w:tcW w:w="2268"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68" w:type="dxa"/>
          </w:tcPr>
          <w:p>
            <w:pPr>
              <w:pStyle w:val="Compact"/>
              <w:jc w:val="left"/>
            </w:pPr>
            <w:r>
              <w:rPr>
                <w:sz w:val="18"/>
              </w:rPr>
              <w:t xml:space="preserve">Adoption below 30% six months post-deployment; continued manual processes; staff workarounds</w:t>
            </w:r>
          </w:p>
        </w:tc>
        <w:tc>
          <w:tcPr>
            <w:tcW w:w="2268" w:type="dxa"/>
          </w:tcPr>
          <w:p>
            <w:pPr>
              <w:pStyle w:val="Compact"/>
              <w:jc w:val="left"/>
            </w:pPr>
            <w:r>
              <w:rPr>
                <w:sz w:val="18"/>
              </w:rPr>
              <w:t xml:space="preserve">VITL: sound platform, incomplete adoption among smaller providers for lack of Operations-pillar support to connect and train them</w:t>
            </w:r>
          </w:p>
        </w:tc>
        <w:tc>
          <w:tcPr>
            <w:tcW w:w="2268" w:type="dxa"/>
          </w:tcPr>
          <w:p>
            <w:pPr>
              <w:pStyle w:val="Compact"/>
              <w:jc w:val="left"/>
            </w:pPr>
            <w:r>
              <w:rPr>
                <w:sz w:val="18"/>
              </w:rPr>
              <w:t xml:space="preserve">Vermont CIN shared-services model</w:t>
            </w:r>
          </w:p>
        </w:tc>
      </w:tr>
      <w:tr>
        <w:trPr/>
        <w:tc>
          <w:tcPr>
            <w:tcW w:w="2268"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68" w:type="dxa"/>
          </w:tcPr>
          <w:p>
            <w:pPr>
              <w:pStyle w:val="Compact"/>
              <w:jc w:val="left"/>
            </w:pPr>
            <w:r>
              <w:rPr>
                <w:sz w:val="18"/>
              </w:rPr>
              <w:t xml:space="preserve">Program running at a loss absorbed by cross-subsidy; support contingent on that cross-subsidy; perpetual budget-cut risk</w:t>
            </w:r>
          </w:p>
        </w:tc>
        <w:tc>
          <w:tcPr>
            <w:tcW w:w="2268" w:type="dxa"/>
          </w:tcPr>
          <w:p>
            <w:pPr>
              <w:pStyle w:val="Compact"/>
              <w:jc w:val="left"/>
            </w:pPr>
            <w:r>
              <w:rPr>
                <w:sz w:val="18"/>
              </w:rPr>
              <w:t xml:space="preserve">Blueprint PCMHs produce the 5.8:1 ROI, but under FFS most of it accrues to payers, not the practices generating it</w:t>
            </w:r>
          </w:p>
        </w:tc>
        <w:tc>
          <w:tcPr>
            <w:tcW w:w="2268" w:type="dxa"/>
          </w:tcPr>
          <w:p>
            <w:pPr>
              <w:pStyle w:val="Compact"/>
              <w:jc w:val="left"/>
            </w:pPr>
            <w:r>
              <w:rPr>
                <w:sz w:val="18"/>
              </w:rPr>
              <w:t xml:space="preserve">AHEAD global budgets align incentives with clinical investment</w:t>
            </w:r>
          </w:p>
        </w:tc>
      </w:tr>
      <w:tr>
        <w:trPr/>
        <w:tc>
          <w:tcPr>
            <w:tcW w:w="2268"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68" w:type="dxa"/>
          </w:tcPr>
          <w:p>
            <w:pPr>
              <w:pStyle w:val="Compact"/>
              <w:jc w:val="left"/>
            </w:pPr>
            <w:r>
              <w:rPr>
                <w:sz w:val="18"/>
              </w:rPr>
              <w:t xml:space="preserve">Equity staff flagging the same structural problems in finalized designs; high rate of equity modifications at approval stage</w:t>
            </w:r>
          </w:p>
        </w:tc>
        <w:tc>
          <w:tcPr>
            <w:tcW w:w="2268"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8"/>
              </w:rPr>
              <w:t xml:space="preserve">Health Equity Advisory Commission consulted at design stage, not comment stage</w:t>
            </w:r>
          </w:p>
        </w:tc>
      </w:tr>
      <w:tr>
        <w:trPr>
          <w:cantSplit/>
        </w:trPr>
        <w:tc>
          <w:tcPr>
            <w:tcW w:w="2268"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68"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268"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8"/>
              </w:rPr>
              <w:t xml:space="preserve">RHRC builds hospital-level capacity before AHEAD accountability takes full effect</w:t>
            </w:r>
          </w:p>
        </w:tc>
      </w:tr>
    </w:tbl>
    <w:p>
      <w:pPr>
        <w:pStyle w:val="Caption"/>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cantSplit/>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cantSplit/>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cantSplit/>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cantSplit/>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cantSplit/>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5"/>
        <w:gridCol w:w="2642"/>
        <w:gridCol w:w="2642"/>
        <w:gridCol w:w="2642"/>
      </w:tblGrid>
      <w:tr>
        <w:trPr>
          <w:tblHeader w:val="on"/>
          <w:cantSplit/>
        </w:trPr>
        <w:tc>
          <w:tcPr>
            <w:shd w:val="clear" w:color="auto" w:fill="1B3A6B"/>
            <w:tcW w:w="1145" w:type="dxa"/>
          </w:tcPr>
          <w:p>
            <w:pPr>
              <w:pStyle w:val="Compact"/>
              <w:jc w:val="left"/>
            </w:pPr>
            <w:r>
              <w:rPr>
                <w:b/>
                <w:color w:val="FFFFFF"/>
                <w:sz w:val="18"/>
              </w:rPr>
              <w:t xml:space="preserve">Function</w:t>
            </w:r>
          </w:p>
        </w:tc>
        <w:tc>
          <w:tcPr>
            <w:shd w:val="clear" w:color="auto" w:fill="1B3A6B"/>
            <w:tcW w:w="2642" w:type="dxa"/>
          </w:tcPr>
          <w:p>
            <w:pPr>
              <w:pStyle w:val="Compact"/>
              <w:jc w:val="left"/>
            </w:pPr>
            <w:r>
              <w:rPr>
                <w:b/>
                <w:color w:val="FFFFFF"/>
                <w:sz w:val="18"/>
              </w:rPr>
              <w:t xml:space="preserve">Key activities</w:t>
            </w:r>
          </w:p>
        </w:tc>
        <w:tc>
          <w:tcPr>
            <w:shd w:val="clear" w:color="auto" w:fill="1B3A6B"/>
            <w:tcW w:w="2642" w:type="dxa"/>
          </w:tcPr>
          <w:p>
            <w:pPr>
              <w:pStyle w:val="Compact"/>
              <w:jc w:val="left"/>
            </w:pPr>
            <w:r>
              <w:rPr>
                <w:b/>
                <w:color w:val="FFFFFF"/>
                <w:sz w:val="18"/>
              </w:rPr>
              <w:t xml:space="preserve">Vermont-specific examples</w:t>
            </w:r>
          </w:p>
        </w:tc>
        <w:tc>
          <w:tcPr>
            <w:shd w:val="clear" w:color="auto" w:fill="1B3A6B"/>
            <w:tcW w:w="2642" w:type="dxa"/>
          </w:tcPr>
          <w:p>
            <w:pPr>
              <w:pStyle w:val="Compact"/>
              <w:jc w:val="left"/>
            </w:pPr>
            <w:r>
              <w:rPr>
                <w:b/>
                <w:color w:val="FFFFFF"/>
                <w:sz w:val="18"/>
              </w:rPr>
              <w:t xml:space="preserve">HTR Advisory service</w:t>
            </w:r>
          </w:p>
        </w:tc>
      </w:tr>
      <w:tr>
        <w:trPr>
          <w:cantSplit/>
        </w:trPr>
        <w:tc>
          <w:tcPr>
            <w:tcW w:w="1145" w:type="dxa"/>
          </w:tcPr>
          <w:p>
            <w:pPr>
              <w:pStyle w:val="Compact"/>
              <w:jc w:val="left"/>
            </w:pPr>
            <w:r>
              <w:rPr>
                <w:sz w:val="18"/>
              </w:rPr>
              <w:t xml:space="preserve">Regulatory compliance</w:t>
            </w:r>
          </w:p>
        </w:tc>
        <w:tc>
          <w:tcPr>
            <w:tcW w:w="2642" w:type="dxa"/>
          </w:tcPr>
          <w:p>
            <w:pPr>
              <w:pStyle w:val="Compact"/>
              <w:jc w:val="left"/>
            </w:pPr>
            <w:r>
              <w:rPr>
                <w:sz w:val="18"/>
              </w:rPr>
              <w:t xml:space="preserve">Monitor rulemaking; assess financial and operational impact of new requirements; develop compliance roadmaps; manage comment letter processes</w:t>
            </w:r>
          </w:p>
        </w:tc>
        <w:tc>
          <w:tcPr>
            <w:tcW w:w="2642" w:type="dxa"/>
          </w:tcPr>
          <w:p>
            <w:pPr>
              <w:pStyle w:val="Compact"/>
              <w:jc w:val="left"/>
            </w:pPr>
            <w:r>
              <w:rPr>
                <w:sz w:val="18"/>
              </w:rPr>
              <w:t xml:space="preserve">Act 68 RBP compliance planning for FY2027; AHEAD hospital global budget participation; H.R. 1 Medicaid work requirement implementation timeline</w:t>
            </w:r>
          </w:p>
        </w:tc>
        <w:tc>
          <w:tcPr>
            <w:tcW w:w="2642" w:type="dxa"/>
          </w:tcPr>
          <w:p>
            <w:pPr>
              <w:pStyle w:val="Compact"/>
              <w:jc w:val="left"/>
            </w:pPr>
            <w:r>
              <w:rPr>
                <w:sz w:val="18"/>
              </w:rPr>
              <w:t xml:space="preserve">Policy Strategy service line: Phase 1 Landscape and Exposure Assessment</w:t>
            </w:r>
          </w:p>
        </w:tc>
      </w:tr>
      <w:tr>
        <w:trPr/>
        <w:tc>
          <w:tcPr>
            <w:tcW w:w="1145" w:type="dxa"/>
          </w:tcPr>
          <w:p>
            <w:pPr>
              <w:pStyle w:val="Compact"/>
              <w:jc w:val="left"/>
            </w:pPr>
            <w:r>
              <w:rPr>
                <w:sz w:val="18"/>
              </w:rPr>
              <w:t xml:space="preserve">Opportunity identification</w:t>
            </w:r>
          </w:p>
        </w:tc>
        <w:tc>
          <w:tcPr>
            <w:tcW w:w="2642"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8"/>
              </w:rPr>
              <w:t xml:space="preserve">Vermont hospitals: Act 68 transformation grants ($2M); AHEAD EAST Fund; RHT Program subrecipient grants; BALANCE Model GLP-1 coverage</w:t>
            </w:r>
          </w:p>
        </w:tc>
        <w:tc>
          <w:tcPr>
            <w:tcW w:w="2642" w:type="dxa"/>
          </w:tcPr>
          <w:p>
            <w:pPr>
              <w:pStyle w:val="Compact"/>
              <w:jc w:val="left"/>
            </w:pPr>
            <w:r>
              <w:rPr>
                <w:sz w:val="18"/>
              </w:rPr>
              <w:t xml:space="preserve">Policy Strategy service line: federal program opportunity assessment</w:t>
            </w:r>
          </w:p>
        </w:tc>
      </w:tr>
      <w:tr>
        <w:trPr>
          <w:cantSplit/>
        </w:trPr>
        <w:tc>
          <w:tcPr>
            <w:tcW w:w="1145" w:type="dxa"/>
          </w:tcPr>
          <w:p>
            <w:pPr>
              <w:pStyle w:val="Compact"/>
              <w:jc w:val="left"/>
            </w:pPr>
            <w:r>
              <w:rPr>
                <w:sz w:val="18"/>
              </w:rPr>
              <w:t xml:space="preserve">Policy advocacy</w:t>
            </w:r>
          </w:p>
        </w:tc>
        <w:tc>
          <w:tcPr>
            <w:tcW w:w="2642"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8"/>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326"/>
        <w:gridCol w:w="2093"/>
        <w:gridCol w:w="2326"/>
        <w:gridCol w:w="2326"/>
      </w:tblGrid>
      <w:tr>
        <w:trPr>
          <w:tblHeader w:val="on"/>
          <w:cantSplit/>
        </w:trPr>
        <w:tc>
          <w:tcPr>
            <w:shd w:val="clear" w:color="auto" w:fill="1B3A6B"/>
            <w:tcW w:w="2326" w:type="dxa"/>
          </w:tcPr>
          <w:p>
            <w:pPr>
              <w:pStyle w:val="Compact"/>
              <w:jc w:val="left"/>
            </w:pPr>
            <w:r>
              <w:rPr>
                <w:b/>
                <w:color w:val="FFFFFF"/>
                <w:sz w:val="18"/>
              </w:rPr>
              <w:t xml:space="preserve">H.R. 1 Medicaid provision</w:t>
            </w:r>
          </w:p>
        </w:tc>
        <w:tc>
          <w:tcPr>
            <w:shd w:val="clear" w:color="auto" w:fill="1B3A6B"/>
            <w:tcW w:w="2093" w:type="dxa"/>
          </w:tcPr>
          <w:p>
            <w:pPr>
              <w:pStyle w:val="Compact"/>
              <w:jc w:val="left"/>
            </w:pPr>
            <w:r>
              <w:rPr>
                <w:b/>
                <w:color w:val="FFFFFF"/>
                <w:sz w:val="18"/>
              </w:rPr>
              <w:t xml:space="preserve">When it takes effect</w:t>
            </w:r>
          </w:p>
        </w:tc>
        <w:tc>
          <w:tcPr>
            <w:shd w:val="clear" w:color="auto" w:fill="1B3A6B"/>
            <w:tcW w:w="2326" w:type="dxa"/>
          </w:tcPr>
          <w:p>
            <w:pPr>
              <w:pStyle w:val="Compact"/>
              <w:jc w:val="left"/>
            </w:pPr>
            <w:r>
              <w:rPr>
                <w:b/>
                <w:color w:val="FFFFFF"/>
                <w:sz w:val="18"/>
              </w:rPr>
              <w:t xml:space="preserve">Financial impact</w:t>
            </w:r>
          </w:p>
        </w:tc>
        <w:tc>
          <w:tcPr>
            <w:shd w:val="clear" w:color="auto" w:fill="1B3A6B"/>
            <w:tcW w:w="2326" w:type="dxa"/>
          </w:tcPr>
          <w:p>
            <w:pPr>
              <w:pStyle w:val="Compact"/>
              <w:jc w:val="left"/>
            </w:pPr>
            <w:r>
              <w:rPr>
                <w:b/>
                <w:color w:val="FFFFFF"/>
                <w:sz w:val="18"/>
              </w:rPr>
              <w:t xml:space="preserve">Vermont-specific implications</w:t>
            </w:r>
          </w:p>
        </w:tc>
      </w:tr>
      <w:tr>
        <w:trPr>
          <w:cantSplit/>
        </w:trPr>
        <w:tc>
          <w:tcPr>
            <w:tcW w:w="2326" w:type="dxa"/>
          </w:tcPr>
          <w:p>
            <w:pPr>
              <w:pStyle w:val="Compact"/>
              <w:jc w:val="left"/>
            </w:pPr>
            <w:r>
              <w:rPr>
                <w:sz w:val="18"/>
              </w:rPr>
              <w:t xml:space="preserve">Provider tax restrictions: ban on new or higher provider taxes in expansion states; phase-down of existing taxes</w:t>
            </w:r>
          </w:p>
        </w:tc>
        <w:tc>
          <w:tcPr>
            <w:tcW w:w="2093" w:type="dxa"/>
          </w:tcPr>
          <w:p>
            <w:pPr>
              <w:pStyle w:val="Compact"/>
              <w:jc w:val="left"/>
            </w:pPr>
            <w:r>
              <w:rPr>
                <w:sz w:val="18"/>
              </w:rPr>
              <w:t xml:space="preserve">In effect for new taxes; phase-down beginning 2027</w:t>
            </w:r>
          </w:p>
        </w:tc>
        <w:tc>
          <w:tcPr>
            <w:tcW w:w="2326" w:type="dxa"/>
          </w:tcPr>
          <w:p>
            <w:pPr>
              <w:pStyle w:val="Compact"/>
              <w:jc w:val="left"/>
            </w:pPr>
            <w:r>
              <w:rPr>
                <w:sz w:val="18"/>
              </w:rPr>
              <w:t xml:space="preserve">Reduces states’ ability to finance their Medicaid matching share; intensifies pressure on state Medicaid budgets</w:t>
            </w:r>
          </w:p>
        </w:tc>
        <w:tc>
          <w:tcPr>
            <w:tcW w:w="2326" w:type="dxa"/>
          </w:tcPr>
          <w:p>
            <w:pPr>
              <w:pStyle w:val="Compact"/>
              <w:jc w:val="left"/>
            </w:pPr>
            <w:r>
              <w:rPr>
                <w:sz w:val="18"/>
              </w:rPr>
              <w:t xml:space="preserve">Vermont’s financing mechanisms will need review; state budget implications require modeling through 2031</w:t>
            </w:r>
          </w:p>
        </w:tc>
      </w:tr>
      <w:tr>
        <w:trPr/>
        <w:tc>
          <w:tcPr>
            <w:tcW w:w="2326" w:type="dxa"/>
          </w:tcPr>
          <w:p>
            <w:pPr>
              <w:pStyle w:val="Compact"/>
              <w:jc w:val="left"/>
            </w:pPr>
            <w:r>
              <w:rPr>
                <w:sz w:val="18"/>
              </w:rPr>
              <w:t xml:space="preserve">State-directed payment caps at 100% of Medicare (expansion states)</w:t>
            </w:r>
          </w:p>
        </w:tc>
        <w:tc>
          <w:tcPr>
            <w:tcW w:w="2093" w:type="dxa"/>
          </w:tcPr>
          <w:p>
            <w:pPr>
              <w:pStyle w:val="Compact"/>
              <w:jc w:val="left"/>
            </w:pPr>
            <w:r>
              <w:rPr>
                <w:sz w:val="18"/>
              </w:rPr>
              <w:t xml:space="preserve">2027</w:t>
            </w:r>
          </w:p>
        </w:tc>
        <w:tc>
          <w:tcPr>
            <w:tcW w:w="2326"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8"/>
              </w:rPr>
              <w:t xml:space="preserve">Work and community engagement requirements (80 hours/month)</w:t>
            </w:r>
          </w:p>
        </w:tc>
        <w:tc>
          <w:tcPr>
            <w:tcW w:w="2093" w:type="dxa"/>
          </w:tcPr>
          <w:p>
            <w:pPr>
              <w:pStyle w:val="Compact"/>
              <w:jc w:val="left"/>
            </w:pPr>
            <w:r>
              <w:rPr>
                <w:sz w:val="18"/>
              </w:rPr>
              <w:t xml:space="preserve">Late 2026 (states must implement by December 31, 2026)</w:t>
            </w:r>
          </w:p>
        </w:tc>
        <w:tc>
          <w:tcPr>
            <w:tcW w:w="2326"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8"/>
              </w:rPr>
              <w:t xml:space="preserve">Eligibility redetermination every 6 months (vs. annual)</w:t>
            </w:r>
          </w:p>
        </w:tc>
        <w:tc>
          <w:tcPr>
            <w:tcW w:w="2093" w:type="dxa"/>
          </w:tcPr>
          <w:p>
            <w:pPr>
              <w:pStyle w:val="Compact"/>
              <w:jc w:val="left"/>
            </w:pPr>
            <w:r>
              <w:rPr>
                <w:sz w:val="18"/>
              </w:rPr>
              <w:t xml:space="preserve">2026</w:t>
            </w:r>
          </w:p>
        </w:tc>
        <w:tc>
          <w:tcPr>
            <w:tcW w:w="2326"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326" w:type="dxa"/>
          </w:tcPr>
          <w:p>
            <w:pPr>
              <w:pStyle w:val="Compact"/>
              <w:jc w:val="left"/>
            </w:pPr>
            <w:r>
              <w:rPr>
                <w:sz w:val="18"/>
              </w:rPr>
              <w:t xml:space="preserve">Medicaid reimbursement reductions (DSH cuts, payment rate changes)</w:t>
            </w:r>
          </w:p>
        </w:tc>
        <w:tc>
          <w:tcPr>
            <w:tcW w:w="2093" w:type="dxa"/>
          </w:tcPr>
          <w:p>
            <w:pPr>
              <w:pStyle w:val="Compact"/>
              <w:jc w:val="left"/>
            </w:pPr>
            <w:r>
              <w:rPr>
                <w:sz w:val="18"/>
              </w:rPr>
              <w:t xml:space="preserve">2026-2031 (phased)</w:t>
            </w:r>
          </w:p>
        </w:tc>
        <w:tc>
          <w:tcPr>
            <w:tcW w:w="2326" w:type="dxa"/>
          </w:tcPr>
          <w:p>
            <w:pPr>
              <w:pStyle w:val="Compact"/>
              <w:jc w:val="left"/>
            </w:pPr>
            <w:r>
              <w:rPr>
                <w:sz w:val="18"/>
              </w:rPr>
              <w:t xml:space="preserve">$911B over 10 years nationally; $137B in rural areas; hospitals will experience revenue reductions</w:t>
            </w:r>
          </w:p>
        </w:tc>
        <w:tc>
          <w:tcPr>
            <w:tcW w:w="2326"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cantSplit/>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spacing w:before="0" w:after="0" w:line="240" w:lineRule="auto"/>
              <w:jc w:val="left"/>
            </w:pPr>
            <w:r>
              <w:rPr>
                <w:b/>
                <w:color w:val="FFFFFF"/>
                <w:sz w:val="17"/>
              </w:rPr>
              <w:t xml:space="preserve">Limitation</w:t>
            </w:r>
          </w:p>
        </w:tc>
        <w:tc>
          <w:tcPr>
            <w:shd w:val="clear" w:color="auto" w:fill="1B3A6B"/>
            <w:tcW w:w="3298" w:type="dxa"/>
          </w:tcPr>
          <w:p>
            <w:pPr>
              <w:pStyle w:val="Compact"/>
              <w:spacing w:before="0" w:after="0" w:line="240" w:lineRule="auto"/>
              <w:jc w:val="left"/>
            </w:pPr>
            <w:r>
              <w:rPr>
                <w:b/>
                <w:color w:val="FFFFFF"/>
                <w:sz w:val="17"/>
              </w:rPr>
              <w:t xml:space="preserve">What it means for transformation</w:t>
            </w:r>
          </w:p>
        </w:tc>
        <w:tc>
          <w:tcPr>
            <w:shd w:val="clear" w:color="auto" w:fill="1B3A6B"/>
            <w:tcW w:w="3298" w:type="dxa"/>
          </w:tcPr>
          <w:p>
            <w:pPr>
              <w:pStyle w:val="Compact"/>
              <w:spacing w:before="0" w:after="0" w:line="240" w:lineRule="auto"/>
              <w:jc w:val="left"/>
            </w:pPr>
            <w:r>
              <w:rPr>
                <w:b/>
                <w:color w:val="FFFFFF"/>
                <w:sz w:val="17"/>
              </w:rPr>
              <w:t xml:space="preserve">Required improvement</w:t>
            </w:r>
          </w:p>
        </w:tc>
      </w:tr>
      <w:tr>
        <w:trPr>
          <w:cantSplit/>
        </w:trPr>
        <w:tc>
          <w:tcPr>
            <w:tcW w:w="2474" w:type="dxa"/>
          </w:tcPr>
          <w:p>
            <w:pPr>
              <w:pStyle w:val="Compact"/>
              <w:spacing w:before="0" w:after="0" w:line="240" w:lineRule="auto"/>
              <w:jc w:val="left"/>
            </w:pPr>
            <w:r>
              <w:rPr>
                <w:sz w:val="17"/>
              </w:rPr>
              <w:t xml:space="preserve">Incomplete commercial coverage (60%)</w:t>
            </w:r>
          </w:p>
        </w:tc>
        <w:tc>
          <w:tcPr>
            <w:tcW w:w="3298" w:type="dxa"/>
          </w:tcPr>
          <w:p>
            <w:pPr>
              <w:pStyle w:val="Compact"/>
              <w:spacing w:before="0" w:after="0" w:line="240" w:lineRule="auto"/>
              <w:jc w:val="left"/>
            </w:pPr>
            <w:r>
              <w:rPr>
                <w:sz w:val="17"/>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spacing w:before="0" w:after="0" w:line="240" w:lineRule="auto"/>
              <w:jc w:val="left"/>
            </w:pPr>
            <w:r>
              <w:rPr>
                <w:sz w:val="17"/>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spacing w:before="0" w:after="0" w:line="240" w:lineRule="auto"/>
              <w:jc w:val="left"/>
            </w:pPr>
            <w:r>
              <w:rPr>
                <w:sz w:val="17"/>
              </w:rPr>
              <w:t xml:space="preserve">Data lag of 12-18+ months</w:t>
            </w:r>
          </w:p>
        </w:tc>
        <w:tc>
          <w:tcPr>
            <w:tcW w:w="3298" w:type="dxa"/>
          </w:tcPr>
          <w:p>
            <w:pPr>
              <w:pStyle w:val="Compact"/>
              <w:spacing w:before="0" w:after="0" w:line="240" w:lineRule="auto"/>
              <w:jc w:val="left"/>
            </w:pPr>
            <w:r>
              <w:rPr>
                <w:sz w:val="17"/>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spacing w:before="0" w:after="0" w:line="240" w:lineRule="auto"/>
              <w:jc w:val="left"/>
            </w:pPr>
            <w:r>
              <w:rPr>
                <w:sz w:val="17"/>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spacing w:before="0" w:after="0" w:line="240" w:lineRule="auto"/>
              <w:jc w:val="left"/>
            </w:pPr>
            <w:r>
              <w:rPr>
                <w:sz w:val="17"/>
              </w:rPr>
              <w:t xml:space="preserve">No behavioral health or SDOH data integration</w:t>
            </w:r>
          </w:p>
        </w:tc>
        <w:tc>
          <w:tcPr>
            <w:tcW w:w="3298" w:type="dxa"/>
          </w:tcPr>
          <w:p>
            <w:pPr>
              <w:pStyle w:val="Compact"/>
              <w:spacing w:before="0" w:after="0" w:line="240" w:lineRule="auto"/>
              <w:jc w:val="left"/>
            </w:pPr>
            <w:r>
              <w:rPr>
                <w:sz w:val="17"/>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spacing w:before="0" w:after="0" w:line="240" w:lineRule="auto"/>
              <w:jc w:val="left"/>
            </w:pPr>
            <w:r>
              <w:rPr>
                <w:sz w:val="17"/>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2474" w:type="dxa"/>
          </w:tcPr>
          <w:p>
            <w:pPr>
              <w:pStyle w:val="Compact"/>
              <w:spacing w:before="0" w:after="0" w:line="240" w:lineRule="auto"/>
              <w:jc w:val="left"/>
            </w:pPr>
            <w:r>
              <w:rPr>
                <w:sz w:val="17"/>
              </w:rPr>
              <w:t xml:space="preserve">Voluntary provider participation in HIE</w:t>
            </w:r>
          </w:p>
        </w:tc>
        <w:tc>
          <w:tcPr>
            <w:tcW w:w="3298" w:type="dxa"/>
          </w:tcPr>
          <w:p>
            <w:pPr>
              <w:pStyle w:val="Compact"/>
              <w:spacing w:before="0" w:after="0" w:line="240" w:lineRule="auto"/>
              <w:jc w:val="left"/>
            </w:pPr>
            <w:r>
              <w:rPr>
                <w:sz w:val="17"/>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spacing w:before="0" w:after="0" w:line="240" w:lineRule="auto"/>
              <w:jc w:val="left"/>
            </w:pPr>
            <w:r>
              <w:rPr>
                <w:sz w:val="17"/>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Step</w:t>
            </w:r>
          </w:p>
        </w:tc>
        <w:tc>
          <w:tcPr>
            <w:shd w:val="clear" w:color="auto" w:fill="1B3A6B"/>
            <w:tcW w:w="2440" w:type="dxa"/>
          </w:tcPr>
          <w:p>
            <w:pPr>
              <w:pStyle w:val="Compact"/>
              <w:jc w:val="left"/>
            </w:pPr>
            <w:r>
              <w:rPr>
                <w:b/>
                <w:color w:val="FFFFFF"/>
                <w:sz w:val="18"/>
              </w:rPr>
              <w:t xml:space="preserve">What it requires</w:t>
            </w:r>
          </w:p>
        </w:tc>
        <w:tc>
          <w:tcPr>
            <w:shd w:val="clear" w:color="auto" w:fill="1B3A6B"/>
            <w:tcW w:w="2440" w:type="dxa"/>
          </w:tcPr>
          <w:p>
            <w:pPr>
              <w:pStyle w:val="Compact"/>
              <w:jc w:val="left"/>
            </w:pPr>
            <w:r>
              <w:rPr>
                <w:b/>
                <w:color w:val="FFFFFF"/>
                <w:sz w:val="18"/>
              </w:rPr>
              <w:t xml:space="preserve">Timeline</w:t>
            </w:r>
          </w:p>
        </w:tc>
        <w:tc>
          <w:tcPr>
            <w:shd w:val="clear" w:color="auto" w:fill="1B3A6B"/>
            <w:tcW w:w="2440" w:type="dxa"/>
          </w:tcPr>
          <w:p>
            <w:pPr>
              <w:pStyle w:val="Compact"/>
              <w:jc w:val="left"/>
            </w:pPr>
            <w:r>
              <w:rPr>
                <w:b/>
                <w:color w:val="FFFFFF"/>
                <w:sz w:val="18"/>
              </w:rPr>
              <w:t xml:space="preserve">Current status</w:t>
            </w:r>
          </w:p>
        </w:tc>
      </w:tr>
      <w:tr>
        <w:trPr>
          <w:cantSplit/>
        </w:trPr>
        <w:tc>
          <w:tcPr>
            <w:tcW w:w="1749" w:type="dxa"/>
          </w:tcPr>
          <w:p>
            <w:pPr>
              <w:pStyle w:val="Compact"/>
              <w:jc w:val="left"/>
            </w:pPr>
            <w:r>
              <w:rPr>
                <w:sz w:val="18"/>
              </w:rPr>
              <w:t xml:space="preserve">1. VHCURES-VHIE claims-clinical integration</w:t>
            </w:r>
          </w:p>
        </w:tc>
        <w:tc>
          <w:tcPr>
            <w:tcW w:w="2440"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8"/>
              </w:rPr>
              <w:t xml:space="preserve">DVHA leading; AHEAD Model requires this for population health management; target 2026-2027</w:t>
            </w:r>
          </w:p>
        </w:tc>
        <w:tc>
          <w:tcPr>
            <w:tcW w:w="2440"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8"/>
              </w:rPr>
              <w:t xml:space="preserve">2. Mental health and SUD data integration</w:t>
            </w:r>
          </w:p>
        </w:tc>
        <w:tc>
          <w:tcPr>
            <w:tcW w:w="2440"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8"/>
              </w:rPr>
              <w:t xml:space="preserve">2027-2028; requires federal 42 CFR Part 2 compliance pathway</w:t>
            </w:r>
          </w:p>
        </w:tc>
        <w:tc>
          <w:tcPr>
            <w:tcW w:w="2440"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749" w:type="dxa"/>
          </w:tcPr>
          <w:p>
            <w:pPr>
              <w:pStyle w:val="Compact"/>
              <w:jc w:val="left"/>
            </w:pPr>
            <w:r>
              <w:rPr>
                <w:sz w:val="18"/>
              </w:rPr>
              <w:t xml:space="preserve">3. SDOH data integration</w:t>
            </w:r>
          </w:p>
        </w:tc>
        <w:tc>
          <w:tcPr>
            <w:tcW w:w="2440"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8"/>
              </w:rPr>
              <w:t xml:space="preserve">2028 and beyond; requires cross-agency data governance agreement</w:t>
            </w:r>
          </w:p>
        </w:tc>
        <w:tc>
          <w:tcPr>
            <w:tcW w:w="2440"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cantSplit/>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cantSplit/>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cantSplit/>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4212"/>
        <w:gridCol w:w="4860"/>
      </w:tblGrid>
      <w:tr>
        <w:trPr>
          <w:tblHeader w:val="on"/>
          <w:cantSplit/>
        </w:trPr>
        <w:tc>
          <w:tcPr>
            <w:shd w:val="clear" w:color="auto" w:fill="1B3A6B"/>
            <w:tcW w:w="4212" w:type="dxa"/>
          </w:tcPr>
          <w:p>
            <w:pPr>
              <w:pStyle w:val="Compact"/>
              <w:spacing w:before="0" w:after="0" w:line="240" w:lineRule="auto"/>
            </w:pPr>
            <w:r>
              <w:rPr>
                <w:b/>
                <w:color w:val="FFFFFF"/>
                <w:sz w:val="17"/>
              </w:rPr>
              <w:t xml:space="preserve">Layer</w:t>
            </w:r>
          </w:p>
        </w:tc>
        <w:tc>
          <w:tcPr>
            <w:shd w:val="clear" w:color="auto" w:fill="1B3A6B"/>
            <w:tcW w:w="4860" w:type="dxa"/>
          </w:tcPr>
          <w:p>
            <w:pPr>
              <w:pStyle w:val="Compact"/>
              <w:spacing w:before="0" w:after="0" w:line="240" w:lineRule="auto"/>
            </w:pPr>
            <w:r>
              <w:rPr>
                <w:b/>
                <w:color w:val="FFFFFF"/>
                <w:sz w:val="17"/>
              </w:rPr>
              <w:t xml:space="preserve">Components</w:t>
            </w:r>
          </w:p>
        </w:tc>
      </w:tr>
      <w:tr>
        <w:trPr>
          <w:cantSplit/>
        </w:trPr>
        <w:tc>
          <w:tcPr>
            <w:tcW w:w="4212" w:type="dxa"/>
          </w:tcPr>
          <w:p>
            <w:pPr>
              <w:pStyle w:val="Compact"/>
              <w:spacing w:before="0" w:after="0" w:line="240" w:lineRule="auto"/>
            </w:pPr>
            <w:r>
              <w:rPr>
                <w:b/>
                <w:bCs/>
                <w:sz w:val="17"/>
              </w:rPr>
              <w:t xml:space="preserve">Layer 5 (Top)</w:t>
            </w:r>
            <w:r>
              <w:rPr>
                <w:sz w:val="17"/>
              </w:rPr>
              <w:t xml:space="preserve"> </w:t>
            </w:r>
            <w:r>
              <w:rPr>
                <w:sz w:val="17"/>
              </w:rPr>
              <w:t xml:space="preserve">— Advanced</w:t>
            </w:r>
            <w:r>
              <w:rPr>
                <w:sz w:val="17"/>
              </w:rPr>
              <w:t xml:space="preserve"> </w:t>
            </w:r>
            <w:r>
              <w:rPr>
                <w:sz w:val="17"/>
              </w:rPr>
              <w:t xml:space="preserve">Analytics &amp; AI Applications</w:t>
            </w:r>
          </w:p>
        </w:tc>
        <w:tc>
          <w:tcPr>
            <w:tcW w:w="4860" w:type="dxa"/>
          </w:tcPr>
          <w:p>
            <w:pPr>
              <w:pStyle w:val="Compact"/>
              <w:numPr>
                <w:ilvl w:val="0"/>
                <w:numId w:val="1014"/>
              </w:numPr>
              <w:spacing w:before="0" w:after="0" w:line="240" w:lineRule="auto"/>
            </w:pPr>
            <w:r>
              <w:rPr>
                <w:sz w:val="17"/>
              </w:rPr>
              <w:t xml:space="preserve">Population health analytics platform (joint AHS-GMCB</w:t>
            </w:r>
            <w:r>
              <w:rPr>
                <w:sz w:val="17"/>
              </w:rPr>
              <w:t xml:space="preserve"> </w:t>
            </w:r>
            <w:r>
              <w:rPr>
                <w:sz w:val="17"/>
              </w:rPr>
              <w:t xml:space="preserve">vendor): models transformation scenarios, evaluates</w:t>
            </w:r>
            <w:r>
              <w:rPr>
                <w:sz w:val="17"/>
              </w:rPr>
              <w:t xml:space="preserve"> </w:t>
            </w:r>
            <w:r>
              <w:rPr>
                <w:sz w:val="17"/>
              </w:rPr>
              <w:t xml:space="preserve">hospital proposals, tracks outcome metrics</w:t>
            </w:r>
          </w:p>
          <w:p>
            <w:pPr>
              <w:pStyle w:val="Compact"/>
              <w:numPr>
                <w:ilvl w:val="0"/>
                <w:numId w:val="1014"/>
              </w:numPr>
              <w:spacing w:before="0" w:after="0" w:line="240" w:lineRule="auto"/>
            </w:pPr>
            <w:r>
              <w:rPr>
                <w:sz w:val="17"/>
              </w:rPr>
              <w:t xml:space="preserve">AI scribe &amp; documentation automation: RHT grants; CIN</w:t>
            </w:r>
            <w:r>
              <w:rPr>
                <w:sz w:val="17"/>
              </w:rPr>
              <w:t xml:space="preserve"> </w:t>
            </w:r>
            <w:r>
              <w:rPr>
                <w:sz w:val="17"/>
              </w:rPr>
              <w:t xml:space="preserve">enterprise contract</w:t>
            </w:r>
          </w:p>
          <w:p>
            <w:pPr>
              <w:pStyle w:val="Compact"/>
              <w:numPr>
                <w:ilvl w:val="0"/>
                <w:numId w:val="1014"/>
              </w:numPr>
              <w:spacing w:before="0" w:after="0" w:line="240" w:lineRule="auto"/>
            </w:pPr>
            <w:r>
              <w:rPr>
                <w:sz w:val="17"/>
              </w:rPr>
              <w:t xml:space="preserve">Diagnostic AI: network-wide deployment via CIN shared</w:t>
            </w:r>
            <w:r>
              <w:rPr>
                <w:sz w:val="17"/>
              </w:rPr>
              <w:t xml:space="preserve"> </w:t>
            </w:r>
            <w:r>
              <w:rPr>
                <w:sz w:val="17"/>
              </w:rPr>
              <w:t xml:space="preserve">services with shared AI governance</w:t>
            </w:r>
          </w:p>
          <w:p>
            <w:pPr>
              <w:pStyle w:val="Compact"/>
              <w:numPr>
                <w:ilvl w:val="0"/>
                <w:numId w:val="1014"/>
              </w:numPr>
              <w:spacing w:before="0" w:after="0" w:line="240" w:lineRule="auto"/>
            </w:pPr>
            <w:r>
              <w:rPr>
                <w:sz w:val="17"/>
              </w:rPr>
              <w:t xml:space="preserve">Remote patient monitoring: RPM for CHF, COPD, diabetes;</w:t>
            </w:r>
            <w:r>
              <w:rPr>
                <w:sz w:val="17"/>
              </w:rPr>
              <w:t xml:space="preserve"> </w:t>
            </w:r>
            <w:r>
              <w:rPr>
                <w:sz w:val="17"/>
              </w:rPr>
              <w:t xml:space="preserve">community paramedicine integration</w:t>
            </w:r>
          </w:p>
          <w:p>
            <w:pPr>
              <w:pStyle w:val="Compact"/>
              <w:numPr>
                <w:ilvl w:val="0"/>
                <w:numId w:val="1014"/>
              </w:numPr>
              <w:spacing w:before="0" w:after="0" w:line="240" w:lineRule="auto"/>
            </w:pPr>
            <w:r>
              <w:rPr>
                <w:sz w:val="17"/>
              </w:rPr>
              <w:t xml:space="preserve">Price transparency dashboard: GMCB public tool;</w:t>
            </w:r>
            <w:r>
              <w:rPr>
                <w:sz w:val="17"/>
              </w:rPr>
              <w:t xml:space="preserve"> </w:t>
            </w:r>
            <w:r>
              <w:rPr>
                <w:sz w:val="17"/>
              </w:rPr>
              <w:t xml:space="preserve">patient-facing comparison via RHT</w:t>
            </w:r>
          </w:p>
        </w:tc>
      </w:tr>
      <w:tr>
        <w:trPr/>
        <w:tc>
          <w:tcPr>
            <w:tcW w:w="4212" w:type="dxa"/>
          </w:tcPr>
          <w:p>
            <w:pPr>
              <w:pStyle w:val="Compact"/>
              <w:spacing w:before="0" w:after="0" w:line="240" w:lineRule="auto"/>
            </w:pPr>
            <w:r>
              <w:rPr>
                <w:b/>
                <w:bCs/>
                <w:sz w:val="17"/>
              </w:rPr>
              <w:t xml:space="preserve">Layer 4</w:t>
            </w:r>
            <w:r>
              <w:rPr>
                <w:sz w:val="17"/>
              </w:rPr>
              <w:t xml:space="preserve"> </w:t>
            </w:r>
            <w:r>
              <w:rPr>
                <w:sz w:val="17"/>
              </w:rPr>
              <w:t xml:space="preserve">— Population</w:t>
            </w:r>
            <w:r>
              <w:rPr>
                <w:sz w:val="17"/>
              </w:rPr>
              <w:t xml:space="preserve"> </w:t>
            </w:r>
            <w:r>
              <w:rPr>
                <w:sz w:val="17"/>
              </w:rPr>
              <w:t xml:space="preserve">Health Management</w:t>
            </w:r>
          </w:p>
        </w:tc>
        <w:tc>
          <w:tcPr>
            <w:tcW w:w="4860" w:type="dxa"/>
          </w:tcPr>
          <w:p>
            <w:pPr>
              <w:pStyle w:val="Compact"/>
              <w:numPr>
                <w:ilvl w:val="0"/>
                <w:numId w:val="1015"/>
              </w:numPr>
              <w:spacing w:before="0" w:after="0" w:line="240" w:lineRule="auto"/>
            </w:pPr>
            <w:r>
              <w:rPr>
                <w:sz w:val="17"/>
              </w:rPr>
              <w:t xml:space="preserve">Blueprint clinical data registry: HEDIS measurement,</w:t>
            </w:r>
            <w:r>
              <w:rPr>
                <w:sz w:val="17"/>
              </w:rPr>
              <w:t xml:space="preserve"> </w:t>
            </w:r>
            <w:r>
              <w:rPr>
                <w:sz w:val="17"/>
              </w:rPr>
              <w:t xml:space="preserve">care-gap reporting, population risk stratification</w:t>
            </w:r>
          </w:p>
          <w:p>
            <w:pPr>
              <w:pStyle w:val="Compact"/>
              <w:numPr>
                <w:ilvl w:val="0"/>
                <w:numId w:val="1015"/>
              </w:numPr>
              <w:spacing w:before="0" w:after="0" w:line="240" w:lineRule="auto"/>
            </w:pPr>
            <w:r>
              <w:rPr>
                <w:sz w:val="17"/>
              </w:rPr>
              <w:t xml:space="preserve">Attribution management: patient-to-hospital attribution</w:t>
            </w:r>
            <w:r>
              <w:rPr>
                <w:sz w:val="17"/>
              </w:rPr>
              <w:t xml:space="preserve"> </w:t>
            </w:r>
            <w:r>
              <w:rPr>
                <w:sz w:val="17"/>
              </w:rPr>
              <w:t xml:space="preserve">for AHEAD global budgets; PC AHEAD attribution</w:t>
            </w:r>
          </w:p>
          <w:p>
            <w:pPr>
              <w:pStyle w:val="Compact"/>
              <w:numPr>
                <w:ilvl w:val="0"/>
                <w:numId w:val="1015"/>
              </w:numPr>
              <w:spacing w:before="0" w:after="0" w:line="240" w:lineRule="auto"/>
            </w:pPr>
            <w:r>
              <w:rPr>
                <w:sz w:val="17"/>
              </w:rPr>
              <w:t xml:space="preserve">SDOH screening data: Blueprint HRSN results linked to</w:t>
            </w:r>
            <w:r>
              <w:rPr>
                <w:sz w:val="17"/>
              </w:rPr>
              <w:t xml:space="preserve"> </w:t>
            </w:r>
            <w:r>
              <w:rPr>
                <w:sz w:val="17"/>
              </w:rPr>
              <w:t xml:space="preserve">health records</w:t>
            </w:r>
          </w:p>
          <w:p>
            <w:pPr>
              <w:pStyle w:val="Compact"/>
              <w:numPr>
                <w:ilvl w:val="0"/>
                <w:numId w:val="1015"/>
              </w:numPr>
              <w:spacing w:before="0" w:after="0" w:line="240" w:lineRule="auto"/>
            </w:pPr>
            <w:r>
              <w:rPr>
                <w:sz w:val="17"/>
              </w:rPr>
              <w:t xml:space="preserve">Care coordination registry: CHT patient registries; CCBHC</w:t>
            </w:r>
            <w:r>
              <w:rPr>
                <w:sz w:val="17"/>
              </w:rPr>
              <w:t xml:space="preserve"> </w:t>
            </w:r>
            <w:r>
              <w:rPr>
                <w:sz w:val="17"/>
              </w:rPr>
              <w:t xml:space="preserve">care-management data</w:t>
            </w:r>
          </w:p>
        </w:tc>
      </w:tr>
      <w:tr>
        <w:trPr/>
        <w:tc>
          <w:tcPr>
            <w:tcW w:w="4212" w:type="dxa"/>
          </w:tcPr>
          <w:p>
            <w:pPr>
              <w:pStyle w:val="Compact"/>
              <w:spacing w:before="0" w:after="0" w:line="240" w:lineRule="auto"/>
            </w:pPr>
            <w:r>
              <w:rPr>
                <w:b/>
                <w:bCs/>
                <w:sz w:val="17"/>
              </w:rPr>
              <w:t xml:space="preserve">Layer 3</w:t>
            </w:r>
            <w:r>
              <w:rPr>
                <w:sz w:val="17"/>
              </w:rPr>
              <w:t xml:space="preserve"> </w:t>
            </w:r>
            <w:r>
              <w:rPr>
                <w:sz w:val="17"/>
              </w:rPr>
              <w:t xml:space="preserve">— Integrated</w:t>
            </w:r>
            <w:r>
              <w:rPr>
                <w:sz w:val="17"/>
              </w:rPr>
              <w:t xml:space="preserve"> </w:t>
            </w:r>
            <w:r>
              <w:rPr>
                <w:sz w:val="17"/>
              </w:rPr>
              <w:t xml:space="preserve">Health Record (Target State)</w:t>
            </w:r>
          </w:p>
        </w:tc>
        <w:tc>
          <w:tcPr>
            <w:tcW w:w="4860" w:type="dxa"/>
          </w:tcPr>
          <w:p>
            <w:pPr>
              <w:pStyle w:val="Compact"/>
              <w:numPr>
                <w:ilvl w:val="0"/>
                <w:numId w:val="1016"/>
              </w:numPr>
              <w:spacing w:before="0" w:after="0" w:line="240" w:lineRule="auto"/>
            </w:pPr>
            <w:r>
              <w:rPr>
                <w:sz w:val="17"/>
              </w:rPr>
              <w:t xml:space="preserve">VHCURES–VHIE integration: claims merged with clinical data</w:t>
            </w:r>
            <w:r>
              <w:rPr>
                <w:sz w:val="17"/>
              </w:rPr>
              <w:t xml:space="preserve"> </w:t>
            </w:r>
            <w:r>
              <w:rPr>
                <w:sz w:val="17"/>
              </w:rPr>
              <w:t xml:space="preserve">per HIE Steering Committee mandate</w:t>
            </w:r>
          </w:p>
          <w:p>
            <w:pPr>
              <w:pStyle w:val="Compact"/>
              <w:numPr>
                <w:ilvl w:val="0"/>
                <w:numId w:val="1016"/>
              </w:numPr>
              <w:spacing w:before="0" w:after="0" w:line="240" w:lineRule="auto"/>
            </w:pPr>
            <w:r>
              <w:rPr>
                <w:sz w:val="17"/>
              </w:rPr>
              <w:t xml:space="preserve">Mental health &amp; SUD data integration: 42 CFR Part 2</w:t>
            </w:r>
            <w:r>
              <w:rPr>
                <w:sz w:val="17"/>
              </w:rPr>
              <w:t xml:space="preserve"> </w:t>
            </w:r>
            <w:r>
              <w:rPr>
                <w:sz w:val="17"/>
              </w:rPr>
              <w:t xml:space="preserve">compliant consent; CCBHC and DA data</w:t>
            </w:r>
          </w:p>
          <w:p>
            <w:pPr>
              <w:pStyle w:val="Compact"/>
              <w:numPr>
                <w:ilvl w:val="0"/>
                <w:numId w:val="1016"/>
              </w:numPr>
              <w:spacing w:before="0" w:after="0" w:line="240" w:lineRule="auto"/>
            </w:pPr>
            <w:r>
              <w:rPr>
                <w:sz w:val="17"/>
              </w:rPr>
              <w:t xml:space="preserve">SDOH data integration: social-service utilization linked</w:t>
            </w:r>
            <w:r>
              <w:rPr>
                <w:sz w:val="17"/>
              </w:rPr>
              <w:t xml:space="preserve"> </w:t>
            </w:r>
            <w:r>
              <w:rPr>
                <w:sz w:val="17"/>
              </w:rPr>
              <w:t xml:space="preserve">to the health record with privacy protections</w:t>
            </w:r>
          </w:p>
          <w:p>
            <w:pPr>
              <w:pStyle w:val="Compact"/>
              <w:numPr>
                <w:ilvl w:val="0"/>
                <w:numId w:val="1016"/>
              </w:numPr>
              <w:spacing w:before="0" w:after="0" w:line="240" w:lineRule="auto"/>
            </w:pPr>
            <w:r>
              <w:rPr>
                <w:sz w:val="17"/>
              </w:rPr>
              <w:t xml:space="preserve">Single patient identity: master patient index across all</w:t>
            </w:r>
            <w:r>
              <w:rPr>
                <w:sz w:val="17"/>
              </w:rPr>
              <w:t xml:space="preserve"> </w:t>
            </w:r>
            <w:r>
              <w:rPr>
                <w:sz w:val="17"/>
              </w:rPr>
              <w:t xml:space="preserve">14 hospitals and community providers</w:t>
            </w:r>
          </w:p>
        </w:tc>
      </w:tr>
      <w:tr>
        <w:trPr/>
        <w:tc>
          <w:tcPr>
            <w:tcW w:w="4212" w:type="dxa"/>
          </w:tcPr>
          <w:p>
            <w:pPr>
              <w:pStyle w:val="Compact"/>
              <w:spacing w:before="0" w:after="0" w:line="240" w:lineRule="auto"/>
            </w:pPr>
            <w:r>
              <w:rPr>
                <w:b/>
                <w:bCs/>
                <w:sz w:val="17"/>
              </w:rPr>
              <w:t xml:space="preserve">Layer 2</w:t>
            </w:r>
            <w:r>
              <w:rPr>
                <w:sz w:val="17"/>
              </w:rPr>
              <w:t xml:space="preserve"> </w:t>
            </w:r>
            <w:r>
              <w:rPr>
                <w:sz w:val="17"/>
              </w:rPr>
              <w:t xml:space="preserve">— Data Exchange</w:t>
            </w:r>
            <w:r>
              <w:rPr>
                <w:sz w:val="17"/>
              </w:rPr>
              <w:t xml:space="preserve"> </w:t>
            </w:r>
            <w:r>
              <w:rPr>
                <w:sz w:val="17"/>
              </w:rPr>
              <w:t xml:space="preserve">Infrastructure</w:t>
            </w:r>
          </w:p>
        </w:tc>
        <w:tc>
          <w:tcPr>
            <w:tcW w:w="4860" w:type="dxa"/>
          </w:tcPr>
          <w:p>
            <w:pPr>
              <w:pStyle w:val="Compact"/>
              <w:numPr>
                <w:ilvl w:val="0"/>
                <w:numId w:val="1017"/>
              </w:numPr>
              <w:spacing w:before="0" w:after="0" w:line="240" w:lineRule="auto"/>
            </w:pPr>
            <w:r>
              <w:rPr>
                <w:sz w:val="17"/>
              </w:rPr>
              <w:t xml:space="preserve">Vermont Health Information Exchange (VHIE/VITL): clinical</w:t>
            </w:r>
            <w:r>
              <w:rPr>
                <w:sz w:val="17"/>
              </w:rPr>
              <w:t xml:space="preserve"> </w:t>
            </w:r>
            <w:r>
              <w:rPr>
                <w:sz w:val="17"/>
              </w:rPr>
              <w:t xml:space="preserve">data exchange; connectivity mandated by Act 68</w:t>
            </w:r>
          </w:p>
          <w:p>
            <w:pPr>
              <w:pStyle w:val="Compact"/>
              <w:numPr>
                <w:ilvl w:val="0"/>
                <w:numId w:val="1017"/>
              </w:numPr>
              <w:spacing w:before="0" w:after="0" w:line="240" w:lineRule="auto"/>
            </w:pPr>
            <w:r>
              <w:rPr>
                <w:sz w:val="17"/>
              </w:rPr>
              <w:t xml:space="preserve">FHIR R4 APIs: CMS-mandated payer and provider APIs;</w:t>
            </w:r>
            <w:r>
              <w:rPr>
                <w:sz w:val="17"/>
              </w:rPr>
              <w:t xml:space="preserve"> </w:t>
            </w:r>
            <w:r>
              <w:rPr>
                <w:sz w:val="17"/>
              </w:rPr>
              <w:t xml:space="preserve">expanding to community providers via RHT grants</w:t>
            </w:r>
          </w:p>
          <w:p>
            <w:pPr>
              <w:pStyle w:val="Compact"/>
              <w:numPr>
                <w:ilvl w:val="0"/>
                <w:numId w:val="1017"/>
              </w:numPr>
              <w:spacing w:before="0" w:after="0" w:line="240" w:lineRule="auto"/>
            </w:pPr>
            <w:r>
              <w:rPr>
                <w:sz w:val="17"/>
              </w:rPr>
              <w:t xml:space="preserve">Vermont Clinically Integrated Network: shared data</w:t>
            </w:r>
            <w:r>
              <w:rPr>
                <w:sz w:val="17"/>
              </w:rPr>
              <w:t xml:space="preserve"> </w:t>
            </w:r>
            <w:r>
              <w:rPr>
                <w:sz w:val="17"/>
              </w:rPr>
              <w:t xml:space="preserve">standards, protocols, exchange agreements across 14</w:t>
            </w:r>
            <w:r>
              <w:rPr>
                <w:sz w:val="17"/>
              </w:rPr>
              <w:t xml:space="preserve"> </w:t>
            </w:r>
            <w:r>
              <w:rPr>
                <w:sz w:val="17"/>
              </w:rPr>
              <w:t xml:space="preserve">hospitals</w:t>
            </w:r>
          </w:p>
          <w:p>
            <w:pPr>
              <w:pStyle w:val="Compact"/>
              <w:numPr>
                <w:ilvl w:val="0"/>
                <w:numId w:val="1017"/>
              </w:numPr>
              <w:spacing w:before="0" w:after="0" w:line="240" w:lineRule="auto"/>
            </w:pPr>
            <w:r>
              <w:rPr>
                <w:sz w:val="17"/>
              </w:rPr>
              <w:t xml:space="preserve">CommonWell / Carequality: national network connectivity</w:t>
            </w:r>
            <w:r>
              <w:rPr>
                <w:sz w:val="17"/>
              </w:rPr>
              <w:t xml:space="preserve"> </w:t>
            </w:r>
            <w:r>
              <w:rPr>
                <w:sz w:val="17"/>
              </w:rPr>
              <w:t xml:space="preserve">for out-of-state care records</w:t>
            </w:r>
          </w:p>
        </w:tc>
      </w:tr>
      <w:tr>
        <w:trPr>
          <w:cantSplit/>
        </w:trPr>
        <w:tc>
          <w:tcPr>
            <w:tcW w:w="4212" w:type="dxa"/>
          </w:tcPr>
          <w:p>
            <w:pPr>
              <w:pStyle w:val="Compact"/>
              <w:spacing w:before="0" w:after="0" w:line="240" w:lineRule="auto"/>
            </w:pPr>
            <w:r>
              <w:rPr>
                <w:b/>
                <w:bCs/>
                <w:sz w:val="17"/>
              </w:rPr>
              <w:t xml:space="preserve">Layer 1 (Foundation)</w:t>
            </w:r>
            <w:r>
              <w:rPr>
                <w:sz w:val="17"/>
              </w:rPr>
              <w:t xml:space="preserve"> </w:t>
            </w:r>
            <w:r>
              <w:rPr>
                <w:sz w:val="17"/>
              </w:rPr>
              <w:t xml:space="preserve">—</w:t>
            </w:r>
            <w:r>
              <w:rPr>
                <w:sz w:val="17"/>
              </w:rPr>
              <w:t xml:space="preserve"> </w:t>
            </w:r>
            <w:r>
              <w:rPr>
                <w:sz w:val="17"/>
              </w:rPr>
              <w:t xml:space="preserve">Core Data Assets</w:t>
            </w:r>
          </w:p>
        </w:tc>
        <w:tc>
          <w:tcPr>
            <w:tcW w:w="4860" w:type="dxa"/>
          </w:tcPr>
          <w:p>
            <w:pPr>
              <w:pStyle w:val="Compact"/>
              <w:numPr>
                <w:ilvl w:val="0"/>
                <w:numId w:val="1018"/>
              </w:numPr>
              <w:spacing w:before="0" w:after="0" w:line="240" w:lineRule="auto"/>
            </w:pPr>
            <w:r>
              <w:rPr>
                <w:sz w:val="17"/>
              </w:rPr>
              <w:t xml:space="preserve">VHCURES (all-payer claims database): 100%</w:t>
            </w:r>
            <w:r>
              <w:rPr>
                <w:sz w:val="17"/>
              </w:rPr>
              <w:t xml:space="preserve"> </w:t>
            </w:r>
            <w:r>
              <w:rPr>
                <w:sz w:val="17"/>
              </w:rPr>
              <w:t xml:space="preserve">Medicaid/Medicare; 60% commercial; GMCB-managed; Onpoint</w:t>
            </w:r>
            <w:r>
              <w:rPr>
                <w:sz w:val="17"/>
              </w:rPr>
              <w:t xml:space="preserve"> </w:t>
            </w:r>
            <w:r>
              <w:rPr>
                <w:sz w:val="17"/>
              </w:rPr>
              <w:t xml:space="preserve">vendor</w:t>
            </w:r>
          </w:p>
          <w:p>
            <w:pPr>
              <w:pStyle w:val="Compact"/>
              <w:numPr>
                <w:ilvl w:val="0"/>
                <w:numId w:val="1018"/>
              </w:numPr>
              <w:spacing w:before="0" w:after="0" w:line="240" w:lineRule="auto"/>
            </w:pPr>
            <w:r>
              <w:rPr>
                <w:sz w:val="17"/>
              </w:rPr>
              <w:t xml:space="preserve">VUHDDS (hospital discharge database): all 14 hospitals;</w:t>
            </w:r>
            <w:r>
              <w:rPr>
                <w:sz w:val="17"/>
              </w:rPr>
              <w:t xml:space="preserve"> </w:t>
            </w:r>
            <w:r>
              <w:rPr>
                <w:sz w:val="17"/>
              </w:rPr>
              <w:t xml:space="preserve">all inpatient, outpatient, ED discharges</w:t>
            </w:r>
          </w:p>
          <w:p>
            <w:pPr>
              <w:pStyle w:val="Compact"/>
              <w:numPr>
                <w:ilvl w:val="0"/>
                <w:numId w:val="1018"/>
              </w:numPr>
              <w:spacing w:before="0" w:after="0" w:line="240" w:lineRule="auto"/>
            </w:pPr>
            <w:r>
              <w:rPr>
                <w:sz w:val="17"/>
              </w:rPr>
              <w:t xml:space="preserve">EHR systems at 14 hospitals: Epic (UVMMC), Oracle Health</w:t>
            </w:r>
            <w:r>
              <w:rPr>
                <w:sz w:val="17"/>
              </w:rPr>
              <w:t xml:space="preserve"> </w:t>
            </w:r>
            <w:r>
              <w:rPr>
                <w:sz w:val="17"/>
              </w:rPr>
              <w:t xml:space="preserve">(CVMC, others), TruBridge (CAHs), Meditech (others)</w:t>
            </w:r>
          </w:p>
          <w:p>
            <w:pPr>
              <w:pStyle w:val="Compact"/>
              <w:numPr>
                <w:ilvl w:val="0"/>
                <w:numId w:val="1018"/>
              </w:numPr>
              <w:spacing w:before="0" w:after="0" w:line="240" w:lineRule="auto"/>
            </w:pPr>
            <w:r>
              <w:rPr>
                <w:sz w:val="17"/>
              </w:rPr>
              <w:t xml:space="preserve">Blueprint clinical registry: quality-measure data linked</w:t>
            </w:r>
            <w:r>
              <w:rPr>
                <w:sz w:val="17"/>
              </w:rPr>
              <w:t xml:space="preserve"> </w:t>
            </w:r>
            <w:r>
              <w:rPr>
                <w:sz w:val="17"/>
              </w:rPr>
              <w:t xml:space="preserve">to VHCURES for population-level HEDIS</w:t>
            </w:r>
          </w:p>
          <w:p>
            <w:pPr>
              <w:pStyle w:val="Compact"/>
              <w:numPr>
                <w:ilvl w:val="0"/>
                <w:numId w:val="1018"/>
              </w:numPr>
              <w:spacing w:before="0" w:after="0" w:line="240" w:lineRule="auto"/>
            </w:pPr>
            <w:r>
              <w:rPr>
                <w:sz w:val="17"/>
              </w:rPr>
              <w:t xml:space="preserve">GMCB regulatory data: hospital budgets, rate filings, CON</w:t>
            </w:r>
            <w:r>
              <w:rPr>
                <w:sz w:val="17"/>
              </w:rPr>
              <w:t xml:space="preserve"> </w:t>
            </w:r>
            <w:r>
              <w:rPr>
                <w:sz w:val="17"/>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38" w:name="_Toc1137"/>
      <w:r>
        <w:rPr>
          <w:b/>
          <w:bCs/>
          <w:color w:val="161B22"/>
        </w:rPr>
        <w:t xml:space="preserve">Work This Chapter on the Platform</w:t>
      </w:r>
      <w:bookmarkEnd w:id="1138"/>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45" w:name="_Toc1144"/>
      <w:r>
        <w:rPr>
          <w:b/>
          <w:bCs/>
          <w:color w:val="161B22"/>
        </w:rPr>
        <w:t xml:space="preserve">The Three FHIR Use Cases Vermont Needs Most</w:t>
      </w:r>
      <w:bookmarkEnd w:id="1145"/>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56" w:name="_Toc1155"/>
      <w:r>
        <w:rPr>
          <w:b/>
          <w:bCs/>
          <w:color w:val="161B22"/>
        </w:rPr>
        <w:t xml:space="preserve">Population Health CDS — Vermont’s Priority Application</w:t>
      </w:r>
      <w:bookmarkEnd w:id="1156"/>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59" w:name="_Toc1158"/>
      <w:r>
        <w:rPr>
          <w:b/>
          <w:bCs/>
          <w:color w:val="161B22"/>
        </w:rPr>
        <w:t xml:space="preserve">Technology Pillar Implementation Matrix</w:t>
      </w:r>
      <w:bookmarkEnd w:id="1159"/>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keepNext w:val="false"/>
      </w:pPr>
      <w:r>
        <w:rPr>
          <w:color w:val="161B22"/>
        </w:rPr>
        <w:t xml:space="preserve">5.7  </w:t>
      </w:r>
      <w:bookmarkStart w:id="1160" w:name="_Toc1159"/>
      <w:r>
        <w:rPr>
          <w:b/>
          <w:bCs/>
          <w:color w:val="161B22"/>
        </w:rPr>
        <w:t xml:space="preserve">Work This Chapter on the Platform</w:t>
      </w:r>
      <w:bookmarkEnd w:id="1160"/>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1" w:name="_Toc1170"/>
      <w:r>
        <w:rPr>
          <w:b/>
          <w:bCs/>
          <w:color w:val="161B22"/>
        </w:rPr>
        <w:t xml:space="preserve">The Evidence Base: Cross-State Results</w:t>
      </w:r>
      <w:bookmarkEnd w:id="1171"/>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5"/>
        <w:gridCol w:w="2910"/>
        <w:gridCol w:w="2134"/>
        <w:gridCol w:w="2910"/>
      </w:tblGrid>
      <w:tr>
        <w:trPr>
          <w:tblHeader w:val="on"/>
          <w:cantSplit/>
        </w:trPr>
        <w:tc>
          <w:tcPr>
            <w:shd w:val="clear" w:color="auto" w:fill="1B3A6B"/>
            <w:tcW w:w="1115" w:type="dxa"/>
          </w:tcPr>
          <w:p>
            <w:pPr>
              <w:pStyle w:val="Compact"/>
              <w:jc w:val="left"/>
            </w:pPr>
            <w:r>
              <w:rPr>
                <w:b/>
                <w:color w:val="FFFFFF"/>
                <w:sz w:val="18"/>
              </w:rPr>
              <w:t xml:space="preserve">State / Program</w:t>
            </w:r>
          </w:p>
        </w:tc>
        <w:tc>
          <w:tcPr>
            <w:shd w:val="clear" w:color="auto" w:fill="1B3A6B"/>
            <w:tcW w:w="2910" w:type="dxa"/>
          </w:tcPr>
          <w:p>
            <w:pPr>
              <w:pStyle w:val="Compact"/>
              <w:jc w:val="left"/>
            </w:pPr>
            <w:r>
              <w:rPr>
                <w:b/>
                <w:color w:val="FFFFFF"/>
                <w:sz w:val="18"/>
              </w:rPr>
              <w:t xml:space="preserve">Design</w:t>
            </w:r>
          </w:p>
        </w:tc>
        <w:tc>
          <w:tcPr>
            <w:shd w:val="clear" w:color="auto" w:fill="1B3A6B"/>
            <w:tcW w:w="2134" w:type="dxa"/>
          </w:tcPr>
          <w:p>
            <w:pPr>
              <w:pStyle w:val="Compact"/>
              <w:jc w:val="left"/>
            </w:pPr>
            <w:r>
              <w:rPr>
                <w:b/>
                <w:color w:val="FFFFFF"/>
                <w:sz w:val="18"/>
              </w:rPr>
              <w:t xml:space="preserve">Scope</w:t>
            </w:r>
          </w:p>
        </w:tc>
        <w:tc>
          <w:tcPr>
            <w:shd w:val="clear" w:color="auto" w:fill="1B3A6B"/>
            <w:tcW w:w="2910" w:type="dxa"/>
          </w:tcPr>
          <w:p>
            <w:pPr>
              <w:pStyle w:val="Compact"/>
              <w:jc w:val="left"/>
            </w:pPr>
            <w:r>
              <w:rPr>
                <w:b/>
                <w:color w:val="FFFFFF"/>
                <w:sz w:val="18"/>
              </w:rPr>
              <w:t xml:space="preserve">Key Results</w:t>
            </w:r>
          </w:p>
        </w:tc>
      </w:tr>
      <w:tr>
        <w:trPr>
          <w:cantSplit/>
        </w:trPr>
        <w:tc>
          <w:tcPr>
            <w:tcW w:w="1115" w:type="dxa"/>
          </w:tcPr>
          <w:p>
            <w:pPr>
              <w:pStyle w:val="Compact"/>
              <w:jc w:val="left"/>
            </w:pPr>
            <w:r>
              <w:rPr>
                <w:sz w:val="18"/>
              </w:rPr>
              <w:t xml:space="preserve">Oregon (2019)</w:t>
            </w:r>
          </w:p>
        </w:tc>
        <w:tc>
          <w:tcPr>
            <w:tcW w:w="2910" w:type="dxa"/>
          </w:tcPr>
          <w:p>
            <w:pPr>
              <w:pStyle w:val="Compact"/>
              <w:jc w:val="left"/>
            </w:pPr>
            <w:r>
              <w:rPr>
                <w:sz w:val="18"/>
              </w:rPr>
              <w:t xml:space="preserve">200% of Medicare in-network; 185% out-of-network. CAH exemptions.</w:t>
            </w:r>
          </w:p>
        </w:tc>
        <w:tc>
          <w:tcPr>
            <w:tcW w:w="2134" w:type="dxa"/>
          </w:tcPr>
          <w:p>
            <w:pPr>
              <w:pStyle w:val="Compact"/>
              <w:jc w:val="left"/>
            </w:pPr>
            <w:r>
              <w:rPr>
                <w:sz w:val="18"/>
              </w:rPr>
              <w:t xml:space="preserve">State employee plan (~300,000 covered lives)</w:t>
            </w:r>
          </w:p>
        </w:tc>
        <w:tc>
          <w:tcPr>
            <w:tcW w:w="2910" w:type="dxa"/>
          </w:tcPr>
          <w:p>
            <w:pPr>
              <w:pStyle w:val="Compact"/>
              <w:jc w:val="left"/>
            </w:pPr>
            <w:r>
              <w:rPr>
                <w:sz w:val="18"/>
              </w:rPr>
              <w:t xml:space="preserve">$107.5M saved in first 27 months (Health Affairs). All 24 affected hospitals remained in-network. No documented access harm.</w:t>
            </w:r>
          </w:p>
        </w:tc>
      </w:tr>
      <w:tr>
        <w:trPr/>
        <w:tc>
          <w:tcPr>
            <w:tcW w:w="1115" w:type="dxa"/>
          </w:tcPr>
          <w:p>
            <w:pPr>
              <w:pStyle w:val="Compact"/>
              <w:jc w:val="left"/>
            </w:pPr>
            <w:r>
              <w:rPr>
                <w:sz w:val="18"/>
              </w:rPr>
              <w:t xml:space="preserve">Montana (2016)</w:t>
            </w:r>
          </w:p>
        </w:tc>
        <w:tc>
          <w:tcPr>
            <w:tcW w:w="2910" w:type="dxa"/>
          </w:tcPr>
          <w:p>
            <w:pPr>
              <w:pStyle w:val="Compact"/>
              <w:jc w:val="left"/>
            </w:pPr>
            <w:r>
              <w:rPr>
                <w:sz w:val="18"/>
              </w:rPr>
              <w:t xml:space="preserve">Direct contracting at % of Medicare for state employee plan.</w:t>
            </w:r>
          </w:p>
        </w:tc>
        <w:tc>
          <w:tcPr>
            <w:tcW w:w="2134" w:type="dxa"/>
          </w:tcPr>
          <w:p>
            <w:pPr>
              <w:pStyle w:val="Compact"/>
              <w:jc w:val="left"/>
            </w:pPr>
            <w:r>
              <w:rPr>
                <w:sz w:val="18"/>
              </w:rPr>
              <w:t xml:space="preserve">State employee plan</w:t>
            </w:r>
          </w:p>
        </w:tc>
        <w:tc>
          <w:tcPr>
            <w:tcW w:w="2910"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8"/>
              </w:rPr>
              <w:t xml:space="preserve">Washington (2021)</w:t>
            </w:r>
          </w:p>
        </w:tc>
        <w:tc>
          <w:tcPr>
            <w:tcW w:w="2910"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134" w:type="dxa"/>
          </w:tcPr>
          <w:p>
            <w:pPr>
              <w:pStyle w:val="Compact"/>
              <w:jc w:val="left"/>
            </w:pPr>
            <w:r>
              <w:rPr>
                <w:sz w:val="18"/>
              </w:rPr>
              <w:t xml:space="preserve">Voluntary public option</w:t>
            </w:r>
          </w:p>
        </w:tc>
        <w:tc>
          <w:tcPr>
            <w:tcW w:w="2910" w:type="dxa"/>
          </w:tcPr>
          <w:p>
            <w:pPr>
              <w:pStyle w:val="Compact"/>
              <w:jc w:val="left"/>
            </w:pPr>
            <w:r>
              <w:rPr>
                <w:sz w:val="18"/>
              </w:rPr>
              <w:t xml:space="preserve">Expanding to state employee plans. Growing commercial adoption.</w:t>
            </w:r>
          </w:p>
        </w:tc>
      </w:tr>
      <w:tr>
        <w:trPr/>
        <w:tc>
          <w:tcPr>
            <w:tcW w:w="1115" w:type="dxa"/>
          </w:tcPr>
          <w:p>
            <w:pPr>
              <w:pStyle w:val="Compact"/>
              <w:jc w:val="left"/>
            </w:pPr>
            <w:r>
              <w:rPr>
                <w:sz w:val="18"/>
              </w:rPr>
              <w:t xml:space="preserve">Maryland (2014–present)</w:t>
            </w:r>
          </w:p>
        </w:tc>
        <w:tc>
          <w:tcPr>
            <w:tcW w:w="2910" w:type="dxa"/>
          </w:tcPr>
          <w:p>
            <w:pPr>
              <w:pStyle w:val="Compact"/>
              <w:jc w:val="left"/>
            </w:pPr>
            <w:r>
              <w:rPr>
                <w:sz w:val="18"/>
              </w:rPr>
              <w:t xml:space="preserve">All-payer rate setting; hospitals receive fixed annual revenue (global budget). Medicare waiver.</w:t>
            </w:r>
          </w:p>
        </w:tc>
        <w:tc>
          <w:tcPr>
            <w:tcW w:w="2134" w:type="dxa"/>
          </w:tcPr>
          <w:p>
            <w:pPr>
              <w:pStyle w:val="Compact"/>
              <w:jc w:val="left"/>
            </w:pPr>
            <w:r>
              <w:rPr>
                <w:sz w:val="18"/>
              </w:rPr>
              <w:t xml:space="preserve">All payers, all hospitals statewide</w:t>
            </w:r>
          </w:p>
        </w:tc>
        <w:tc>
          <w:tcPr>
            <w:tcW w:w="2910"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5" w:type="dxa"/>
          </w:tcPr>
          <w:p>
            <w:pPr>
              <w:pStyle w:val="Compact"/>
              <w:jc w:val="left"/>
            </w:pPr>
            <w:r>
              <w:rPr>
                <w:sz w:val="18"/>
              </w:rPr>
              <w:t xml:space="preserve">Vermont Act 68 (FY2027)</w:t>
            </w:r>
          </w:p>
        </w:tc>
        <w:tc>
          <w:tcPr>
            <w:tcW w:w="2910" w:type="dxa"/>
          </w:tcPr>
          <w:p>
            <w:pPr>
              <w:pStyle w:val="Compact"/>
              <w:jc w:val="left"/>
            </w:pPr>
            <w:r>
              <w:rPr>
                <w:sz w:val="18"/>
              </w:rPr>
              <w:t xml:space="preserve">Mandatory statewide RBP maximum set by GMCB rule. Initially commercial payers; excludes Medicare/Medicaid.</w:t>
            </w:r>
          </w:p>
        </w:tc>
        <w:tc>
          <w:tcPr>
            <w:tcW w:w="2134" w:type="dxa"/>
          </w:tcPr>
          <w:p>
            <w:pPr>
              <w:pStyle w:val="Compact"/>
              <w:jc w:val="left"/>
            </w:pPr>
            <w:r>
              <w:rPr>
                <w:sz w:val="18"/>
              </w:rPr>
              <w:t xml:space="preserve">All Vermont hospitals, all commercial payers</w:t>
            </w:r>
          </w:p>
        </w:tc>
        <w:tc>
          <w:tcPr>
            <w:tcW w:w="2910" w:type="dxa"/>
          </w:tcPr>
          <w:p>
            <w:pPr>
              <w:pStyle w:val="Compact"/>
              <w:jc w:val="left"/>
            </w:pPr>
            <w:r>
              <w:rPr>
                <w:sz w:val="18"/>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73" w:name="_Toc1172"/>
      <w:r>
        <w:rPr>
          <w:b/>
          <w:bCs/>
          <w:color w:val="161B22"/>
        </w:rPr>
        <w:t xml:space="preserve">Vermont’s Phased Implementation Timeline</w:t>
      </w:r>
      <w:bookmarkEnd w:id="1173"/>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988"/>
        <w:gridCol w:w="2694"/>
        <w:gridCol w:w="2694"/>
        <w:gridCol w:w="2694"/>
      </w:tblGrid>
      <w:tr>
        <w:trPr>
          <w:tblHeader w:val="on"/>
          <w:cantSplit/>
        </w:trPr>
        <w:tc>
          <w:tcPr>
            <w:shd w:val="clear" w:color="auto" w:fill="1B3A6B"/>
            <w:tcW w:w="988" w:type="dxa"/>
          </w:tcPr>
          <w:p>
            <w:pPr>
              <w:pStyle w:val="Compact"/>
              <w:jc w:val="left"/>
            </w:pPr>
            <w:r>
              <w:rPr>
                <w:b/>
                <w:color w:val="FFFFFF"/>
                <w:sz w:val="18"/>
              </w:rPr>
              <w:t xml:space="preserve">Design dimension</w:t>
            </w:r>
          </w:p>
        </w:tc>
        <w:tc>
          <w:tcPr>
            <w:shd w:val="clear" w:color="auto" w:fill="1B3A6B"/>
            <w:tcW w:w="2694" w:type="dxa"/>
          </w:tcPr>
          <w:p>
            <w:pPr>
              <w:pStyle w:val="Compact"/>
              <w:jc w:val="left"/>
            </w:pPr>
            <w:r>
              <w:rPr>
                <w:b/>
                <w:color w:val="FFFFFF"/>
                <w:sz w:val="18"/>
              </w:rPr>
              <w:t xml:space="preserve">The choice</w:t>
            </w:r>
          </w:p>
        </w:tc>
        <w:tc>
          <w:tcPr>
            <w:shd w:val="clear" w:color="auto" w:fill="1B3A6B"/>
            <w:tcW w:w="2694" w:type="dxa"/>
          </w:tcPr>
          <w:p>
            <w:pPr>
              <w:pStyle w:val="Compact"/>
              <w:jc w:val="left"/>
            </w:pPr>
            <w:r>
              <w:rPr>
                <w:b/>
                <w:color w:val="FFFFFF"/>
                <w:sz w:val="18"/>
              </w:rPr>
              <w:t xml:space="preserve">Key tradeoff</w:t>
            </w:r>
          </w:p>
        </w:tc>
        <w:tc>
          <w:tcPr>
            <w:shd w:val="clear" w:color="auto" w:fill="1B3A6B"/>
            <w:tcW w:w="2694" w:type="dxa"/>
          </w:tcPr>
          <w:p>
            <w:pPr>
              <w:pStyle w:val="Compact"/>
              <w:jc w:val="left"/>
            </w:pPr>
            <w:r>
              <w:rPr>
                <w:b/>
                <w:color w:val="FFFFFF"/>
                <w:sz w:val="18"/>
              </w:rPr>
              <w:t xml:space="preserve">Vermont’s current direction</w:t>
            </w:r>
          </w:p>
        </w:tc>
      </w:tr>
      <w:tr>
        <w:trPr>
          <w:cantSplit/>
        </w:trPr>
        <w:tc>
          <w:tcPr>
            <w:tcW w:w="988" w:type="dxa"/>
          </w:tcPr>
          <w:p>
            <w:pPr>
              <w:pStyle w:val="Compact"/>
              <w:jc w:val="left"/>
            </w:pPr>
            <w:r>
              <w:rPr>
                <w:sz w:val="18"/>
              </w:rPr>
              <w:t xml:space="preserve">Scope</w:t>
            </w:r>
          </w:p>
        </w:tc>
        <w:tc>
          <w:tcPr>
            <w:tcW w:w="2694" w:type="dxa"/>
          </w:tcPr>
          <w:p>
            <w:pPr>
              <w:pStyle w:val="Compact"/>
              <w:jc w:val="left"/>
            </w:pPr>
            <w:r>
              <w:rPr>
                <w:sz w:val="18"/>
              </w:rPr>
              <w:t xml:space="preserve">Which services are inside vs. outside the budget? (Capital, high-cost drugs, outpatient, physician services?)</w:t>
            </w:r>
          </w:p>
        </w:tc>
        <w:tc>
          <w:tcPr>
            <w:tcW w:w="2694" w:type="dxa"/>
          </w:tcPr>
          <w:p>
            <w:pPr>
              <w:pStyle w:val="Compact"/>
              <w:jc w:val="left"/>
            </w:pPr>
            <w:r>
              <w:rPr>
                <w:sz w:val="18"/>
              </w:rPr>
              <w:t xml:space="preserve">Broader scope = more comprehensive cost control. Narrower scope = simpler to administer but leaves cost-shifting opportunities.</w:t>
            </w:r>
          </w:p>
        </w:tc>
        <w:tc>
          <w:tcPr>
            <w:tcW w:w="2694"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8"/>
              </w:rPr>
              <w:t xml:space="preserve">Population adjustment</w:t>
            </w:r>
          </w:p>
        </w:tc>
        <w:tc>
          <w:tcPr>
            <w:tcW w:w="2694" w:type="dxa"/>
          </w:tcPr>
          <w:p>
            <w:pPr>
              <w:pStyle w:val="Compact"/>
              <w:jc w:val="left"/>
            </w:pPr>
            <w:r>
              <w:rPr>
                <w:sz w:val="18"/>
              </w:rPr>
              <w:t xml:space="preserve">How does the budget account for patient demographics, complexity, and socioeconomic factors?</w:t>
            </w:r>
          </w:p>
        </w:tc>
        <w:tc>
          <w:tcPr>
            <w:tcW w:w="2694" w:type="dxa"/>
          </w:tcPr>
          <w:p>
            <w:pPr>
              <w:pStyle w:val="Compact"/>
              <w:jc w:val="left"/>
            </w:pPr>
            <w:r>
              <w:rPr>
                <w:sz w:val="18"/>
              </w:rPr>
              <w:t xml:space="preserve">No adjustment rewards hospitals serving healthier populations. Over-adjustment reduces cost-control incentives.</w:t>
            </w:r>
          </w:p>
        </w:tc>
        <w:tc>
          <w:tcPr>
            <w:tcW w:w="2694" w:type="dxa"/>
          </w:tcPr>
          <w:p>
            <w:pPr>
              <w:pStyle w:val="Compact"/>
              <w:jc w:val="left"/>
            </w:pPr>
            <w:r>
              <w:rPr>
                <w:sz w:val="18"/>
              </w:rPr>
              <w:t xml:space="preserve">GMCB considering payer mix, labor costs, social risk factors for each hospital. Critical for Vermont’s CAHs vs. UVMMC.</w:t>
            </w:r>
          </w:p>
        </w:tc>
      </w:tr>
      <w:tr>
        <w:trPr/>
        <w:tc>
          <w:tcPr>
            <w:tcW w:w="988" w:type="dxa"/>
          </w:tcPr>
          <w:p>
            <w:pPr>
              <w:pStyle w:val="Compact"/>
              <w:jc w:val="left"/>
            </w:pPr>
            <w:r>
              <w:rPr>
                <w:sz w:val="18"/>
              </w:rPr>
              <w:t xml:space="preserve">Volume treatment</w:t>
            </w:r>
          </w:p>
        </w:tc>
        <w:tc>
          <w:tcPr>
            <w:tcW w:w="2694" w:type="dxa"/>
          </w:tcPr>
          <w:p>
            <w:pPr>
              <w:pStyle w:val="Compact"/>
              <w:jc w:val="left"/>
            </w:pPr>
            <w:r>
              <w:rPr>
                <w:sz w:val="18"/>
              </w:rPr>
              <w:t xml:space="preserve">Does the budget adjust if patient volume changes significantly?</w:t>
            </w:r>
          </w:p>
        </w:tc>
        <w:tc>
          <w:tcPr>
            <w:tcW w:w="2694" w:type="dxa"/>
          </w:tcPr>
          <w:p>
            <w:pPr>
              <w:pStyle w:val="Compact"/>
              <w:jc w:val="left"/>
            </w:pPr>
            <w:r>
              <w:rPr>
                <w:sz w:val="18"/>
              </w:rPr>
              <w:t xml:space="preserve">Fixed budget = maximum cost-control incentive. Volume-adjusted budget = lower risk for hospitals, less population health incentive.</w:t>
            </w:r>
          </w:p>
        </w:tc>
        <w:tc>
          <w:tcPr>
            <w:tcW w:w="2694" w:type="dxa"/>
          </w:tcPr>
          <w:p>
            <w:pPr>
              <w:pStyle w:val="Compact"/>
              <w:jc w:val="left"/>
            </w:pPr>
            <w:r>
              <w:rPr>
                <w:sz w:val="18"/>
              </w:rPr>
              <w:t xml:space="preserve">Maryland preserved revenue initially when volume decreased to ease transition. Vermont likely to adopt similar glide path.</w:t>
            </w:r>
          </w:p>
        </w:tc>
      </w:tr>
      <w:tr>
        <w:trPr/>
        <w:tc>
          <w:tcPr>
            <w:tcW w:w="988" w:type="dxa"/>
          </w:tcPr>
          <w:p>
            <w:pPr>
              <w:pStyle w:val="Compact"/>
              <w:jc w:val="left"/>
            </w:pPr>
            <w:r>
              <w:rPr>
                <w:sz w:val="18"/>
              </w:rPr>
              <w:t xml:space="preserve">Quality linkage</w:t>
            </w:r>
          </w:p>
        </w:tc>
        <w:tc>
          <w:tcPr>
            <w:tcW w:w="2694" w:type="dxa"/>
          </w:tcPr>
          <w:p>
            <w:pPr>
              <w:pStyle w:val="Compact"/>
              <w:jc w:val="left"/>
            </w:pPr>
            <w:r>
              <w:rPr>
                <w:sz w:val="18"/>
              </w:rPr>
              <w:t xml:space="preserve">How are quality metrics integrated — penalty, incentive, or both?</w:t>
            </w:r>
          </w:p>
        </w:tc>
        <w:tc>
          <w:tcPr>
            <w:tcW w:w="2694" w:type="dxa"/>
          </w:tcPr>
          <w:p>
            <w:pPr>
              <w:pStyle w:val="Compact"/>
              <w:jc w:val="left"/>
            </w:pPr>
            <w:r>
              <w:rPr>
                <w:sz w:val="18"/>
              </w:rPr>
              <w:t xml:space="preserve">Too small a linkage = no behavioral change. Too large = financial instability for hospitals still improving.</w:t>
            </w:r>
          </w:p>
        </w:tc>
        <w:tc>
          <w:tcPr>
            <w:tcW w:w="2694" w:type="dxa"/>
          </w:tcPr>
          <w:p>
            <w:pPr>
              <w:pStyle w:val="Compact"/>
              <w:jc w:val="left"/>
            </w:pPr>
            <w:r>
              <w:rPr>
                <w:sz w:val="18"/>
              </w:rPr>
              <w:t xml:space="preserve">Act 68 requires standardized accountability metrics. GMCB quality programs (readmissions, HACs) will be embedded.</w:t>
            </w:r>
          </w:p>
        </w:tc>
      </w:tr>
      <w:tr>
        <w:trPr>
          <w:cantSplit/>
        </w:trPr>
        <w:tc>
          <w:tcPr>
            <w:tcW w:w="988" w:type="dxa"/>
          </w:tcPr>
          <w:p>
            <w:pPr>
              <w:pStyle w:val="Compact"/>
              <w:jc w:val="left"/>
            </w:pPr>
            <w:r>
              <w:rPr>
                <w:sz w:val="18"/>
              </w:rPr>
              <w:t xml:space="preserve">Flexibility mechanisms</w:t>
            </w:r>
          </w:p>
        </w:tc>
        <w:tc>
          <w:tcPr>
            <w:tcW w:w="2694" w:type="dxa"/>
          </w:tcPr>
          <w:p>
            <w:pPr>
              <w:pStyle w:val="Compact"/>
              <w:jc w:val="left"/>
            </w:pPr>
            <w:r>
              <w:rPr>
                <w:sz w:val="18"/>
              </w:rPr>
              <w:t xml:space="preserve">Provisions for mid-year adjustments, carryover of savings, risk corridors?</w:t>
            </w:r>
          </w:p>
        </w:tc>
        <w:tc>
          <w:tcPr>
            <w:tcW w:w="2694" w:type="dxa"/>
          </w:tcPr>
          <w:p>
            <w:pPr>
              <w:pStyle w:val="Compact"/>
              <w:jc w:val="left"/>
            </w:pPr>
            <w:r>
              <w:rPr>
                <w:sz w:val="18"/>
              </w:rPr>
              <w:t xml:space="preserve">More flexibility = lower hospital risk, easier adoption. Less flexibility = stronger cost-control signal.</w:t>
            </w:r>
          </w:p>
        </w:tc>
        <w:tc>
          <w:tcPr>
            <w:tcW w:w="2694" w:type="dxa"/>
          </w:tcPr>
          <w:p>
            <w:pPr>
              <w:pStyle w:val="Compact"/>
              <w:jc w:val="left"/>
            </w:pPr>
            <w:r>
              <w:rPr>
                <w:sz w:val="18"/>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951"/>
        <w:gridCol w:w="791"/>
        <w:gridCol w:w="3164"/>
        <w:gridCol w:w="3164"/>
      </w:tblGrid>
      <w:tr>
        <w:trPr>
          <w:tblHeader w:val="on"/>
          <w:cantSplit/>
        </w:trPr>
        <w:tc>
          <w:tcPr>
            <w:shd w:val="clear" w:color="auto" w:fill="1B3A6B"/>
            <w:tcW w:w="1951" w:type="dxa"/>
          </w:tcPr>
          <w:p>
            <w:pPr>
              <w:pStyle w:val="Compact"/>
              <w:jc w:val="left"/>
            </w:pPr>
            <w:r>
              <w:rPr>
                <w:b/>
                <w:color w:val="FFFFFF"/>
                <w:sz w:val="18"/>
              </w:rPr>
              <w:t xml:space="preserve">Approach</w:t>
            </w:r>
          </w:p>
        </w:tc>
        <w:tc>
          <w:tcPr>
            <w:shd w:val="clear" w:color="auto" w:fill="1B3A6B"/>
            <w:tcW w:w="791" w:type="dxa"/>
          </w:tcPr>
          <w:p>
            <w:pPr>
              <w:pStyle w:val="Compact"/>
              <w:jc w:val="left"/>
            </w:pPr>
            <w:r>
              <w:rPr>
                <w:b/>
                <w:color w:val="FFFFFF"/>
                <w:sz w:val="18"/>
              </w:rPr>
              <w:t xml:space="preserve">Year(s)</w:t>
            </w:r>
          </w:p>
        </w:tc>
        <w:tc>
          <w:tcPr>
            <w:shd w:val="clear" w:color="auto" w:fill="1B3A6B"/>
            <w:tcW w:w="3164" w:type="dxa"/>
          </w:tcPr>
          <w:p>
            <w:pPr>
              <w:pStyle w:val="Compact"/>
              <w:jc w:val="left"/>
            </w:pPr>
            <w:r>
              <w:rPr>
                <w:b/>
                <w:color w:val="FFFFFF"/>
                <w:sz w:val="18"/>
              </w:rPr>
              <w:t xml:space="preserve">Structure</w:t>
            </w:r>
          </w:p>
        </w:tc>
        <w:tc>
          <w:tcPr>
            <w:shd w:val="clear" w:color="auto" w:fill="1B3A6B"/>
            <w:tcW w:w="3164" w:type="dxa"/>
          </w:tcPr>
          <w:p>
            <w:pPr>
              <w:pStyle w:val="Compact"/>
              <w:jc w:val="left"/>
            </w:pPr>
            <w:r>
              <w:rPr>
                <w:b/>
                <w:color w:val="FFFFFF"/>
                <w:sz w:val="18"/>
              </w:rPr>
              <w:t xml:space="preserve">Outcome and lesson</w:t>
            </w:r>
          </w:p>
        </w:tc>
      </w:tr>
      <w:tr>
        <w:trPr>
          <w:cantSplit/>
        </w:trPr>
        <w:tc>
          <w:tcPr>
            <w:tcW w:w="1951" w:type="dxa"/>
          </w:tcPr>
          <w:p>
            <w:pPr>
              <w:pStyle w:val="Compact"/>
              <w:jc w:val="left"/>
            </w:pPr>
            <w:r>
              <w:rPr>
                <w:sz w:val="18"/>
              </w:rPr>
              <w:t xml:space="preserve">GMCB Net Patient Revenue Cap</w:t>
            </w:r>
          </w:p>
        </w:tc>
        <w:tc>
          <w:tcPr>
            <w:tcW w:w="791" w:type="dxa"/>
          </w:tcPr>
          <w:p>
            <w:pPr>
              <w:pStyle w:val="Compact"/>
              <w:jc w:val="left"/>
            </w:pPr>
            <w:r>
              <w:rPr>
                <w:sz w:val="18"/>
              </w:rPr>
              <w:t xml:space="preserve">2012–present</w:t>
            </w:r>
          </w:p>
        </w:tc>
        <w:tc>
          <w:tcPr>
            <w:tcW w:w="3164" w:type="dxa"/>
          </w:tcPr>
          <w:p>
            <w:pPr>
              <w:pStyle w:val="Compact"/>
              <w:jc w:val="left"/>
            </w:pPr>
            <w:r>
              <w:rPr>
                <w:sz w:val="18"/>
              </w:rPr>
              <w:t xml:space="preserve">Regulatory cap on net patient revenue each hospital may receive</w:t>
            </w:r>
          </w:p>
        </w:tc>
        <w:tc>
          <w:tcPr>
            <w:tcW w:w="3164"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8"/>
              </w:rPr>
              <w:t xml:space="preserve">Rutland Regional Medical Center Pilot</w:t>
            </w:r>
          </w:p>
        </w:tc>
        <w:tc>
          <w:tcPr>
            <w:tcW w:w="791" w:type="dxa"/>
          </w:tcPr>
          <w:p>
            <w:pPr>
              <w:pStyle w:val="Compact"/>
              <w:jc w:val="left"/>
            </w:pPr>
            <w:r>
              <w:rPr>
                <w:sz w:val="18"/>
              </w:rPr>
              <w:t xml:space="preserve">2014 (proposed)</w:t>
            </w:r>
          </w:p>
        </w:tc>
        <w:tc>
          <w:tcPr>
            <w:tcW w:w="3164" w:type="dxa"/>
          </w:tcPr>
          <w:p>
            <w:pPr>
              <w:pStyle w:val="Compact"/>
              <w:jc w:val="left"/>
            </w:pPr>
            <w:r>
              <w:rPr>
                <w:sz w:val="18"/>
              </w:rPr>
              <w:t xml:space="preserve">Hospital payments based on historical revenue plus inflation, adjusted for demographics</w:t>
            </w:r>
          </w:p>
        </w:tc>
        <w:tc>
          <w:tcPr>
            <w:tcW w:w="3164"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8"/>
              </w:rPr>
              <w:t xml:space="preserve">Vermont All-Payer ACO Model</w:t>
            </w:r>
          </w:p>
        </w:tc>
        <w:tc>
          <w:tcPr>
            <w:tcW w:w="791" w:type="dxa"/>
          </w:tcPr>
          <w:p>
            <w:pPr>
              <w:pStyle w:val="Compact"/>
              <w:jc w:val="left"/>
            </w:pPr>
            <w:r>
              <w:rPr>
                <w:sz w:val="18"/>
              </w:rPr>
              <w:t xml:space="preserve">2017–2025</w:t>
            </w:r>
          </w:p>
        </w:tc>
        <w:tc>
          <w:tcPr>
            <w:tcW w:w="3164"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951" w:type="dxa"/>
          </w:tcPr>
          <w:p>
            <w:pPr>
              <w:pStyle w:val="Compact"/>
              <w:jc w:val="left"/>
            </w:pPr>
            <w:r>
              <w:rPr>
                <w:sz w:val="18"/>
              </w:rPr>
              <w:t xml:space="preserve">Act 167 / Act 68 Mandate</w:t>
            </w:r>
          </w:p>
        </w:tc>
        <w:tc>
          <w:tcPr>
            <w:tcW w:w="791" w:type="dxa"/>
          </w:tcPr>
          <w:p>
            <w:pPr>
              <w:pStyle w:val="Compact"/>
              <w:jc w:val="left"/>
            </w:pPr>
            <w:r>
              <w:rPr>
                <w:sz w:val="18"/>
              </w:rPr>
              <w:t xml:space="preserve">2022–present</w:t>
            </w:r>
          </w:p>
        </w:tc>
        <w:tc>
          <w:tcPr>
            <w:tcW w:w="3164" w:type="dxa"/>
          </w:tcPr>
          <w:p>
            <w:pPr>
              <w:pStyle w:val="Compact"/>
              <w:jc w:val="left"/>
            </w:pPr>
            <w:r>
              <w:rPr>
                <w:sz w:val="18"/>
              </w:rPr>
              <w:t xml:space="preserve">GMCB directed to design and implement mandatory global budgets: non-CAH hospitals by FY2028, all hospitals by FY2030</w:t>
            </w:r>
          </w:p>
        </w:tc>
        <w:tc>
          <w:tcPr>
            <w:tcW w:w="3164" w:type="dxa"/>
          </w:tcPr>
          <w:p>
            <w:pPr>
              <w:pStyle w:val="Compact"/>
              <w:jc w:val="left"/>
            </w:pPr>
            <w:r>
              <w:rPr>
                <w:sz w:val="18"/>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1" w:name="_Toc1180"/>
      <w:r>
        <w:rPr>
          <w:b/>
          <w:bCs/>
          <w:color w:val="161B22"/>
        </w:rPr>
        <w:t xml:space="preserve">The Results</w:t>
      </w:r>
      <w:bookmarkEnd w:id="1181"/>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87" w:name="_Toc1186"/>
      <w:r>
        <w:rPr>
          <w:b/>
          <w:bCs/>
          <w:color w:val="161B22"/>
        </w:rPr>
        <w:t xml:space="preserve">The Oliver Wyman Projection Scenarios</w:t>
      </w:r>
      <w:bookmarkEnd w:id="1187"/>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cantSplit/>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cantSplit/>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1" w:name="_Toc1190"/>
      <w:r>
        <w:rPr>
          <w:b/>
          <w:bCs/>
          <w:color w:val="161B22"/>
        </w:rPr>
        <w:t xml:space="preserve">The Three-Phase Transition Model</w:t>
      </w:r>
      <w:bookmarkEnd w:id="1191"/>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69"/>
        <w:gridCol w:w="1095"/>
        <w:gridCol w:w="3653"/>
        <w:gridCol w:w="3653"/>
      </w:tblGrid>
      <w:tr>
        <w:trPr>
          <w:tblHeader w:val="on"/>
          <w:cantSplit/>
        </w:trPr>
        <w:tc>
          <w:tcPr>
            <w:shd w:val="clear" w:color="auto" w:fill="1B3A6B"/>
            <w:tcW w:w="669" w:type="dxa"/>
          </w:tcPr>
          <w:p>
            <w:pPr>
              <w:pStyle w:val="Compact"/>
              <w:jc w:val="left"/>
            </w:pPr>
            <w:r>
              <w:rPr>
                <w:b/>
                <w:color w:val="FFFFFF"/>
                <w:sz w:val="18"/>
              </w:rPr>
              <w:t xml:space="preserve">Phase</w:t>
            </w:r>
          </w:p>
        </w:tc>
        <w:tc>
          <w:tcPr>
            <w:shd w:val="clear" w:color="auto" w:fill="1B3A6B"/>
            <w:tcW w:w="1095" w:type="dxa"/>
          </w:tcPr>
          <w:p>
            <w:pPr>
              <w:pStyle w:val="Compact"/>
              <w:jc w:val="left"/>
            </w:pPr>
            <w:r>
              <w:rPr>
                <w:b/>
                <w:color w:val="FFFFFF"/>
                <w:sz w:val="18"/>
              </w:rPr>
              <w:t xml:space="preserve">Timeline</w:t>
            </w:r>
          </w:p>
        </w:tc>
        <w:tc>
          <w:tcPr>
            <w:shd w:val="clear" w:color="auto" w:fill="1B3A6B"/>
            <w:tcW w:w="3653" w:type="dxa"/>
          </w:tcPr>
          <w:p>
            <w:pPr>
              <w:pStyle w:val="Compact"/>
              <w:jc w:val="left"/>
            </w:pPr>
            <w:r>
              <w:rPr>
                <w:b/>
                <w:color w:val="FFFFFF"/>
                <w:sz w:val="18"/>
              </w:rPr>
              <w:t xml:space="preserve">Payment environment</w:t>
            </w:r>
          </w:p>
        </w:tc>
        <w:tc>
          <w:tcPr>
            <w:shd w:val="clear" w:color="auto" w:fill="1B3A6B"/>
            <w:tcW w:w="3653" w:type="dxa"/>
          </w:tcPr>
          <w:p>
            <w:pPr>
              <w:pStyle w:val="Compact"/>
              <w:jc w:val="left"/>
            </w:pPr>
            <w:r>
              <w:rPr>
                <w:b/>
                <w:color w:val="FFFFFF"/>
                <w:sz w:val="18"/>
              </w:rPr>
              <w:t xml:space="preserve">Strategic priorities</w:t>
            </w:r>
          </w:p>
        </w:tc>
      </w:tr>
      <w:tr>
        <w:trPr>
          <w:cantSplit/>
        </w:trPr>
        <w:tc>
          <w:tcPr>
            <w:tcW w:w="669" w:type="dxa"/>
          </w:tcPr>
          <w:p>
            <w:pPr>
              <w:pStyle w:val="Compact"/>
              <w:jc w:val="left"/>
            </w:pPr>
            <w:r>
              <w:rPr>
                <w:sz w:val="18"/>
              </w:rPr>
              <w:t xml:space="preserve">Preparation</w:t>
            </w:r>
          </w:p>
        </w:tc>
        <w:tc>
          <w:tcPr>
            <w:tcW w:w="1095" w:type="dxa"/>
          </w:tcPr>
          <w:p>
            <w:pPr>
              <w:pStyle w:val="Compact"/>
              <w:jc w:val="left"/>
            </w:pPr>
            <w:r>
              <w:rPr>
                <w:sz w:val="18"/>
              </w:rPr>
              <w:t xml:space="preserve">Now through FY2026</w:t>
            </w:r>
          </w:p>
        </w:tc>
        <w:tc>
          <w:tcPr>
            <w:tcW w:w="3653" w:type="dxa"/>
          </w:tcPr>
          <w:p>
            <w:pPr>
              <w:pStyle w:val="Compact"/>
              <w:jc w:val="left"/>
            </w:pPr>
            <w:r>
              <w:rPr>
                <w:sz w:val="18"/>
              </w:rPr>
              <w:t xml:space="preserve">FFS with increasing budget pressure; -1% commercial rate benchmark; Act 55 drug cap in effect</w:t>
            </w:r>
          </w:p>
        </w:tc>
        <w:tc>
          <w:tcPr>
            <w:tcW w:w="3653"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8"/>
              </w:rPr>
              <w:t xml:space="preserve">Transition</w:t>
            </w:r>
          </w:p>
        </w:tc>
        <w:tc>
          <w:tcPr>
            <w:tcW w:w="1095" w:type="dxa"/>
          </w:tcPr>
          <w:p>
            <w:pPr>
              <w:pStyle w:val="Compact"/>
              <w:jc w:val="left"/>
            </w:pPr>
            <w:r>
              <w:rPr>
                <w:sz w:val="18"/>
              </w:rPr>
              <w:t xml:space="preserve">FY2027</w:t>
            </w:r>
          </w:p>
        </w:tc>
        <w:tc>
          <w:tcPr>
            <w:tcW w:w="3653" w:type="dxa"/>
          </w:tcPr>
          <w:p>
            <w:pPr>
              <w:pStyle w:val="Compact"/>
              <w:jc w:val="left"/>
            </w:pPr>
            <w:r>
              <w:rPr>
                <w:sz w:val="18"/>
              </w:rPr>
              <w:t xml:space="preserve">RBP maximum rates in effect for commercial payers; AHEAD Hospital Global Budgets begin January 2028 for Medicare FFS</w:t>
            </w:r>
          </w:p>
        </w:tc>
        <w:tc>
          <w:tcPr>
            <w:tcW w:w="3653"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69" w:type="dxa"/>
          </w:tcPr>
          <w:p>
            <w:pPr>
              <w:pStyle w:val="Compact"/>
              <w:jc w:val="left"/>
            </w:pPr>
            <w:r>
              <w:rPr>
                <w:sz w:val="18"/>
              </w:rPr>
              <w:t xml:space="preserve">Operation</w:t>
            </w:r>
          </w:p>
        </w:tc>
        <w:tc>
          <w:tcPr>
            <w:tcW w:w="1095" w:type="dxa"/>
          </w:tcPr>
          <w:p>
            <w:pPr>
              <w:pStyle w:val="Compact"/>
              <w:jc w:val="left"/>
            </w:pPr>
            <w:r>
              <w:rPr>
                <w:sz w:val="18"/>
              </w:rPr>
              <w:t xml:space="preserve">FY2028 and beyond</w:t>
            </w:r>
          </w:p>
        </w:tc>
        <w:tc>
          <w:tcPr>
            <w:tcW w:w="3653" w:type="dxa"/>
          </w:tcPr>
          <w:p>
            <w:pPr>
              <w:pStyle w:val="Compact"/>
              <w:jc w:val="left"/>
            </w:pPr>
            <w:r>
              <w:rPr>
                <w:sz w:val="18"/>
              </w:rPr>
              <w:t xml:space="preserve">Global hospital budgets for non-CAH hospitals; AHEAD in full operation; Statewide Strategic Plan delivered December 2028</w:t>
            </w:r>
          </w:p>
        </w:tc>
        <w:tc>
          <w:tcPr>
            <w:tcW w:w="3653"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193" w:name="_Toc1192"/>
      <w:r>
        <w:rPr>
          <w:b/>
          <w:bCs/>
          <w:color w:val="161B22"/>
        </w:rPr>
        <w:t xml:space="preserve">Work This Chapter on the Platform</w:t>
      </w:r>
      <w:bookmarkEnd w:id="1193"/>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0" w:name="_Toc1199"/>
      <w:r>
        <w:rPr>
          <w:b/>
          <w:bCs/>
          <w:color w:val="161B22"/>
        </w:rPr>
        <w:t xml:space="preserve">Historical Spending Baseline</w:t>
      </w:r>
      <w:bookmarkEnd w:id="1200"/>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1" w:name="_Toc1200"/>
      <w:r>
        <w:rPr>
          <w:b/>
          <w:bCs/>
          <w:color w:val="161B22"/>
        </w:rPr>
        <w:t xml:space="preserve">Regional Benchmark</w:t>
      </w:r>
      <w:bookmarkEnd w:id="1201"/>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02" w:name="_Toc1201"/>
      <w:r>
        <w:rPr>
          <w:b/>
          <w:bCs/>
          <w:color w:val="161B22"/>
        </w:rPr>
        <w:t xml:space="preserve">Prospective Benchmark</w:t>
      </w:r>
      <w:bookmarkEnd w:id="1202"/>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03" w:name="_Toc1202"/>
      <w:r>
        <w:rPr>
          <w:b/>
          <w:bCs/>
          <w:color w:val="161B22"/>
        </w:rPr>
        <w:t xml:space="preserve">The Shared Savings Calculation — A Working Model</w:t>
      </w:r>
      <w:bookmarkEnd w:id="1203"/>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258"/>
        <w:gridCol w:w="2604"/>
        <w:gridCol w:w="2604"/>
        <w:gridCol w:w="2604"/>
      </w:tblGrid>
      <w:tr>
        <w:trPr>
          <w:tblHeader w:val="on"/>
          <w:cantSplit/>
        </w:trPr>
        <w:tc>
          <w:tcPr>
            <w:shd w:val="clear" w:color="auto" w:fill="1B3A6B"/>
            <w:tcW w:w="1258" w:type="dxa"/>
          </w:tcPr>
          <w:p>
            <w:pPr>
              <w:pStyle w:val="Compact"/>
              <w:jc w:val="left"/>
            </w:pPr>
            <w:r>
              <w:rPr>
                <w:b/>
                <w:color w:val="FFFFFF"/>
                <w:sz w:val="18"/>
              </w:rPr>
              <w:t xml:space="preserve">Step</w:t>
            </w:r>
          </w:p>
        </w:tc>
        <w:tc>
          <w:tcPr>
            <w:shd w:val="clear" w:color="auto" w:fill="1B3A6B"/>
            <w:tcW w:w="2604" w:type="dxa"/>
          </w:tcPr>
          <w:p>
            <w:pPr>
              <w:pStyle w:val="Compact"/>
              <w:jc w:val="left"/>
            </w:pPr>
            <w:r>
              <w:rPr>
                <w:b/>
                <w:color w:val="FFFFFF"/>
                <w:sz w:val="18"/>
              </w:rPr>
              <w:t xml:space="preserve">Formula / concept</w:t>
            </w:r>
          </w:p>
        </w:tc>
        <w:tc>
          <w:tcPr>
            <w:shd w:val="clear" w:color="auto" w:fill="1B3A6B"/>
            <w:tcW w:w="2604" w:type="dxa"/>
          </w:tcPr>
          <w:p>
            <w:pPr>
              <w:pStyle w:val="Compact"/>
              <w:jc w:val="left"/>
            </w:pPr>
            <w:r>
              <w:rPr>
                <w:b/>
                <w:color w:val="FFFFFF"/>
                <w:sz w:val="18"/>
              </w:rPr>
              <w:t xml:space="preserve">Practical meaning</w:t>
            </w:r>
          </w:p>
        </w:tc>
        <w:tc>
          <w:tcPr>
            <w:shd w:val="clear" w:color="auto" w:fill="1B3A6B"/>
            <w:tcW w:w="2604" w:type="dxa"/>
          </w:tcPr>
          <w:p>
            <w:pPr>
              <w:pStyle w:val="Compact"/>
              <w:jc w:val="left"/>
            </w:pPr>
            <w:r>
              <w:rPr>
                <w:b/>
                <w:color w:val="FFFFFF"/>
                <w:sz w:val="18"/>
              </w:rPr>
              <w:t xml:space="preserve">Vermont application</w:t>
            </w:r>
          </w:p>
        </w:tc>
      </w:tr>
      <w:tr>
        <w:trPr>
          <w:cantSplit/>
        </w:trPr>
        <w:tc>
          <w:tcPr>
            <w:tcW w:w="1258" w:type="dxa"/>
          </w:tcPr>
          <w:p>
            <w:pPr>
              <w:pStyle w:val="Compact"/>
              <w:jc w:val="left"/>
            </w:pPr>
            <w:r>
              <w:rPr>
                <w:sz w:val="18"/>
              </w:rPr>
              <w:t xml:space="preserve">1. Benchmark setting</w:t>
            </w:r>
          </w:p>
        </w:tc>
        <w:tc>
          <w:tcPr>
            <w:tcW w:w="2604" w:type="dxa"/>
          </w:tcPr>
          <w:p>
            <w:pPr>
              <w:pStyle w:val="Compact"/>
              <w:jc w:val="left"/>
            </w:pPr>
            <w:r>
              <w:rPr>
                <w:sz w:val="18"/>
              </w:rPr>
              <w:t xml:space="preserve">Benchmark PMPM × attributed member months = Total benchmark spending</w:t>
            </w:r>
          </w:p>
        </w:tc>
        <w:tc>
          <w:tcPr>
            <w:tcW w:w="2604"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604"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258" w:type="dxa"/>
          </w:tcPr>
          <w:p>
            <w:pPr>
              <w:pStyle w:val="Compact"/>
              <w:jc w:val="left"/>
            </w:pPr>
            <w:r>
              <w:rPr>
                <w:sz w:val="18"/>
              </w:rPr>
              <w:t xml:space="preserve">2. Performance measurement</w:t>
            </w:r>
          </w:p>
        </w:tc>
        <w:tc>
          <w:tcPr>
            <w:tcW w:w="2604" w:type="dxa"/>
          </w:tcPr>
          <w:p>
            <w:pPr>
              <w:pStyle w:val="Compact"/>
              <w:jc w:val="left"/>
            </w:pPr>
            <w:r>
              <w:rPr>
                <w:sz w:val="18"/>
              </w:rPr>
              <w:t xml:space="preserve">Actual total cost of care for attributed population</w:t>
            </w:r>
          </w:p>
        </w:tc>
        <w:tc>
          <w:tcPr>
            <w:tcW w:w="2604"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8"/>
              </w:rPr>
              <w:t xml:space="preserve">AHEAD tracks total cost of care for Medicare FFS beneficiaries attributed to Vermont hospitals across all payer settings.</w:t>
            </w:r>
          </w:p>
        </w:tc>
      </w:tr>
      <w:tr>
        <w:trPr/>
        <w:tc>
          <w:tcPr>
            <w:tcW w:w="1258" w:type="dxa"/>
          </w:tcPr>
          <w:p>
            <w:pPr>
              <w:pStyle w:val="Compact"/>
              <w:jc w:val="left"/>
            </w:pPr>
            <w:r>
              <w:rPr>
                <w:sz w:val="18"/>
              </w:rPr>
              <w:t xml:space="preserve">3. Savings calculation</w:t>
            </w:r>
          </w:p>
        </w:tc>
        <w:tc>
          <w:tcPr>
            <w:tcW w:w="2604" w:type="dxa"/>
          </w:tcPr>
          <w:p>
            <w:pPr>
              <w:pStyle w:val="Compact"/>
              <w:jc w:val="left"/>
            </w:pPr>
            <w:r>
              <w:rPr>
                <w:sz w:val="18"/>
              </w:rPr>
              <w:t xml:space="preserve">Benchmark - Actual TCOC = Gross savings (or loss)</w:t>
            </w:r>
          </w:p>
        </w:tc>
        <w:tc>
          <w:tcPr>
            <w:tcW w:w="2604" w:type="dxa"/>
          </w:tcPr>
          <w:p>
            <w:pPr>
              <w:pStyle w:val="Compact"/>
              <w:jc w:val="left"/>
            </w:pPr>
            <w:r>
              <w:rPr>
                <w:sz w:val="18"/>
              </w:rPr>
              <w:t xml:space="preserve">If actual spending is below benchmark, gross savings exist. If above, gross loss.</w:t>
            </w:r>
          </w:p>
        </w:tc>
        <w:tc>
          <w:tcPr>
            <w:tcW w:w="2604"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258" w:type="dxa"/>
          </w:tcPr>
          <w:p>
            <w:pPr>
              <w:pStyle w:val="Compact"/>
              <w:jc w:val="left"/>
            </w:pPr>
            <w:r>
              <w:rPr>
                <w:sz w:val="18"/>
              </w:rPr>
              <w:t xml:space="preserve">4. Minimum savings rate (MSR)</w:t>
            </w:r>
          </w:p>
        </w:tc>
        <w:tc>
          <w:tcPr>
            <w:tcW w:w="2604" w:type="dxa"/>
          </w:tcPr>
          <w:p>
            <w:pPr>
              <w:pStyle w:val="Compact"/>
              <w:jc w:val="left"/>
            </w:pPr>
            <w:r>
              <w:rPr>
                <w:sz w:val="18"/>
              </w:rPr>
              <w:t xml:space="preserve">In most shared savings models, savings must exceed a minimum threshold (typically 2-3.5%) before the organization shares in them</w:t>
            </w:r>
          </w:p>
        </w:tc>
        <w:tc>
          <w:tcPr>
            <w:tcW w:w="2604" w:type="dxa"/>
          </w:tcPr>
          <w:p>
            <w:pPr>
              <w:pStyle w:val="Compact"/>
              <w:jc w:val="left"/>
            </w:pPr>
            <w:r>
              <w:rPr>
                <w:sz w:val="18"/>
              </w:rPr>
              <w:t xml:space="preserve">Protects against natural year-to-year cost variation triggering shared savings or losses that don’t reflect genuine performance changes.</w:t>
            </w:r>
          </w:p>
        </w:tc>
        <w:tc>
          <w:tcPr>
            <w:tcW w:w="2604"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258" w:type="dxa"/>
          </w:tcPr>
          <w:p>
            <w:pPr>
              <w:pStyle w:val="Compact"/>
              <w:jc w:val="left"/>
            </w:pPr>
            <w:r>
              <w:rPr>
                <w:sz w:val="18"/>
              </w:rPr>
              <w:t xml:space="preserve">5. Shared savings calculation</w:t>
            </w:r>
          </w:p>
        </w:tc>
        <w:tc>
          <w:tcPr>
            <w:tcW w:w="2604" w:type="dxa"/>
          </w:tcPr>
          <w:p>
            <w:pPr>
              <w:pStyle w:val="Compact"/>
              <w:jc w:val="left"/>
            </w:pPr>
            <w:r>
              <w:rPr>
                <w:sz w:val="18"/>
              </w:rPr>
              <w:t xml:space="preserve">Gross savings × sharing rate = Organization’s shared savings payment (or loss obligation)</w:t>
            </w:r>
          </w:p>
        </w:tc>
        <w:tc>
          <w:tcPr>
            <w:tcW w:w="2604" w:type="dxa"/>
          </w:tcPr>
          <w:p>
            <w:pPr>
              <w:pStyle w:val="Compact"/>
              <w:jc w:val="left"/>
            </w:pPr>
            <w:r>
              <w:rPr>
                <w:sz w:val="18"/>
              </w:rPr>
              <w:t xml:space="preserve">Sharing rates vary by model and risk track — typically 50-75% for one-sided models; may reach 80% for full-risk models.</w:t>
            </w:r>
          </w:p>
        </w:tc>
        <w:tc>
          <w:tcPr>
            <w:tcW w:w="2604" w:type="dxa"/>
          </w:tcPr>
          <w:p>
            <w:pPr>
              <w:pStyle w:val="Compact"/>
              <w:jc w:val="left"/>
            </w:pPr>
            <w:r>
              <w:rPr>
                <w:sz w:val="18"/>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pPr>
      <w:r>
        <w:rPr>
          <w:color w:val="161B22"/>
        </w:rPr>
        <w:t xml:space="preserve">7.3  </w:t>
      </w:r>
      <w:bookmarkStart w:id="1206" w:name="_Toc1205"/>
      <w:r>
        <w:rPr>
          <w:b/>
          <w:bCs/>
          <w:color w:val="161B22"/>
        </w:rPr>
        <w:t xml:space="preserve">Economics Pillar Implementation Matrix</w:t>
      </w:r>
      <w:bookmarkEnd w:id="1206"/>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cantSplit/>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13" w:name="_Toc1212"/>
      <w:r>
        <w:rPr>
          <w:b/>
          <w:bCs/>
          <w:color w:val="161B22"/>
        </w:rPr>
        <w:t xml:space="preserve">The Global Budget Financial Management Model</w:t>
      </w:r>
      <w:bookmarkEnd w:id="1213"/>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cantSplit/>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cantSplit/>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16" w:name="_Toc1215"/>
      <w:r>
        <w:rPr>
          <w:b/>
          <w:bCs/>
          <w:color w:val="161B22"/>
        </w:rPr>
        <w:t xml:space="preserve">The Transformation ROI Framework</w:t>
      </w:r>
      <w:bookmarkEnd w:id="1216"/>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909"/>
        <w:gridCol w:w="2387"/>
        <w:gridCol w:w="2387"/>
        <w:gridCol w:w="2387"/>
      </w:tblGrid>
      <w:tr>
        <w:trPr>
          <w:tblHeader w:val="on"/>
          <w:cantSplit/>
        </w:trPr>
        <w:tc>
          <w:tcPr>
            <w:shd w:val="clear" w:color="auto" w:fill="1B3A6B"/>
            <w:tcW w:w="1909" w:type="dxa"/>
          </w:tcPr>
          <w:p>
            <w:pPr>
              <w:pStyle w:val="Compact"/>
              <w:jc w:val="left"/>
            </w:pPr>
            <w:r>
              <w:rPr>
                <w:b/>
                <w:color w:val="FFFFFF"/>
                <w:sz w:val="18"/>
              </w:rPr>
              <w:t xml:space="preserve">Investment type</w:t>
            </w:r>
          </w:p>
        </w:tc>
        <w:tc>
          <w:tcPr>
            <w:shd w:val="clear" w:color="auto" w:fill="1B3A6B"/>
            <w:tcW w:w="2387" w:type="dxa"/>
          </w:tcPr>
          <w:p>
            <w:pPr>
              <w:pStyle w:val="Compact"/>
              <w:jc w:val="left"/>
            </w:pPr>
            <w:r>
              <w:rPr>
                <w:b/>
                <w:color w:val="FFFFFF"/>
                <w:sz w:val="18"/>
              </w:rPr>
              <w:t xml:space="preserve">Revenue/savings mechanism</w:t>
            </w:r>
          </w:p>
        </w:tc>
        <w:tc>
          <w:tcPr>
            <w:shd w:val="clear" w:color="auto" w:fill="1B3A6B"/>
            <w:tcW w:w="2387" w:type="dxa"/>
          </w:tcPr>
          <w:p>
            <w:pPr>
              <w:pStyle w:val="Compact"/>
              <w:jc w:val="left"/>
            </w:pPr>
            <w:r>
              <w:rPr>
                <w:b/>
                <w:color w:val="FFFFFF"/>
                <w:sz w:val="18"/>
              </w:rPr>
              <w:t xml:space="preserve">Calculation approach</w:t>
            </w:r>
          </w:p>
        </w:tc>
        <w:tc>
          <w:tcPr>
            <w:shd w:val="clear" w:color="auto" w:fill="1B3A6B"/>
            <w:tcW w:w="2387" w:type="dxa"/>
          </w:tcPr>
          <w:p>
            <w:pPr>
              <w:pStyle w:val="Compact"/>
              <w:jc w:val="left"/>
            </w:pPr>
            <w:r>
              <w:rPr>
                <w:b/>
                <w:color w:val="FFFFFF"/>
                <w:sz w:val="18"/>
              </w:rPr>
              <w:t xml:space="preserve">Vermont example</w:t>
            </w:r>
          </w:p>
        </w:tc>
      </w:tr>
      <w:tr>
        <w:trPr>
          <w:cantSplit/>
        </w:trPr>
        <w:tc>
          <w:tcPr>
            <w:tcW w:w="1909" w:type="dxa"/>
          </w:tcPr>
          <w:p>
            <w:pPr>
              <w:pStyle w:val="Compact"/>
              <w:jc w:val="left"/>
            </w:pPr>
            <w:r>
              <w:rPr>
                <w:sz w:val="18"/>
              </w:rPr>
              <w:t xml:space="preserve">Care management program</w:t>
            </w:r>
          </w:p>
        </w:tc>
        <w:tc>
          <w:tcPr>
            <w:tcW w:w="2387" w:type="dxa"/>
          </w:tcPr>
          <w:p>
            <w:pPr>
              <w:pStyle w:val="Compact"/>
              <w:jc w:val="left"/>
            </w:pPr>
            <w:r>
              <w:rPr>
                <w:sz w:val="18"/>
              </w:rPr>
              <w:t xml:space="preserve">Prevents hospitalizations and ED visits that, under VBC, are costs without offsetting revenue</w:t>
            </w:r>
          </w:p>
        </w:tc>
        <w:tc>
          <w:tcPr>
            <w:tcW w:w="2387" w:type="dxa"/>
          </w:tcPr>
          <w:p>
            <w:pPr>
              <w:pStyle w:val="Compact"/>
              <w:jc w:val="left"/>
            </w:pPr>
            <w:r>
              <w:rPr>
                <w:sz w:val="18"/>
              </w:rPr>
              <w:t xml:space="preserve">(Prevented events) × (average cost per event) - (program operating cost) = Net savings. Divide by program cost for ROI.</w:t>
            </w:r>
          </w:p>
        </w:tc>
        <w:tc>
          <w:tcPr>
            <w:tcW w:w="2387"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8"/>
              </w:rPr>
              <w:t xml:space="preserve">Behavioral health integration (CoCM)</w:t>
            </w:r>
          </w:p>
        </w:tc>
        <w:tc>
          <w:tcPr>
            <w:tcW w:w="2387" w:type="dxa"/>
          </w:tcPr>
          <w:p>
            <w:pPr>
              <w:pStyle w:val="Compact"/>
              <w:jc w:val="left"/>
            </w:pPr>
            <w:r>
              <w:rPr>
                <w:sz w:val="18"/>
              </w:rPr>
              <w:t xml:space="preserve">Reduces downstream high-cost utilization — hospitalizations, ED visits for MH crisis — for patients receiving earlier MH intervention</w:t>
            </w:r>
          </w:p>
        </w:tc>
        <w:tc>
          <w:tcPr>
            <w:tcW w:w="2387"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8"/>
              </w:rPr>
              <w:t xml:space="preserve">SDOH program investment</w:t>
            </w:r>
          </w:p>
        </w:tc>
        <w:tc>
          <w:tcPr>
            <w:tcW w:w="2387"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8"/>
              </w:rPr>
              <w:t xml:space="preserve">Primary care investment (PCMH enhanced payments)</w:t>
            </w:r>
          </w:p>
        </w:tc>
        <w:tc>
          <w:tcPr>
            <w:tcW w:w="2387" w:type="dxa"/>
          </w:tcPr>
          <w:p>
            <w:pPr>
              <w:pStyle w:val="Compact"/>
              <w:jc w:val="left"/>
            </w:pPr>
            <w:r>
              <w:rPr>
                <w:sz w:val="18"/>
              </w:rPr>
              <w:t xml:space="preserve">Reduces hospitalizations and specialty care through better chronic disease management and early intervention</w:t>
            </w:r>
          </w:p>
        </w:tc>
        <w:tc>
          <w:tcPr>
            <w:tcW w:w="2387"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909" w:type="dxa"/>
          </w:tcPr>
          <w:p>
            <w:pPr>
              <w:pStyle w:val="Compact"/>
              <w:jc w:val="left"/>
            </w:pPr>
            <w:r>
              <w:rPr>
                <w:sz w:val="18"/>
              </w:rPr>
              <w:t xml:space="preserve">Telehealth for rural access</w:t>
            </w:r>
          </w:p>
        </w:tc>
        <w:tc>
          <w:tcPr>
            <w:tcW w:w="2387"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18" w:name="_Toc1217"/>
      <w:r>
        <w:rPr>
          <w:b/>
          <w:bCs/>
          <w:color w:val="161B22"/>
        </w:rPr>
        <w:t xml:space="preserve">Work This Chapter on the Platform</w:t>
      </w:r>
      <w:bookmarkEnd w:id="1218"/>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24" w:name="_Toc1223"/>
      <w:r>
        <w:rPr>
          <w:b/>
          <w:bCs/>
          <w:color w:val="161B22"/>
        </w:rPr>
        <w:t xml:space="preserve">The Blueprint Architecture</w:t>
      </w:r>
      <w:bookmarkEnd w:id="1224"/>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cantSplit/>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cantSplit/>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980"/>
        <w:gridCol w:w="2763"/>
        <w:gridCol w:w="1565"/>
        <w:gridCol w:w="2763"/>
      </w:tblGrid>
      <w:tr>
        <w:trPr>
          <w:tblHeader w:val="on"/>
          <w:cantSplit/>
        </w:trPr>
        <w:tc>
          <w:tcPr>
            <w:shd w:val="clear" w:color="auto" w:fill="1B3A6B"/>
            <w:tcW w:w="1980" w:type="dxa"/>
          </w:tcPr>
          <w:p>
            <w:pPr>
              <w:pStyle w:val="Compact"/>
              <w:jc w:val="left"/>
            </w:pPr>
            <w:r>
              <w:rPr>
                <w:b/>
                <w:color w:val="FFFFFF"/>
                <w:sz w:val="18"/>
              </w:rPr>
              <w:t xml:space="preserve">Commitment</w:t>
            </w:r>
          </w:p>
        </w:tc>
        <w:tc>
          <w:tcPr>
            <w:shd w:val="clear" w:color="auto" w:fill="1B3A6B"/>
            <w:tcW w:w="2763" w:type="dxa"/>
          </w:tcPr>
          <w:p>
            <w:pPr>
              <w:pStyle w:val="Compact"/>
              <w:jc w:val="left"/>
            </w:pPr>
            <w:r>
              <w:rPr>
                <w:b/>
                <w:color w:val="FFFFFF"/>
                <w:sz w:val="18"/>
              </w:rPr>
              <w:t xml:space="preserve">What it requires</w:t>
            </w:r>
          </w:p>
        </w:tc>
        <w:tc>
          <w:tcPr>
            <w:shd w:val="clear" w:color="auto" w:fill="1B3A6B"/>
            <w:tcW w:w="1565" w:type="dxa"/>
          </w:tcPr>
          <w:p>
            <w:pPr>
              <w:pStyle w:val="Compact"/>
              <w:jc w:val="left"/>
            </w:pPr>
            <w:r>
              <w:rPr>
                <w:b/>
                <w:color w:val="FFFFFF"/>
                <w:sz w:val="18"/>
              </w:rPr>
              <w:t xml:space="preserve">Timeline</w:t>
            </w:r>
          </w:p>
        </w:tc>
        <w:tc>
          <w:tcPr>
            <w:shd w:val="clear" w:color="auto" w:fill="1B3A6B"/>
            <w:tcW w:w="2763" w:type="dxa"/>
          </w:tcPr>
          <w:p>
            <w:pPr>
              <w:pStyle w:val="Compact"/>
              <w:jc w:val="left"/>
            </w:pPr>
            <w:r>
              <w:rPr>
                <w:b/>
                <w:color w:val="FFFFFF"/>
                <w:sz w:val="18"/>
              </w:rPr>
              <w:t xml:space="preserve">Primary vehicle</w:t>
            </w:r>
          </w:p>
        </w:tc>
      </w:tr>
      <w:tr>
        <w:trPr>
          <w:cantSplit/>
        </w:trPr>
        <w:tc>
          <w:tcPr>
            <w:tcW w:w="1980" w:type="dxa"/>
          </w:tcPr>
          <w:p>
            <w:pPr>
              <w:pStyle w:val="Compact"/>
              <w:jc w:val="left"/>
            </w:pPr>
            <w:r>
              <w:rPr>
                <w:sz w:val="18"/>
              </w:rPr>
              <w:t xml:space="preserve">Universal Blueprint PCMH coverage</w:t>
            </w:r>
          </w:p>
        </w:tc>
        <w:tc>
          <w:tcPr>
            <w:tcW w:w="2763"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Blueprint expansion; AHEAD PC primary care recruitment; RHT workforce investment</w:t>
            </w:r>
          </w:p>
        </w:tc>
      </w:tr>
      <w:tr>
        <w:trPr/>
        <w:tc>
          <w:tcPr>
            <w:tcW w:w="1980" w:type="dxa"/>
          </w:tcPr>
          <w:p>
            <w:pPr>
              <w:pStyle w:val="Compact"/>
              <w:jc w:val="left"/>
            </w:pPr>
            <w:r>
              <w:rPr>
                <w:sz w:val="18"/>
              </w:rPr>
              <w:t xml:space="preserve">Behavioral health integration at every PCMH</w:t>
            </w:r>
          </w:p>
        </w:tc>
        <w:tc>
          <w:tcPr>
            <w:tcW w:w="2763"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8"/>
              </w:rPr>
              <w:t xml:space="preserve">2025-2028</w:t>
            </w:r>
          </w:p>
        </w:tc>
        <w:tc>
          <w:tcPr>
            <w:tcW w:w="2763" w:type="dxa"/>
          </w:tcPr>
          <w:p>
            <w:pPr>
              <w:pStyle w:val="Compact"/>
              <w:jc w:val="left"/>
            </w:pPr>
            <w:r>
              <w:rPr>
                <w:sz w:val="18"/>
              </w:rPr>
              <w:t xml:space="preserve">MHI permanent funding through AHEAD EAST Fund; CCBHC partnerships; BHCM workforce training through RHT Program</w:t>
            </w:r>
          </w:p>
        </w:tc>
      </w:tr>
      <w:tr>
        <w:trPr/>
        <w:tc>
          <w:tcPr>
            <w:tcW w:w="1980" w:type="dxa"/>
          </w:tcPr>
          <w:p>
            <w:pPr>
              <w:pStyle w:val="Compact"/>
              <w:jc w:val="left"/>
            </w:pPr>
            <w:r>
              <w:rPr>
                <w:sz w:val="18"/>
              </w:rPr>
              <w:t xml:space="preserve">CCBHC network covering all HSAs</w:t>
            </w:r>
          </w:p>
        </w:tc>
        <w:tc>
          <w:tcPr>
            <w:tcW w:w="2763"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8"/>
              </w:rPr>
              <w:t xml:space="preserve">2026 (5 new CCBHCs) through 2028</w:t>
            </w:r>
          </w:p>
        </w:tc>
        <w:tc>
          <w:tcPr>
            <w:tcW w:w="2763" w:type="dxa"/>
          </w:tcPr>
          <w:p>
            <w:pPr>
              <w:pStyle w:val="Compact"/>
              <w:jc w:val="left"/>
            </w:pPr>
            <w:r>
              <w:rPr>
                <w:sz w:val="18"/>
              </w:rPr>
              <w:t xml:space="preserve">CCBHC Demonstration State enhanced Medicaid; RHT Program funding; Act 68 grants</w:t>
            </w:r>
          </w:p>
        </w:tc>
      </w:tr>
      <w:tr>
        <w:trPr/>
        <w:tc>
          <w:tcPr>
            <w:tcW w:w="1980" w:type="dxa"/>
          </w:tcPr>
          <w:p>
            <w:pPr>
              <w:pStyle w:val="Compact"/>
              <w:jc w:val="left"/>
            </w:pPr>
            <w:r>
              <w:rPr>
                <w:sz w:val="18"/>
              </w:rPr>
              <w:t xml:space="preserve">PACE program development</w:t>
            </w:r>
          </w:p>
        </w:tc>
        <w:tc>
          <w:tcPr>
            <w:tcW w:w="2763"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8"/>
              </w:rPr>
              <w:t xml:space="preserve">2026-2028 (feasibility and launch)</w:t>
            </w:r>
          </w:p>
        </w:tc>
        <w:tc>
          <w:tcPr>
            <w:tcW w:w="2763" w:type="dxa"/>
          </w:tcPr>
          <w:p>
            <w:pPr>
              <w:pStyle w:val="Compact"/>
              <w:jc w:val="left"/>
            </w:pPr>
            <w:r>
              <w:rPr>
                <w:sz w:val="18"/>
              </w:rPr>
              <w:t xml:space="preserve">AHEAD EAST Fund; RHT long-term care infrastructure investment; Medicaid PACE program rules</w:t>
            </w:r>
          </w:p>
        </w:tc>
      </w:tr>
      <w:tr>
        <w:trPr>
          <w:cantSplit/>
        </w:trPr>
        <w:tc>
          <w:tcPr>
            <w:tcW w:w="1980" w:type="dxa"/>
          </w:tcPr>
          <w:p>
            <w:pPr>
              <w:pStyle w:val="Compact"/>
              <w:jc w:val="left"/>
            </w:pPr>
            <w:r>
              <w:rPr>
                <w:sz w:val="18"/>
              </w:rPr>
              <w:t xml:space="preserve">Dementia care infrastructure</w:t>
            </w:r>
          </w:p>
        </w:tc>
        <w:tc>
          <w:tcPr>
            <w:tcW w:w="2763"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8"/>
              </w:rPr>
              <w:t xml:space="preserve">2026-2030</w:t>
            </w:r>
          </w:p>
        </w:tc>
        <w:tc>
          <w:tcPr>
            <w:tcW w:w="2763" w:type="dxa"/>
          </w:tcPr>
          <w:p>
            <w:pPr>
              <w:pStyle w:val="Compact"/>
              <w:jc w:val="left"/>
            </w:pPr>
            <w:r>
              <w:rPr>
                <w:sz w:val="18"/>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pStyle w:val="Heading2"/>
        <w:pBdr>
          <w:top w:val="single" w:sz="6" w:space="10" w:color="C9D2DF"/>
        </w:pBdr>
        <w:keepNext w:val="false"/>
      </w:pPr>
      <w:r>
        <w:rPr>
          <w:color w:val="161B22"/>
        </w:rPr>
        <w:t xml:space="preserve">8.8  </w:t>
      </w:r>
      <w:bookmarkStart w:id="1240" w:name="_Toc1239"/>
      <w:r>
        <w:rPr>
          <w:b/>
          <w:bCs/>
          <w:color w:val="161B22"/>
        </w:rPr>
        <w:t xml:space="preserve">Work This Chapter on the Platform</w:t>
      </w:r>
      <w:bookmarkEnd w:id="1240"/>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cantSplit/>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cantSplit/>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cantSplit/>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keepNext/>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804"/>
        <w:gridCol w:w="1414"/>
        <w:gridCol w:w="2926"/>
        <w:gridCol w:w="2926"/>
      </w:tblGrid>
      <w:tr>
        <w:trPr>
          <w:tblHeader w:val="on"/>
          <w:cantSplit/>
        </w:trPr>
        <w:tc>
          <w:tcPr>
            <w:shd w:val="clear" w:color="auto" w:fill="1B3A6B"/>
            <w:tcW w:w="1804" w:type="dxa"/>
          </w:tcPr>
          <w:p>
            <w:pPr>
              <w:pStyle w:val="Compact"/>
              <w:jc w:val="left"/>
            </w:pPr>
            <w:r>
              <w:rPr>
                <w:b/>
                <w:color w:val="FFFFFF"/>
                <w:sz w:val="18"/>
              </w:rPr>
              <w:t xml:space="preserve">CoCM Component</w:t>
            </w:r>
          </w:p>
        </w:tc>
        <w:tc>
          <w:tcPr>
            <w:shd w:val="clear" w:color="auto" w:fill="1B3A6B"/>
            <w:tcW w:w="1414" w:type="dxa"/>
          </w:tcPr>
          <w:p>
            <w:pPr>
              <w:pStyle w:val="Compact"/>
              <w:jc w:val="left"/>
            </w:pPr>
            <w:r>
              <w:rPr>
                <w:b/>
                <w:color w:val="FFFFFF"/>
                <w:sz w:val="18"/>
              </w:rPr>
              <w:t xml:space="preserve">Role</w:t>
            </w:r>
          </w:p>
        </w:tc>
        <w:tc>
          <w:tcPr>
            <w:shd w:val="clear" w:color="auto" w:fill="1B3A6B"/>
            <w:tcW w:w="2926" w:type="dxa"/>
          </w:tcPr>
          <w:p>
            <w:pPr>
              <w:pStyle w:val="Compact"/>
              <w:jc w:val="left"/>
            </w:pPr>
            <w:r>
              <w:rPr>
                <w:b/>
                <w:color w:val="FFFFFF"/>
                <w:sz w:val="18"/>
              </w:rPr>
              <w:t xml:space="preserve">What they do</w:t>
            </w:r>
          </w:p>
        </w:tc>
        <w:tc>
          <w:tcPr>
            <w:shd w:val="clear" w:color="auto" w:fill="1B3A6B"/>
            <w:tcW w:w="2926" w:type="dxa"/>
          </w:tcPr>
          <w:p>
            <w:pPr>
              <w:pStyle w:val="Compact"/>
              <w:jc w:val="left"/>
            </w:pPr>
            <w:r>
              <w:rPr>
                <w:b/>
                <w:color w:val="FFFFFF"/>
                <w:sz w:val="18"/>
              </w:rPr>
              <w:t xml:space="preserve">Vermont application</w:t>
            </w:r>
          </w:p>
        </w:tc>
      </w:tr>
      <w:tr>
        <w:trPr>
          <w:cantSplit/>
        </w:trPr>
        <w:tc>
          <w:tcPr>
            <w:tcW w:w="1804" w:type="dxa"/>
          </w:tcPr>
          <w:p>
            <w:pPr>
              <w:pStyle w:val="Compact"/>
              <w:jc w:val="left"/>
            </w:pPr>
            <w:r>
              <w:rPr>
                <w:sz w:val="18"/>
              </w:rPr>
              <w:t xml:space="preserve">Primary Care Provider (PCP)</w:t>
            </w:r>
          </w:p>
        </w:tc>
        <w:tc>
          <w:tcPr>
            <w:tcW w:w="1414" w:type="dxa"/>
          </w:tcPr>
          <w:p>
            <w:pPr>
              <w:pStyle w:val="Compact"/>
              <w:jc w:val="left"/>
            </w:pPr>
            <w:r>
              <w:rPr>
                <w:sz w:val="18"/>
              </w:rPr>
              <w:t xml:space="preserve">Treating and billing provider</w:t>
            </w:r>
          </w:p>
        </w:tc>
        <w:tc>
          <w:tcPr>
            <w:tcW w:w="2926" w:type="dxa"/>
          </w:tcPr>
          <w:p>
            <w:pPr>
              <w:pStyle w:val="Compact"/>
              <w:jc w:val="left"/>
            </w:pPr>
            <w:r>
              <w:rPr>
                <w:sz w:val="18"/>
              </w:rPr>
              <w:t xml:space="preserve">Identifies patients through validated screening (PHQ-9, GAD-7); refers to BHCM; provides warm handoffs; bills CoCM codes monthly</w:t>
            </w:r>
          </w:p>
        </w:tc>
        <w:tc>
          <w:tcPr>
            <w:tcW w:w="2926"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8"/>
              </w:rPr>
              <w:t xml:space="preserve">Behavioral Health Care Manager (BHCM)</w:t>
            </w:r>
          </w:p>
        </w:tc>
        <w:tc>
          <w:tcPr>
            <w:tcW w:w="1414" w:type="dxa"/>
          </w:tcPr>
          <w:p>
            <w:pPr>
              <w:pStyle w:val="Compact"/>
              <w:jc w:val="left"/>
            </w:pPr>
            <w:r>
              <w:rPr>
                <w:sz w:val="18"/>
              </w:rPr>
              <w:t xml:space="preserve">Day-to-day care coordinator</w:t>
            </w:r>
          </w:p>
        </w:tc>
        <w:tc>
          <w:tcPr>
            <w:tcW w:w="2926"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804" w:type="dxa"/>
          </w:tcPr>
          <w:p>
            <w:pPr>
              <w:pStyle w:val="Compact"/>
              <w:jc w:val="left"/>
            </w:pPr>
            <w:r>
              <w:rPr>
                <w:sz w:val="18"/>
              </w:rPr>
              <w:t xml:space="preserve">Psychiatric Consultant</w:t>
            </w:r>
          </w:p>
        </w:tc>
        <w:tc>
          <w:tcPr>
            <w:tcW w:w="1414" w:type="dxa"/>
          </w:tcPr>
          <w:p>
            <w:pPr>
              <w:pStyle w:val="Compact"/>
              <w:jc w:val="left"/>
            </w:pPr>
            <w:r>
              <w:rPr>
                <w:sz w:val="18"/>
              </w:rPr>
              <w:t xml:space="preserve">Clinical supervision</w:t>
            </w:r>
          </w:p>
        </w:tc>
        <w:tc>
          <w:tcPr>
            <w:tcW w:w="2926"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880"/>
        <w:gridCol w:w="2880"/>
        <w:gridCol w:w="432"/>
        <w:gridCol w:w="2880"/>
      </w:tblGrid>
      <w:tr>
        <w:trPr>
          <w:tblHeader w:val="on"/>
          <w:cantSplit/>
        </w:trPr>
        <w:tc>
          <w:tcPr>
            <w:shd w:val="clear" w:color="auto" w:fill="1B3A6B"/>
            <w:tcW w:w="2880" w:type="dxa"/>
          </w:tcPr>
          <w:p>
            <w:pPr>
              <w:pStyle w:val="Compact"/>
              <w:jc w:val="left"/>
            </w:pPr>
            <w:r>
              <w:rPr>
                <w:b/>
                <w:color w:val="FFFFFF"/>
                <w:sz w:val="18"/>
              </w:rPr>
              <w:t xml:space="preserve">Commitment</w:t>
            </w:r>
          </w:p>
        </w:tc>
        <w:tc>
          <w:tcPr>
            <w:shd w:val="clear" w:color="auto" w:fill="1B3A6B"/>
            <w:tcW w:w="2880" w:type="dxa"/>
          </w:tcPr>
          <w:p>
            <w:pPr>
              <w:pStyle w:val="Compact"/>
              <w:jc w:val="left"/>
            </w:pPr>
            <w:r>
              <w:rPr>
                <w:b/>
                <w:color w:val="FFFFFF"/>
                <w:sz w:val="18"/>
              </w:rPr>
              <w:t xml:space="preserve">Operational Requirement</w:t>
            </w:r>
          </w:p>
        </w:tc>
        <w:tc>
          <w:tcPr>
            <w:shd w:val="clear" w:color="auto" w:fill="1B3A6B"/>
            <w:tcW w:w="432" w:type="dxa"/>
          </w:tcPr>
          <w:p>
            <w:pPr>
              <w:pStyle w:val="Compact"/>
              <w:jc w:val="left"/>
            </w:pPr>
            <w:r>
              <w:rPr>
                <w:b/>
                <w:color w:val="FFFFFF"/>
                <w:sz w:val="18"/>
              </w:rPr>
              <w:t xml:space="preserve">Timeline</w:t>
            </w:r>
          </w:p>
        </w:tc>
        <w:tc>
          <w:tcPr>
            <w:shd w:val="clear" w:color="auto" w:fill="1B3A6B"/>
            <w:tcW w:w="2880" w:type="dxa"/>
          </w:tcPr>
          <w:p>
            <w:pPr>
              <w:pStyle w:val="Compact"/>
              <w:jc w:val="left"/>
            </w:pPr>
            <w:r>
              <w:rPr>
                <w:b/>
                <w:color w:val="FFFFFF"/>
                <w:sz w:val="18"/>
              </w:rPr>
              <w:t xml:space="preserve">Primary Vehicle</w:t>
            </w:r>
          </w:p>
        </w:tc>
      </w:tr>
      <w:tr>
        <w:trPr>
          <w:cantSplit/>
        </w:trPr>
        <w:tc>
          <w:tcPr>
            <w:tcW w:w="2880" w:type="dxa"/>
          </w:tcPr>
          <w:p>
            <w:pPr>
              <w:pStyle w:val="Compact"/>
              <w:jc w:val="left"/>
            </w:pPr>
            <w:r>
              <w:rPr>
                <w:sz w:val="18"/>
              </w:rPr>
              <w:t xml:space="preserve">PCMH transformation support for all Vermont primary care practices</w:t>
            </w:r>
          </w:p>
        </w:tc>
        <w:tc>
          <w:tcPr>
            <w:tcW w:w="288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Blueprint program; DVHA; AHEAD implementation team</w:t>
            </w:r>
          </w:p>
        </w:tc>
      </w:tr>
      <w:tr>
        <w:trPr/>
        <w:tc>
          <w:tcPr>
            <w:tcW w:w="2880" w:type="dxa"/>
          </w:tcPr>
          <w:p>
            <w:pPr>
              <w:pStyle w:val="Compact"/>
              <w:jc w:val="left"/>
            </w:pPr>
            <w:r>
              <w:rPr>
                <w:sz w:val="18"/>
              </w:rPr>
              <w:t xml:space="preserve">CoCM deployment at every PCMH practice</w:t>
            </w:r>
          </w:p>
        </w:tc>
        <w:tc>
          <w:tcPr>
            <w:tcW w:w="2880" w:type="dxa"/>
          </w:tcPr>
          <w:p>
            <w:pPr>
              <w:pStyle w:val="Compact"/>
              <w:jc w:val="left"/>
            </w:pPr>
            <w:r>
              <w:rPr>
                <w:sz w:val="18"/>
              </w:rPr>
              <w:t xml:space="preserve">BHCM workforce training funded; telepsychiatry consultation network established; CoCM billing infrastructure in place at all Blueprint practices</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MHI permanent funding through AHEAD EAST Fund; RHT Program; CCBHC partnerships</w:t>
            </w:r>
          </w:p>
        </w:tc>
      </w:tr>
      <w:tr>
        <w:trPr/>
        <w:tc>
          <w:tcPr>
            <w:tcW w:w="2880" w:type="dxa"/>
          </w:tcPr>
          <w:p>
            <w:pPr>
              <w:pStyle w:val="Compact"/>
              <w:jc w:val="left"/>
            </w:pPr>
            <w:r>
              <w:rPr>
                <w:sz w:val="18"/>
              </w:rPr>
              <w:t xml:space="preserve">Structured data capture standards across all Vermont primary care</w:t>
            </w:r>
          </w:p>
        </w:tc>
        <w:tc>
          <w:tcPr>
            <w:tcW w:w="288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data infrastructure; GMCB analytics vendor; VITL</w:t>
            </w:r>
          </w:p>
        </w:tc>
      </w:tr>
      <w:tr>
        <w:trPr/>
        <w:tc>
          <w:tcPr>
            <w:tcW w:w="2880" w:type="dxa"/>
          </w:tcPr>
          <w:p>
            <w:pPr>
              <w:pStyle w:val="Compact"/>
              <w:jc w:val="left"/>
            </w:pPr>
            <w:r>
              <w:rPr>
                <w:sz w:val="18"/>
              </w:rPr>
              <w:t xml:space="preserve">Care transition protocols at all Vermont hospitals for Blueprint-attributed patients</w:t>
            </w:r>
          </w:p>
        </w:tc>
        <w:tc>
          <w:tcPr>
            <w:tcW w:w="288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8"/>
              </w:rPr>
              <w:t xml:space="preserve">2025-2027</w:t>
            </w:r>
          </w:p>
        </w:tc>
        <w:tc>
          <w:tcPr>
            <w:tcW w:w="2880" w:type="dxa"/>
          </w:tcPr>
          <w:p>
            <w:pPr>
              <w:pStyle w:val="Compact"/>
              <w:jc w:val="left"/>
            </w:pPr>
            <w:r>
              <w:rPr>
                <w:sz w:val="18"/>
              </w:rPr>
              <w:t xml:space="preserve">Blueprint CHT model; VITL infrastructure; DVHA quality targets</w:t>
            </w:r>
          </w:p>
        </w:tc>
      </w:tr>
      <w:tr>
        <w:trPr>
          <w:cantSplit/>
        </w:trPr>
        <w:tc>
          <w:tcPr>
            <w:tcW w:w="2880" w:type="dxa"/>
          </w:tcPr>
          <w:p>
            <w:pPr>
              <w:pStyle w:val="Compact"/>
              <w:jc w:val="left"/>
            </w:pPr>
            <w:r>
              <w:rPr>
                <w:sz w:val="18"/>
              </w:rPr>
              <w:t xml:space="preserve">Clinical leader engagement in AHEAD governance and Statewide Strategic Plan development</w:t>
            </w:r>
          </w:p>
        </w:tc>
        <w:tc>
          <w:tcPr>
            <w:tcW w:w="288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8"/>
              </w:rPr>
              <w:t xml:space="preserve">2025-2028</w:t>
            </w:r>
          </w:p>
        </w:tc>
        <w:tc>
          <w:tcPr>
            <w:tcW w:w="2880" w:type="dxa"/>
          </w:tcPr>
          <w:p>
            <w:pPr>
              <w:pStyle w:val="Compact"/>
              <w:jc w:val="left"/>
            </w:pPr>
            <w:r>
              <w:rPr>
                <w:sz w:val="18"/>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62" w:name="_Toc1261"/>
      <w:r>
        <w:rPr>
          <w:b/>
          <w:bCs/>
          <w:color w:val="161B22"/>
        </w:rPr>
        <w:t xml:space="preserve">Clinical Pillar Implementation Matrix</w:t>
      </w:r>
      <w:bookmarkEnd w:id="1262"/>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Heading2"/>
        <w:pBdr>
          <w:top w:val="single" w:sz="6" w:space="10" w:color="C9D2DF"/>
        </w:pBdr>
        <w:keepNext w:val="false"/>
      </w:pPr>
      <w:r>
        <w:rPr>
          <w:color w:val="161B22"/>
        </w:rPr>
        <w:t xml:space="preserve">9.10  </w:t>
      </w:r>
      <w:bookmarkStart w:id="1263" w:name="_Toc1262"/>
      <w:r>
        <w:rPr>
          <w:b/>
          <w:bCs/>
          <w:color w:val="161B22"/>
        </w:rPr>
        <w:t xml:space="preserve">Work This Chapter on the Platform</w:t>
      </w:r>
      <w:bookmarkEnd w:id="1263"/>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69" w:name="_Toc1268"/>
      <w:r>
        <w:rPr>
          <w:b/>
          <w:bCs/>
          <w:color w:val="161B22"/>
        </w:rPr>
        <w:t xml:space="preserve">Geographic Equity: The Rural-Urban Divide</w:t>
      </w:r>
      <w:bookmarkEnd w:id="1269"/>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1" w:name="_Toc1270"/>
      <w:r>
        <w:rPr>
          <w:b/>
          <w:bCs/>
          <w:color w:val="161B22"/>
        </w:rPr>
        <w:t xml:space="preserve">The SDOH Burden</w:t>
      </w:r>
      <w:bookmarkEnd w:id="1271"/>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cantSplit/>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fixed"/>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1" w:name="_Toc1280"/>
      <w:r>
        <w:rPr>
          <w:b/>
          <w:bCs/>
          <w:color w:val="161B22"/>
        </w:rPr>
        <w:t xml:space="preserve">What Must Be Built</w:t>
      </w:r>
      <w:bookmarkEnd w:id="1281"/>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84" w:name="_Toc1283"/>
      <w:r>
        <w:rPr>
          <w:b/>
          <w:bCs/>
          <w:color w:val="161B22"/>
        </w:rPr>
        <w:t xml:space="preserve">Work This Chapter on the Platform</w:t>
      </w:r>
      <w:bookmarkEnd w:id="1284"/>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89" w:name="_Toc1288"/>
      <w:r>
        <w:rPr>
          <w:b/>
          <w:bCs/>
          <w:color w:val="161B22"/>
        </w:rPr>
        <w:t xml:space="preserve">The NCQA HEDIS Stratification Framework</w:t>
      </w:r>
      <w:bookmarkEnd w:id="1289"/>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pPr>
      <w:r>
        <w:rPr>
          <w:i/>
          <w:iCs/>
        </w:rPr>
        <w:t xml:space="preserve">Table 10.1 — HEDIS domains and Vermont equity stratification measures. Source: NCQA; Vermont Blueprint.</w:t>
      </w:r>
    </w:p>
    <w:p>
      <w:pPr>
        <w:pStyle w:val="Heading2"/>
        <w:pBdr>
          <w:top w:val="single" w:sz="6" w:space="10" w:color="C9D2DF"/>
        </w:pBdr>
        <w:keepNext w:val="false"/>
      </w:pPr>
      <w:r>
        <w:rPr>
          <w:color w:val="161B22"/>
        </w:rPr>
        <w:t xml:space="preserve">10.14  </w:t>
      </w:r>
      <w:bookmarkStart w:id="1290" w:name="_Toc1289"/>
      <w:r>
        <w:rPr>
          <w:b/>
          <w:bCs/>
          <w:color w:val="161B22"/>
        </w:rPr>
        <w:t xml:space="preserve">Equity Pillar Implementation Matrix</w:t>
      </w:r>
      <w:bookmarkEnd w:id="129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297" w:name="_Toc1296"/>
      <w:r>
        <w:rPr>
          <w:b/>
          <w:bCs/>
          <w:color w:val="161B22"/>
        </w:rPr>
        <w:t xml:space="preserve">The Five-Step Disparity Closure Process</w:t>
      </w:r>
      <w:bookmarkEnd w:id="1297"/>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07" w:name="_Toc1306"/>
      <w:r>
        <w:rPr>
          <w:b/>
          <w:bCs/>
          <w:color w:val="161B22"/>
        </w:rPr>
        <w:t xml:space="preserve">The Institutional Architecture</w:t>
      </w:r>
      <w:bookmarkEnd w:id="1307"/>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08" w:name="_Toc1307"/>
      <w:r>
        <w:rPr>
          <w:b/>
          <w:bCs/>
          <w:color w:val="161B22"/>
        </w:rPr>
        <w:t xml:space="preserve">The Transformation Planning Sequence</w:t>
      </w:r>
      <w:bookmarkEnd w:id="1308"/>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25" w:name="_Toc1324"/>
      <w:r>
        <w:rPr>
          <w:b/>
          <w:bCs/>
          <w:color w:val="161B22"/>
        </w:rPr>
        <w:t xml:space="preserve">Work This Chapter on the Platform</w:t>
      </w:r>
      <w:bookmarkEnd w:id="1325"/>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45" w:name="_Toc1344"/>
      <w:r>
        <w:rPr>
          <w:b/>
          <w:bCs/>
          <w:color w:val="161B22"/>
        </w:rPr>
        <w:t xml:space="preserve">Operations Pillar Implementation Matrix</w:t>
      </w:r>
      <w:bookmarkEnd w:id="1345"/>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52" w:name="_Toc1351"/>
      <w:r>
        <w:rPr>
          <w:b/>
          <w:bCs/>
          <w:color w:val="161B22"/>
        </w:rPr>
        <w:t xml:space="preserve">Four Components of the HTR Platform</w:t>
      </w:r>
      <w:bookmarkEnd w:id="1352"/>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62" w:name="_Toc1361"/>
      <w:r>
        <w:rPr>
          <w:b/>
          <w:bCs/>
          <w:color w:val="161B22"/>
        </w:rPr>
        <w:t xml:space="preserve">The HTR Implementation Toolkit</w:t>
      </w:r>
      <w:bookmarkEnd w:id="1362"/>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65" w:name="_Toc1364"/>
      <w:r>
        <w:rPr>
          <w:b/>
          <w:bCs/>
          <w:color w:val="161B22"/>
        </w:rPr>
        <w:t xml:space="preserve">Work This Chapter on the Platform</w:t>
      </w:r>
      <w:bookmarkEnd w:id="1365"/>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399">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0">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66" w:name="_Toc1365"/>
      <w:r>
        <w:rPr>
          <w:b/>
          <w:bCs/>
          <w:color w:val="161B22"/>
        </w:rPr>
        <w:t xml:space="preserve">Implications for You</w:t>
      </w:r>
      <w:bookmarkEnd w:id="1366"/>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67" w:name="_Toc1366"/>
      <w:r>
        <w:rPr>
          <w:b/>
          <w:bCs/>
          <w:color w:val="161B22"/>
        </w:rPr>
        <w:t xml:space="preserve">Key Concepts in This Chapter</w:t>
      </w:r>
      <w:bookmarkEnd w:id="1367"/>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8" w:name="_Toc1367"/>
      <w:r>
        <w:rPr>
          <w:b/>
          <w:bCs/>
          <w:color w:val="161B22"/>
        </w:rPr>
        <w:t xml:space="preserve">Chapter 13 — The Future of Healthcare Transformation: 2026, What Vermont Proves, and What Remains</w:t>
      </w:r>
      <w:bookmarkEnd w:id="136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69" w:name="_Toc1368"/>
      <w:r>
        <w:rPr>
          <w:b/>
          <w:bCs/>
          <w:color w:val="161B22"/>
        </w:rPr>
        <w:t xml:space="preserve">Vermont Transformation Scorecard: Six-Pillar Status, April 2026</w:t>
      </w:r>
      <w:bookmarkEnd w:id="1369"/>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0" w:name="_Toc1369"/>
      <w:r>
        <w:rPr>
          <w:b/>
          <w:bCs/>
          <w:color w:val="161B22"/>
        </w:rPr>
        <w:t xml:space="preserve">Where the System Stands in April 2026 — A Necessary Update</w:t>
      </w:r>
      <w:bookmarkEnd w:id="1370"/>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1" w:name="_Toc1370"/>
      <w:r>
        <w:rPr>
          <w:b/>
          <w:bCs/>
          <w:color w:val="161B22"/>
        </w:rPr>
        <w:t xml:space="preserve">Five Forces Shaping the Next Decade</w:t>
      </w:r>
      <w:bookmarkEnd w:id="1371"/>
    </w:p>
    <w:p>
      <w:pPr>
        <w:pStyle w:val="Heading3"/>
      </w:pPr>
      <w:r>
        <w:rPr>
          <w:color w:val="161B22"/>
        </w:rPr>
        <w:t xml:space="preserve">13.3.1  </w:t>
      </w:r>
      <w:bookmarkStart w:id="1372" w:name="_Toc1371"/>
      <w:r>
        <w:rPr>
          <w:b/>
          <w:bCs/>
          <w:color w:val="161B22"/>
        </w:rPr>
        <w:t xml:space="preserve">Force 1: The Medicaid–RHT Tension — the Defining Policy Dynamic</w:t>
      </w:r>
      <w:bookmarkEnd w:id="1372"/>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3" w:name="_Toc1372"/>
      <w:r>
        <w:rPr>
          <w:b/>
          <w:bCs/>
          <w:color w:val="161B22"/>
        </w:rPr>
        <w:t xml:space="preserve">Force 2: AI Clinical Transformation — Accelerating Faster Than Governance</w:t>
      </w:r>
      <w:bookmarkEnd w:id="1373"/>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4" w:name="_Toc1373"/>
      <w:r>
        <w:rPr>
          <w:b/>
          <w:bCs/>
          <w:color w:val="161B22"/>
        </w:rPr>
        <w:t xml:space="preserve">Force 3: The Demographic Reckoning — No Longer a Future Problem</w:t>
      </w:r>
      <w:bookmarkEnd w:id="1374"/>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5" w:name="_Toc1374"/>
      <w:r>
        <w:rPr>
          <w:b/>
          <w:bCs/>
          <w:color w:val="161B22"/>
        </w:rPr>
        <w:t xml:space="preserve">Force 4: The Drug-Pricing Reckoning — Complexity Compounding</w:t>
      </w:r>
      <w:bookmarkEnd w:id="1375"/>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6" w:name="_Toc1375"/>
      <w:r>
        <w:rPr>
          <w:b/>
          <w:bCs/>
          <w:color w:val="161B22"/>
        </w:rPr>
        <w:t xml:space="preserve">Force 5: The Value-Based-Care Tipping Point — Still Approaching</w:t>
      </w:r>
      <w:bookmarkEnd w:id="1376"/>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77" w:name="_Toc1376"/>
      <w:r>
        <w:rPr>
          <w:b/>
          <w:bCs/>
          <w:color w:val="161B22"/>
        </w:rPr>
        <w:t xml:space="preserve">The Six-Pillar Forecast: 2026–2035</w:t>
      </w:r>
      <w:bookmarkEnd w:id="1377"/>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78" w:name="_Toc1377"/>
      <w:r>
        <w:rPr>
          <w:b/>
          <w:bCs/>
          <w:color w:val="161B22"/>
        </w:rPr>
        <w:t xml:space="preserve">Vermont’s Ten-Year Trajectory: Two Scenarios</w:t>
      </w:r>
      <w:bookmarkEnd w:id="1378"/>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9" w:name="_Toc1378"/>
      <w:r>
        <w:rPr>
          <w:b/>
          <w:bCs/>
          <w:color w:val="161B22"/>
        </w:rPr>
        <w:t xml:space="preserve">The Transformation-Success Scenario</w:t>
      </w:r>
      <w:bookmarkEnd w:id="1379"/>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0" w:name="_Toc1379"/>
      <w:r>
        <w:rPr>
          <w:b/>
          <w:bCs/>
          <w:color w:val="161B22"/>
        </w:rPr>
        <w:t xml:space="preserve">The Partial-Transformation Scenario</w:t>
      </w:r>
      <w:bookmarkEnd w:id="1380"/>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1" w:name="_Toc1380"/>
      <w:r>
        <w:rPr>
          <w:b/>
          <w:bCs/>
          <w:color w:val="161B22"/>
        </w:rPr>
        <w:t xml:space="preserve">Vermont as National Template — The Decisions That Will Determine Outcomes</w:t>
      </w:r>
      <w:bookmarkEnd w:id="1381"/>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82" w:name="_Toc1381"/>
      <w:r>
        <w:rPr>
          <w:b/>
          <w:bCs/>
          <w:color w:val="161B22"/>
        </w:rPr>
        <w:t xml:space="preserve">Work This Chapter on the Platform</w:t>
      </w:r>
      <w:bookmarkEnd w:id="1382"/>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19">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83" w:name="_Toc1382"/>
      <w:r>
        <w:rPr>
          <w:b/>
          <w:bCs/>
          <w:color w:val="161B22"/>
        </w:rPr>
        <w:t xml:space="preserve">Implications for You</w:t>
      </w:r>
      <w:bookmarkEnd w:id="1383"/>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84" w:name="_Toc1383"/>
      <w:r>
        <w:rPr>
          <w:b/>
          <w:bCs/>
          <w:color w:val="161B22"/>
        </w:rPr>
        <w:t xml:space="preserve">Key Concepts in This Chapter</w:t>
      </w:r>
      <w:bookmarkEnd w:id="1384"/>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85" w:name="_Toc1384"/>
      <w:r>
        <w:rPr>
          <w:b/>
          <w:bCs/>
          <w:color w:val="161B22"/>
        </w:rPr>
        <w:t xml:space="preserve">A Closing Note: What This Book Is Betting On</w:t>
      </w:r>
      <w:bookmarkEnd w:id="1385"/>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6" w:name="_Toc1385"/>
      <w:r>
        <w:rPr>
          <w:b/>
          <w:bCs/>
          <w:color w:val="161B22"/>
        </w:rPr>
        <w:t xml:space="preserve">Chapter 14 — Political Sustainability: Protecting Transformation Across Election Cycles</w:t>
      </w:r>
      <w:bookmarkEnd w:id="138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7" w:name="_Toc1386"/>
      <w:r>
        <w:rPr>
          <w:b/>
          <w:bCs/>
          <w:color w:val="161B22"/>
        </w:rPr>
        <w:t xml:space="preserve">Why Political Sustainability Is an Analytical Problem, Not Only a Political One</w:t>
      </w:r>
      <w:bookmarkEnd w:id="1387"/>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8" w:name="_Toc1387"/>
      <w:r>
        <w:rPr>
          <w:b/>
          <w:bCs/>
          <w:color w:val="161B22"/>
        </w:rPr>
        <w:t xml:space="preserve">The Structural Durability of Vermont’s Reform Architecture</w:t>
      </w:r>
      <w:bookmarkEnd w:id="1388"/>
    </w:p>
    <w:p>
      <w:pPr>
        <w:pStyle w:val="Heading3"/>
      </w:pPr>
      <w:r>
        <w:rPr>
          <w:color w:val="161B22"/>
        </w:rPr>
        <w:t xml:space="preserve">14.2.1  </w:t>
      </w:r>
      <w:bookmarkStart w:id="1389" w:name="_Toc1388"/>
      <w:r>
        <w:rPr>
          <w:b/>
          <w:bCs/>
          <w:color w:val="161B22"/>
        </w:rPr>
        <w:t xml:space="preserve">What Is Hard to Reverse</w:t>
      </w:r>
      <w:bookmarkEnd w:id="1389"/>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0" w:name="_Toc1389"/>
      <w:r>
        <w:rPr>
          <w:b/>
          <w:bCs/>
          <w:color w:val="161B22"/>
        </w:rPr>
        <w:t xml:space="preserve">What Is Politically Exposed</w:t>
      </w:r>
      <w:bookmarkEnd w:id="1390"/>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1" w:name="_Toc1390"/>
      <w:r>
        <w:rPr>
          <w:b/>
          <w:bCs/>
          <w:color w:val="161B22"/>
        </w:rPr>
        <w:t xml:space="preserve">Early-Warning Signals of Political Risk</w:t>
      </w:r>
      <w:bookmarkEnd w:id="1391"/>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92" w:name="_Toc1391"/>
      <w:r>
        <w:rPr>
          <w:b/>
          <w:bCs/>
          <w:color w:val="161B22"/>
        </w:rPr>
        <w:t xml:space="preserve">Organizational Strategies for Political Risk Management</w:t>
      </w:r>
      <w:bookmarkEnd w:id="1392"/>
    </w:p>
    <w:p>
      <w:pPr>
        <w:pStyle w:val="Heading3"/>
      </w:pPr>
      <w:r>
        <w:rPr>
          <w:color w:val="161B22"/>
        </w:rPr>
        <w:t xml:space="preserve">14.4.1  </w:t>
      </w:r>
      <w:bookmarkStart w:id="1393" w:name="_Toc1392"/>
      <w:r>
        <w:rPr>
          <w:b/>
          <w:bCs/>
          <w:color w:val="161B22"/>
        </w:rPr>
        <w:t xml:space="preserve">Strategy 1 — Build investments that are hard to reverse</w:t>
      </w:r>
      <w:bookmarkEnd w:id="1393"/>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4" w:name="_Toc1393"/>
      <w:r>
        <w:rPr>
          <w:b/>
          <w:bCs/>
          <w:color w:val="161B22"/>
        </w:rPr>
        <w:t xml:space="preserve">Strategy 2 — Engage the regulatory process early and substantively</w:t>
      </w:r>
      <w:bookmarkEnd w:id="1394"/>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395" w:name="_Toc1394"/>
      <w:r>
        <w:rPr>
          <w:b/>
          <w:bCs/>
          <w:color w:val="161B22"/>
        </w:rPr>
        <w:t xml:space="preserve">Strategy 3 — Maintain scenario plans for policy disruption</w:t>
      </w:r>
      <w:bookmarkEnd w:id="1395"/>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6" w:name="_Toc1395"/>
      <w:r>
        <w:rPr>
          <w:b/>
          <w:bCs/>
          <w:color w:val="161B22"/>
        </w:rPr>
        <w:t xml:space="preserve">Strategy 4 — Document and communicate transformation progress</w:t>
      </w:r>
      <w:bookmarkEnd w:id="1396"/>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7" w:name="_Toc1396"/>
      <w:r>
        <w:rPr>
          <w:b/>
          <w:bCs/>
          <w:color w:val="161B22"/>
        </w:rPr>
        <w:t xml:space="preserve">Vermont’s Reform Cascade as Political-Sustainability Architecture</w:t>
      </w:r>
      <w:bookmarkEnd w:id="1397"/>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398" w:name="_Toc1397"/>
      <w:r>
        <w:rPr>
          <w:b/>
          <w:bCs/>
          <w:color w:val="161B22"/>
        </w:rPr>
        <w:t xml:space="preserve">Work This Chapter on the Platform</w:t>
      </w:r>
      <w:bookmarkEnd w:id="1398"/>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0">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399" w:name="_Toc1398"/>
      <w:r>
        <w:rPr>
          <w:b/>
          <w:bCs/>
          <w:color w:val="161B22"/>
        </w:rPr>
        <w:t xml:space="preserve">Implications for You</w:t>
      </w:r>
      <w:bookmarkEnd w:id="1399"/>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0" w:name="_Toc1399"/>
      <w:r>
        <w:rPr>
          <w:b/>
          <w:bCs/>
          <w:color w:val="161B22"/>
        </w:rPr>
        <w:t xml:space="preserve">Key Concepts in This Chapter</w:t>
      </w:r>
      <w:bookmarkEnd w:id="1400"/>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1" w:name="_Toc1400"/>
      <w:r>
        <w:rPr>
          <w:b/>
          <w:bCs/>
          <w:color w:val="161B22"/>
        </w:rPr>
        <w:t xml:space="preserve">Chapter 15 — Healthcare Transformation as Portfolio Management: Applying PMI Standards to Six-Pillar Reform</w:t>
      </w:r>
      <w:bookmarkEnd w:id="140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402" w:name="_Toc1401"/>
      <w:r>
        <w:rPr>
          <w:b/>
          <w:bCs/>
          <w:color w:val="161B22"/>
        </w:rPr>
        <w:t xml:space="preserve">The Project-Management Gap in Healthcare Transformation</w:t>
      </w:r>
      <w:bookmarkEnd w:id="1402"/>
    </w:p>
    <w:p>
      <w:pPr>
        <w:pStyle w:val="FirstParagraph"/>
        <w:keepNext w:val="false"/>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keepNext w:val="false"/>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03" w:name="_Toc1402"/>
      <w:r>
        <w:rPr>
          <w:b/>
          <w:bCs/>
          <w:color w:val="161B22"/>
        </w:rPr>
        <w:t xml:space="preserve">Project, Program, and Portfolio: Getting the Levels Right</w:t>
      </w:r>
      <w:bookmarkEnd w:id="1403"/>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359"/>
        <w:gridCol w:w="2215"/>
        <w:gridCol w:w="2215"/>
        <w:gridCol w:w="2067"/>
        <w:gridCol w:w="2215"/>
      </w:tblGrid>
      <w:tr>
        <w:trPr>
          <w:tblHeader w:val="on"/>
          <w:cantSplit/>
        </w:trPr>
        <w:tc>
          <w:tcPr>
            <w:shd w:val="clear" w:color="auto" w:fill="1B3A6B"/>
            <w:tcW w:w="359" w:type="dxa"/>
          </w:tcPr>
          <w:p>
            <w:pPr>
              <w:pStyle w:val="Compact"/>
              <w:jc w:val="left"/>
            </w:pPr>
            <w:r>
              <w:rPr>
                <w:b/>
                <w:color w:val="FFFFFF"/>
                <w:sz w:val="18"/>
              </w:rPr>
              <w:t xml:space="preserve">Level</w:t>
            </w:r>
          </w:p>
        </w:tc>
        <w:tc>
          <w:tcPr>
            <w:shd w:val="clear" w:color="auto" w:fill="1B3A6B"/>
            <w:tcW w:w="2215" w:type="dxa"/>
          </w:tcPr>
          <w:p>
            <w:pPr>
              <w:pStyle w:val="Compact"/>
              <w:jc w:val="left"/>
            </w:pPr>
            <w:r>
              <w:rPr>
                <w:b/>
                <w:color w:val="FFFFFF"/>
                <w:sz w:val="18"/>
              </w:rPr>
              <w:t xml:space="preserve">PMI definition</w:t>
            </w:r>
          </w:p>
        </w:tc>
        <w:tc>
          <w:tcPr>
            <w:shd w:val="clear" w:color="auto" w:fill="1B3A6B"/>
            <w:tcW w:w="2215" w:type="dxa"/>
          </w:tcPr>
          <w:p>
            <w:pPr>
              <w:pStyle w:val="Compact"/>
              <w:jc w:val="left"/>
            </w:pPr>
            <w:r>
              <w:rPr>
                <w:b/>
                <w:color w:val="FFFFFF"/>
                <w:sz w:val="18"/>
              </w:rPr>
              <w:t xml:space="preserve">Vermont example</w:t>
            </w:r>
          </w:p>
        </w:tc>
        <w:tc>
          <w:tcPr>
            <w:shd w:val="clear" w:color="auto" w:fill="1B3A6B"/>
            <w:tcW w:w="2067" w:type="dxa"/>
          </w:tcPr>
          <w:p>
            <w:pPr>
              <w:pStyle w:val="Compact"/>
              <w:jc w:val="left"/>
            </w:pPr>
            <w:r>
              <w:rPr>
                <w:b/>
                <w:color w:val="FFFFFF"/>
                <w:sz w:val="18"/>
              </w:rPr>
              <w:t xml:space="preserve">Who manages it</w:t>
            </w:r>
          </w:p>
        </w:tc>
        <w:tc>
          <w:tcPr>
            <w:shd w:val="clear" w:color="auto" w:fill="1B3A6B"/>
            <w:tcW w:w="2215" w:type="dxa"/>
          </w:tcPr>
          <w:p>
            <w:pPr>
              <w:pStyle w:val="Compact"/>
              <w:jc w:val="left"/>
            </w:pPr>
            <w:r>
              <w:rPr>
                <w:b/>
                <w:color w:val="FFFFFF"/>
                <w:sz w:val="18"/>
              </w:rPr>
              <w:t xml:space="preserve">Success measure</w:t>
            </w:r>
          </w:p>
        </w:tc>
      </w:tr>
      <w:tr>
        <w:trPr>
          <w:cantSplit/>
        </w:trPr>
        <w:tc>
          <w:tcPr>
            <w:tcW w:w="359" w:type="dxa"/>
          </w:tcPr>
          <w:p>
            <w:pPr>
              <w:pStyle w:val="Compact"/>
              <w:jc w:val="left"/>
            </w:pPr>
            <w:r>
              <w:rPr>
                <w:sz w:val="18"/>
              </w:rPr>
              <w:t xml:space="preserve">Project</w:t>
            </w:r>
          </w:p>
        </w:tc>
        <w:tc>
          <w:tcPr>
            <w:tcW w:w="2215" w:type="dxa"/>
          </w:tcPr>
          <w:p>
            <w:pPr>
              <w:pStyle w:val="Compact"/>
              <w:jc w:val="left"/>
            </w:pPr>
            <w:r>
              <w:rPr>
                <w:sz w:val="18"/>
              </w:rPr>
              <w:t xml:space="preserve">Temporary endeavor creating a unique result; defined scope, schedule, budget.</w:t>
            </w:r>
          </w:p>
        </w:tc>
        <w:tc>
          <w:tcPr>
            <w:tcW w:w="2215" w:type="dxa"/>
          </w:tcPr>
          <w:p>
            <w:pPr>
              <w:pStyle w:val="Compact"/>
              <w:jc w:val="left"/>
            </w:pPr>
            <w:r>
              <w:rPr>
                <w:sz w:val="18"/>
              </w:rPr>
              <w:t xml:space="preserve">VHCURES analytics-vendor deployment; HCC gap closure at Springfield; CoCM deployment at a Blueprint practice; RBP rulemaking.</w:t>
            </w:r>
          </w:p>
        </w:tc>
        <w:tc>
          <w:tcPr>
            <w:tcW w:w="2067" w:type="dxa"/>
          </w:tcPr>
          <w:p>
            <w:pPr>
              <w:pStyle w:val="Compact"/>
              <w:jc w:val="left"/>
            </w:pPr>
            <w:r>
              <w:rPr>
                <w:sz w:val="18"/>
              </w:rPr>
              <w:t xml:space="preserve">Project Manager (pillar-, hospital-, or program-level)</w:t>
            </w:r>
          </w:p>
        </w:tc>
        <w:tc>
          <w:tcPr>
            <w:tcW w:w="2215" w:type="dxa"/>
          </w:tcPr>
          <w:p>
            <w:pPr>
              <w:pStyle w:val="Compact"/>
              <w:jc w:val="left"/>
            </w:pPr>
            <w:r>
              <w:rPr>
                <w:sz w:val="18"/>
              </w:rPr>
              <w:t xml:space="preserve">On scope, schedule, budget; deliverable accepted.</w:t>
            </w:r>
          </w:p>
        </w:tc>
      </w:tr>
      <w:tr>
        <w:trPr/>
        <w:tc>
          <w:tcPr>
            <w:tcW w:w="359" w:type="dxa"/>
          </w:tcPr>
          <w:p>
            <w:pPr>
              <w:pStyle w:val="Compact"/>
              <w:jc w:val="left"/>
            </w:pPr>
            <w:r>
              <w:rPr>
                <w:sz w:val="18"/>
              </w:rPr>
              <w:t xml:space="preserve">Program</w:t>
            </w:r>
          </w:p>
        </w:tc>
        <w:tc>
          <w:tcPr>
            <w:tcW w:w="2215" w:type="dxa"/>
          </w:tcPr>
          <w:p>
            <w:pPr>
              <w:pStyle w:val="Compact"/>
              <w:jc w:val="left"/>
            </w:pPr>
            <w:r>
              <w:rPr>
                <w:sz w:val="18"/>
              </w:rPr>
              <w:t xml:space="preserve">Related projects managed together for benefits not achievable individually.</w:t>
            </w:r>
          </w:p>
        </w:tc>
        <w:tc>
          <w:tcPr>
            <w:tcW w:w="2215" w:type="dxa"/>
          </w:tcPr>
          <w:p>
            <w:pPr>
              <w:pStyle w:val="Compact"/>
              <w:jc w:val="left"/>
            </w:pPr>
            <w:r>
              <w:rPr>
                <w:sz w:val="18"/>
              </w:rPr>
              <w:t xml:space="preserve">Technology Pillar program (VHCURES + VITL + CIN + AI governance); Blueprint PCMH expansion (14 HSA projects); AHEAD Implementation Program.</w:t>
            </w:r>
          </w:p>
        </w:tc>
        <w:tc>
          <w:tcPr>
            <w:tcW w:w="2067" w:type="dxa"/>
          </w:tcPr>
          <w:p>
            <w:pPr>
              <w:pStyle w:val="Compact"/>
              <w:jc w:val="left"/>
            </w:pPr>
            <w:r>
              <w:rPr>
                <w:sz w:val="18"/>
              </w:rPr>
              <w:t xml:space="preserve">Program Manager (pillar-level)</w:t>
            </w:r>
          </w:p>
        </w:tc>
        <w:tc>
          <w:tcPr>
            <w:tcW w:w="2215" w:type="dxa"/>
          </w:tcPr>
          <w:p>
            <w:pPr>
              <w:pStyle w:val="Compact"/>
              <w:jc w:val="left"/>
            </w:pPr>
            <w:r>
              <w:rPr>
                <w:sz w:val="18"/>
              </w:rPr>
              <w:t xml:space="preserve">Benefits realized; interdependencies managed.</w:t>
            </w:r>
          </w:p>
        </w:tc>
      </w:tr>
      <w:tr>
        <w:trPr>
          <w:cantSplit/>
        </w:trPr>
        <w:tc>
          <w:tcPr>
            <w:tcW w:w="359" w:type="dxa"/>
          </w:tcPr>
          <w:p>
            <w:pPr>
              <w:pStyle w:val="Compact"/>
              <w:jc w:val="left"/>
            </w:pPr>
            <w:r>
              <w:rPr>
                <w:sz w:val="18"/>
              </w:rPr>
              <w:t xml:space="preserve">Portfolio</w:t>
            </w:r>
          </w:p>
        </w:tc>
        <w:tc>
          <w:tcPr>
            <w:tcW w:w="2215" w:type="dxa"/>
          </w:tcPr>
          <w:p>
            <w:pPr>
              <w:pStyle w:val="Compact"/>
              <w:jc w:val="left"/>
            </w:pPr>
            <w:r>
              <w:rPr>
                <w:sz w:val="18"/>
              </w:rPr>
              <w:t xml:space="preserve">A collection of programs/projects/operations managed as a group to achieve strategy.</w:t>
            </w:r>
          </w:p>
        </w:tc>
        <w:tc>
          <w:tcPr>
            <w:tcW w:w="2215" w:type="dxa"/>
          </w:tcPr>
          <w:p>
            <w:pPr>
              <w:pStyle w:val="Compact"/>
              <w:jc w:val="left"/>
            </w:pPr>
            <w:r>
              <w:rPr>
                <w:sz w:val="18"/>
              </w:rPr>
              <w:t xml:space="preserve">Vermont’s full six-pillar transformation: all 19 components across the pillars, aligned to Act 167’s five goals and the December 2028 plan.</w:t>
            </w:r>
          </w:p>
        </w:tc>
        <w:tc>
          <w:tcPr>
            <w:tcW w:w="2067" w:type="dxa"/>
          </w:tcPr>
          <w:p>
            <w:pPr>
              <w:pStyle w:val="Compact"/>
              <w:jc w:val="left"/>
            </w:pPr>
            <w:r>
              <w:rPr>
                <w:sz w:val="18"/>
              </w:rPr>
              <w:t xml:space="preserve">Portfolio Manager (AHS Secretary-level or dedicated CPO)</w:t>
            </w:r>
          </w:p>
        </w:tc>
        <w:tc>
          <w:tcPr>
            <w:tcW w:w="2215" w:type="dxa"/>
          </w:tcPr>
          <w:p>
            <w:pPr>
              <w:pStyle w:val="Compact"/>
              <w:jc w:val="left"/>
            </w:pPr>
            <w:r>
              <w:rPr>
                <w:sz w:val="18"/>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04" w:name="_Toc1403"/>
      <w:r>
        <w:rPr>
          <w:b/>
          <w:bCs/>
          <w:color w:val="161B22"/>
        </w:rPr>
        <w:t xml:space="preserve">Vermont’s Transformation Portfolio: 19 Components</w:t>
      </w:r>
      <w:bookmarkEnd w:id="1404"/>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cantSplit/>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cantSplit/>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keepNext/>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05" w:name="_Toc1404"/>
      <w:r>
        <w:rPr>
          <w:b/>
          <w:bCs/>
          <w:color w:val="161B22"/>
        </w:rPr>
        <w:t xml:space="preserve">The Case for a Portfolio Manager</w:t>
      </w:r>
      <w:bookmarkEnd w:id="1405"/>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06" w:name="_Toc1405"/>
      <w:r>
        <w:rPr>
          <w:b/>
          <w:bCs/>
          <w:color w:val="161B22"/>
        </w:rPr>
        <w:t xml:space="preserve">Pillar-Level Project Managers: Six Roles, One Framework</w:t>
      </w:r>
      <w:bookmarkEnd w:id="1406"/>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cantSplit/>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cantSplit/>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7" w:name="_Toc1406"/>
      <w:r>
        <w:rPr>
          <w:b/>
          <w:bCs/>
          <w:color w:val="161B22"/>
        </w:rPr>
        <w:t xml:space="preserve">Governance Architecture and the Ten Knowledge Areas</w:t>
      </w:r>
      <w:bookmarkEnd w:id="1407"/>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8" w:name="_Toc1407"/>
      <w:r>
        <w:rPr>
          <w:b/>
          <w:bCs/>
          <w:color w:val="161B22"/>
        </w:rPr>
        <w:t xml:space="preserve">Portfolio Sequence Is Dependency Sequence</w:t>
      </w:r>
      <w:bookmarkEnd w:id="1408"/>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09" w:name="_Toc1408"/>
      <w:r>
        <w:rPr>
          <w:b/>
          <w:bCs/>
          <w:color w:val="161B22"/>
        </w:rPr>
        <w:t xml:space="preserve">Predictive vs. Adaptive Approaches</w:t>
      </w:r>
      <w:bookmarkEnd w:id="1409"/>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0" w:name="_Toc1409"/>
      <w:r>
        <w:rPr>
          <w:b/>
          <w:bCs/>
          <w:color w:val="161B22"/>
        </w:rPr>
        <w:t xml:space="preserve">The Portfolio Risk Register</w:t>
      </w:r>
      <w:bookmarkEnd w:id="1410"/>
    </w:p>
    <w:tbl>
      <w:tblPr>
        <w:tblStyle w:val="HTRTable"/>
        <w:tblLook w:firstRow="1" w:lastRow="0" w:firstColumn="0" w:lastColumn="0" w:noHBand="0" w:noVBand="1" w:val="0020"/>
        <w:tblW w:w="9072" w:type="dxa"/>
        <w:tblLayout w:type="fixed"/>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cantSplit/>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cantSplit/>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1" w:name="_Toc1410"/>
      <w:r>
        <w:rPr>
          <w:b/>
          <w:bCs/>
          <w:color w:val="161B22"/>
        </w:rPr>
        <w:t xml:space="preserve">Benefits Realization: Connecting the PMO to Act 167’s Five Goals</w:t>
      </w:r>
      <w:bookmarkEnd w:id="1411"/>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12" w:name="_Toc1411"/>
      <w:r>
        <w:rPr>
          <w:b/>
          <w:bCs/>
          <w:color w:val="161B22"/>
        </w:rPr>
        <w:t xml:space="preserve">The Business Case</w:t>
      </w:r>
      <w:bookmarkEnd w:id="1412"/>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cantSplit/>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cantSplit/>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13" w:name="_Toc1412"/>
      <w:r>
        <w:rPr>
          <w:b/>
          <w:bCs/>
          <w:color w:val="161B22"/>
        </w:rPr>
        <w:t xml:space="preserve">Implementation Roadmap</w:t>
      </w:r>
      <w:bookmarkEnd w:id="1413"/>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14" w:name="_Toc1413"/>
      <w:r>
        <w:rPr>
          <w:b/>
          <w:bCs/>
          <w:color w:val="161B22"/>
        </w:rPr>
        <w:t xml:space="preserve">Answering the Four Objections</w:t>
      </w:r>
      <w:bookmarkEnd w:id="1414"/>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15" w:name="_Toc1414"/>
      <w:r>
        <w:rPr>
          <w:b/>
          <w:bCs/>
          <w:color w:val="161B22"/>
        </w:rPr>
        <w:t xml:space="preserve">Work This Chapter on the Platform</w:t>
      </w:r>
      <w:bookmarkEnd w:id="1415"/>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54">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16" w:name="_Toc1415"/>
      <w:r>
        <w:rPr>
          <w:b/>
          <w:bCs/>
          <w:color w:val="161B22"/>
        </w:rPr>
        <w:t xml:space="preserve">Implications for You</w:t>
      </w:r>
      <w:bookmarkEnd w:id="1416"/>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17" w:name="_Toc1416"/>
      <w:r>
        <w:rPr>
          <w:b/>
          <w:bCs/>
          <w:color w:val="161B22"/>
        </w:rPr>
        <w:t xml:space="preserve">Key Concepts in This Chapter</w:t>
      </w:r>
      <w:bookmarkEnd w:id="1417"/>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18" w:name="_Toc1417"/>
      <w:r>
        <w:rPr>
          <w:b/>
          <w:bCs/>
          <w:color w:val="161B22"/>
        </w:rPr>
        <w:t xml:space="preserve">Chapter 16 — The AHS Restructuring Roadmap: A Six-Pillar Framework for System Architects</w:t>
      </w:r>
      <w:bookmarkEnd w:id="141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19" w:name="_Toc1418"/>
      <w:r>
        <w:rPr>
          <w:b/>
          <w:bCs/>
          <w:color w:val="161B22"/>
        </w:rPr>
        <w:t xml:space="preserve">The Statutory Mandate — What Act 68 Actually Requires AHS to Do</w:t>
      </w:r>
      <w:bookmarkEnd w:id="1419"/>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0" w:name="_Toc1419"/>
      <w:r>
        <w:rPr>
          <w:b/>
          <w:bCs/>
          <w:color w:val="161B22"/>
        </w:rPr>
        <w:t xml:space="preserve">The Organizational Diagnosis — Why AHS Must Restructure, Not Just Plan</w:t>
      </w:r>
      <w:bookmarkEnd w:id="1420"/>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1" w:name="_Toc1420"/>
      <w:r>
        <w:rPr>
          <w:b/>
          <w:bCs/>
          <w:color w:val="161B22"/>
        </w:rPr>
        <w:t xml:space="preserve">The Four Structural Gaps</w:t>
      </w:r>
      <w:bookmarkEnd w:id="1421"/>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22" w:name="_Toc1421"/>
      <w:r>
        <w:rPr>
          <w:b/>
          <w:bCs/>
          <w:color w:val="161B22"/>
        </w:rPr>
        <w:t xml:space="preserve">The Redesigned AHS Operating Model — A Population Health System Operator</w:t>
      </w:r>
      <w:bookmarkEnd w:id="1422"/>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23" w:name="_Toc1422"/>
      <w:r>
        <w:rPr>
          <w:b/>
          <w:bCs/>
          <w:color w:val="161B22"/>
        </w:rPr>
        <w:t xml:space="preserve">Level 1 — Statewide System Architect</w:t>
      </w:r>
      <w:bookmarkEnd w:id="1423"/>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24" w:name="_Toc1423"/>
      <w:r>
        <w:rPr>
          <w:b/>
          <w:bCs/>
          <w:color w:val="161B22"/>
        </w:rPr>
        <w:t xml:space="preserve">Level 2 — Regional Network Convener (HSA Level)</w:t>
      </w:r>
      <w:bookmarkEnd w:id="1424"/>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25" w:name="_Toc1424"/>
      <w:r>
        <w:rPr>
          <w:b/>
          <w:bCs/>
          <w:color w:val="161B22"/>
        </w:rPr>
        <w:t xml:space="preserve">Level 3 — Program Delivery Operator</w:t>
      </w:r>
      <w:bookmarkEnd w:id="1425"/>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26" w:name="_Toc1425"/>
      <w:r>
        <w:rPr>
          <w:b/>
          <w:bCs/>
          <w:color w:val="161B22"/>
        </w:rPr>
        <w:t xml:space="preserve">The Six-Pillar Framework Applied to AHS’s Mandate</w:t>
      </w:r>
      <w:bookmarkEnd w:id="1426"/>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27" w:name="_Toc1426"/>
      <w:r>
        <w:rPr>
          <w:b/>
          <w:bCs/>
          <w:color w:val="161B22"/>
        </w:rPr>
        <w:t xml:space="preserve">The AHS Restructuring Implementation Timeline</w:t>
      </w:r>
      <w:bookmarkEnd w:id="1427"/>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28" w:name="_Toc1427"/>
      <w:r>
        <w:rPr>
          <w:b/>
          <w:bCs/>
          <w:color w:val="161B22"/>
        </w:rPr>
        <w:t xml:space="preserve">A Framework for the 2028 Statewide Strategic Plan</w:t>
      </w:r>
      <w:bookmarkEnd w:id="1428"/>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29" w:name="_Toc1428"/>
      <w:r>
        <w:rPr>
          <w:b/>
          <w:bCs/>
          <w:color w:val="161B22"/>
        </w:rPr>
        <w:t xml:space="preserve">The Central Commitment the Plan Must Make</w:t>
      </w:r>
      <w:bookmarkEnd w:id="1429"/>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0" w:name="_Toc1429"/>
      <w:r>
        <w:rPr>
          <w:b/>
          <w:bCs/>
          <w:color w:val="161B22"/>
        </w:rPr>
        <w:t xml:space="preserve">Vermont as National Template — Why This Restructuring Matters Beyond Vermont</w:t>
      </w:r>
      <w:bookmarkEnd w:id="1430"/>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1" w:name="_Toc1430"/>
      <w:r>
        <w:rPr>
          <w:b/>
          <w:bCs/>
          <w:color w:val="161B22"/>
        </w:rPr>
        <w:t xml:space="preserve">Work This Chapter on the Platform</w:t>
      </w:r>
      <w:bookmarkEnd w:id="1431"/>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1">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18">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32" w:name="_Toc1431"/>
      <w:r>
        <w:rPr>
          <w:b/>
          <w:bCs/>
          <w:color w:val="161B22"/>
        </w:rPr>
        <w:t xml:space="preserve">Implications for You</w:t>
      </w:r>
      <w:bookmarkEnd w:id="1432"/>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33" w:name="_Toc1432"/>
      <w:r>
        <w:rPr>
          <w:b/>
          <w:bCs/>
          <w:color w:val="161B22"/>
        </w:rPr>
        <w:t xml:space="preserve">Key Concepts in This Chapter</w:t>
      </w:r>
      <w:bookmarkEnd w:id="1433"/>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34" w:name="_Toc1433"/>
      <w:r>
        <w:rPr>
          <w:b/>
          <w:bCs/>
          <w:color w:val="161B22"/>
        </w:rPr>
        <w:t xml:space="preserve">Conclusion — What Vermont Proves, and What Remains to Be Proven</w:t>
      </w:r>
      <w:bookmarkEnd w:id="1434"/>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35" w:name="_Toc1434"/>
      <w:r>
        <w:rPr>
          <w:b/>
          <w:bCs/>
          <w:color w:val="161B22"/>
        </w:rPr>
        <w:t xml:space="preserve">What Failure Actually Looks Like</w:t>
      </w:r>
      <w:bookmarkEnd w:id="1435"/>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36" w:name="_Toc1435"/>
      <w:r>
        <w:rPr>
          <w:b/>
          <w:bCs/>
          <w:color w:val="161B22"/>
        </w:rPr>
        <w:t xml:space="preserve">The Three Decisions That Are Not Yet Made</w:t>
      </w:r>
      <w:bookmarkEnd w:id="1436"/>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37" w:name="_Toc1436"/>
      <w:r>
        <w:rPr>
          <w:b/>
          <w:bCs/>
          <w:color w:val="161B22"/>
        </w:rPr>
        <w:t xml:space="preserve">Decision 1: Will the Statewide Strategic Plan Be Binding or Descriptive?</w:t>
      </w:r>
      <w:bookmarkEnd w:id="1437"/>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38" w:name="_Toc1437"/>
      <w:r>
        <w:rPr>
          <w:b/>
          <w:bCs/>
          <w:color w:val="161B22"/>
        </w:rPr>
        <w:t xml:space="preserve">Decision 2: Will the Analytics Vendor Be Operational Before AHEAD’s Financial Accountability Begins?</w:t>
      </w:r>
      <w:bookmarkEnd w:id="1438"/>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39" w:name="_Toc1438"/>
      <w:r>
        <w:rPr>
          <w:b/>
          <w:bCs/>
          <w:color w:val="161B22"/>
        </w:rPr>
        <w:t xml:space="preserve">Decision 3: Will H.R. 1’s Medicaid Cuts Force a Contraction or Accelerate a Transformation?</w:t>
      </w:r>
      <w:bookmarkEnd w:id="1439"/>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0" w:name="_Toc1439"/>
      <w:r>
        <w:rPr>
          <w:b/>
          <w:bCs/>
          <w:color w:val="161B22"/>
        </w:rPr>
        <w:t xml:space="preserve">What Vermont Has Proved — As of April 2026</w:t>
      </w:r>
      <w:bookmarkEnd w:id="1440"/>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1" w:name="_Toc1440"/>
      <w:r>
        <w:rPr>
          <w:b/>
          <w:bCs/>
          <w:color w:val="161B22"/>
        </w:rPr>
        <w:t xml:space="preserve">The People This Book Cannot Reach</w:t>
      </w:r>
      <w:bookmarkEnd w:id="1441"/>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42" w:name="_Toc1441"/>
      <w:r>
        <w:rPr>
          <w:b/>
          <w:bCs/>
          <w:color w:val="161B22"/>
        </w:rPr>
        <w:t xml:space="preserve">The Call</w:t>
      </w:r>
      <w:bookmarkEnd w:id="1442"/>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43" w:name="_Toc1442"/>
      <w:r>
        <w:rPr>
          <w:b/>
          <w:bCs/>
          <w:color w:val="161B22"/>
        </w:rPr>
        <w:t xml:space="preserve">Key Concepts in This Chapter</w:t>
      </w:r>
      <w:bookmarkEnd w:id="1443"/>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44" w:name="_Toc1443"/>
      <w:r>
        <w:rPr>
          <w:b/>
          <w:bCs/>
          <w:color w:val="161B22"/>
        </w:rPr>
        <w:t xml:space="preserve">Appendix A — Vermont System Portrait</w:t>
      </w:r>
      <w:bookmarkEnd w:id="1444"/>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45" w:name="_Toc1444"/>
      <w:r>
        <w:rPr>
          <w:b/>
          <w:bCs/>
          <w:color w:val="161B22"/>
        </w:rPr>
        <w:t xml:space="preserve">A.1 Vermont: The State</w:t>
      </w:r>
      <w:bookmarkEnd w:id="1445"/>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46" w:name="_Toc1445"/>
      <w:r>
        <w:rPr>
          <w:b/>
          <w:bCs/>
          <w:color w:val="161B22"/>
        </w:rPr>
        <w:t xml:space="preserve">A.2 Demographics and Population Projections</w:t>
      </w:r>
      <w:bookmarkEnd w:id="1446"/>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47" w:name="_Toc1446"/>
      <w:r>
        <w:rPr>
          <w:b/>
          <w:bCs/>
          <w:color w:val="161B22"/>
        </w:rPr>
        <w:t xml:space="preserve">A.3 Regulatory Architecture: The Green Mountain Care Board</w:t>
      </w:r>
      <w:bookmarkEnd w:id="1447"/>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48" w:name="_Toc1447"/>
      <w:r>
        <w:rPr>
          <w:b/>
          <w:bCs/>
          <w:color w:val="161B22"/>
        </w:rPr>
        <w:t xml:space="preserve">A.4 The Hospital System</w:t>
      </w:r>
      <w:bookmarkEnd w:id="1448"/>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49" w:name="_Toc1448"/>
      <w:r>
        <w:rPr>
          <w:b/>
          <w:bCs/>
          <w:color w:val="161B22"/>
        </w:rPr>
        <w:t xml:space="preserve">The Fourteen Hospitals (January 2026 transformation plans)</w:t>
      </w:r>
      <w:bookmarkEnd w:id="1449"/>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0" w:name="_Toc1449"/>
      <w:r>
        <w:rPr>
          <w:b/>
          <w:bCs/>
          <w:color w:val="161B22"/>
        </w:rPr>
        <w:t xml:space="preserve">Patterns in the Data</w:t>
      </w:r>
      <w:bookmarkEnd w:id="1450"/>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1" w:name="_Toc1450"/>
      <w:r>
        <w:rPr>
          <w:b/>
          <w:bCs/>
          <w:color w:val="161B22"/>
        </w:rPr>
        <w:t xml:space="preserve">A.5 The Transformation Plans: A System in Motion</w:t>
      </w:r>
      <w:bookmarkEnd w:id="1451"/>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52" w:name="_Toc1451"/>
      <w:r>
        <w:rPr>
          <w:b/>
          <w:bCs/>
          <w:color w:val="161B22"/>
        </w:rPr>
        <w:t xml:space="preserve">A.6 The Insurance and Premium Crisis</w:t>
      </w:r>
      <w:bookmarkEnd w:id="1452"/>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53" w:name="_Toc1452"/>
      <w:r>
        <w:rPr>
          <w:b/>
          <w:bCs/>
          <w:color w:val="161B22"/>
        </w:rPr>
        <w:t xml:space="preserve">A.7 Healthcare Workforce</w:t>
      </w:r>
      <w:bookmarkEnd w:id="1453"/>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54" w:name="_Toc1453"/>
      <w:r>
        <w:rPr>
          <w:b/>
          <w:bCs/>
          <w:color w:val="161B22"/>
        </w:rPr>
        <w:t xml:space="preserve">A.8 Clinical Quality Indicators</w:t>
      </w:r>
      <w:bookmarkEnd w:id="1454"/>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55" w:name="_Toc1454"/>
      <w:r>
        <w:rPr>
          <w:b/>
          <w:bCs/>
          <w:color w:val="161B22"/>
        </w:rPr>
        <w:t xml:space="preserve">Appendix B — Act 68 Statutory Timeline and Milestones</w:t>
      </w:r>
      <w:bookmarkEnd w:id="1455"/>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56" w:name="_Toc1455"/>
      <w:r>
        <w:rPr>
          <w:b/>
          <w:bCs/>
          <w:color w:val="161B22"/>
        </w:rPr>
        <w:t xml:space="preserve">Policy-Pillar Implementation Matrix</w:t>
      </w:r>
      <w:bookmarkEnd w:id="1456"/>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57" w:name="_Toc1456"/>
      <w:r>
        <w:rPr>
          <w:b/>
          <w:bCs/>
          <w:color w:val="161B22"/>
        </w:rPr>
        <w:t xml:space="preserve">Appendix C — The 14-Hospital Centers of Excellence Assignment Framework</w:t>
      </w:r>
      <w:bookmarkEnd w:id="1457"/>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58" w:name="_Toc1457"/>
      <w:r>
        <w:rPr>
          <w:b/>
          <w:bCs/>
          <w:color w:val="161B22"/>
        </w:rPr>
        <w:t xml:space="preserve">Appendix D — AHEAD State Agreement: Key Terms and Provisions</w:t>
      </w:r>
      <w:bookmarkEnd w:id="1458"/>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59" w:name="_Toc1458"/>
      <w:r>
        <w:rPr>
          <w:b/>
          <w:bCs/>
          <w:color w:val="161B22"/>
        </w:rPr>
        <w:t xml:space="preserve">Appendix E — HTR Platform Tools and Methodology Overview</w:t>
      </w:r>
      <w:bookmarkEnd w:id="1459"/>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0" w:name="_Toc1459"/>
      <w:r>
        <w:rPr>
          <w:b/>
          <w:bCs/>
          <w:color w:val="161B22"/>
        </w:rPr>
        <w:t xml:space="preserve">Appendix F — Vermont Transformation Scorecard: 2022 Baseline, 2026 Status, 2028 Target</w:t>
      </w:r>
      <w:bookmarkEnd w:id="1460"/>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1" w:name="_Toc1460"/>
      <w:r>
        <w:rPr>
          <w:b/>
          <w:bCs/>
          <w:color w:val="161B22"/>
        </w:rPr>
        <w:t xml:space="preserve">Policy Pillar</w:t>
      </w:r>
      <w:bookmarkEnd w:id="146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62" w:name="_Toc1461"/>
      <w:r>
        <w:rPr>
          <w:b/>
          <w:bCs/>
          <w:color w:val="161B22"/>
        </w:rPr>
        <w:t xml:space="preserve">Technology Pillar</w:t>
      </w:r>
      <w:bookmarkEnd w:id="146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63" w:name="_Toc1462"/>
      <w:r>
        <w:rPr>
          <w:b/>
          <w:bCs/>
          <w:color w:val="161B22"/>
        </w:rPr>
        <w:t xml:space="preserve">Economics Pillar</w:t>
      </w:r>
      <w:bookmarkEnd w:id="146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64" w:name="_Toc1463"/>
      <w:r>
        <w:rPr>
          <w:b/>
          <w:bCs/>
          <w:color w:val="161B22"/>
        </w:rPr>
        <w:t xml:space="preserve">Clinical Pillar</w:t>
      </w:r>
      <w:bookmarkEnd w:id="146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65" w:name="_Toc1464"/>
      <w:r>
        <w:rPr>
          <w:b/>
          <w:bCs/>
          <w:color w:val="161B22"/>
        </w:rPr>
        <w:t xml:space="preserve">Equity Pillar</w:t>
      </w:r>
      <w:bookmarkEnd w:id="1465"/>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66" w:name="_Toc1465"/>
      <w:r>
        <w:rPr>
          <w:b/>
          <w:bCs/>
          <w:color w:val="161B22"/>
        </w:rPr>
        <w:t xml:space="preserve">Operations Pillar</w:t>
      </w:r>
      <w:bookmarkEnd w:id="1466"/>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67" w:name="_Toc1466"/>
      <w:r>
        <w:rPr>
          <w:b/>
          <w:bCs/>
          <w:color w:val="161B22"/>
        </w:rPr>
        <w:t xml:space="preserve">Appendix G — A Reader’s Guide to the Health Transformation Review Platform</w:t>
      </w:r>
      <w:bookmarkEnd w:id="1467"/>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68" w:name="_Toc1467"/>
      <w:r>
        <w:rPr>
          <w:b/>
          <w:bCs/>
          <w:color w:val="161B22"/>
        </w:rPr>
        <w:t xml:space="preserve">What This Platform Is</w:t>
      </w:r>
      <w:bookmarkEnd w:id="1468"/>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69" w:name="_Toc1468"/>
      <w:r>
        <w:rPr>
          <w:b/>
          <w:bCs/>
          <w:color w:val="161B22"/>
        </w:rPr>
        <w:t xml:space="preserve">Navigating the Platform</w:t>
      </w:r>
      <w:bookmarkEnd w:id="1469"/>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0" w:name="_Toc1469"/>
      <w:r>
        <w:rPr>
          <w:b/>
          <w:bCs/>
          <w:color w:val="161B22"/>
        </w:rPr>
        <w:t xml:space="preserve">The Six Pillars of Intelligence</w:t>
      </w:r>
      <w:bookmarkEnd w:id="1470"/>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71" w:name="_Toc1470"/>
      <w:r>
        <w:rPr>
          <w:b/>
          <w:bCs/>
          <w:color w:val="161B22"/>
        </w:rPr>
        <w:t xml:space="preserve">The Academy</w:t>
      </w:r>
      <w:bookmarkEnd w:id="1471"/>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72" w:name="_Toc1471"/>
      <w:r>
        <w:rPr>
          <w:b/>
          <w:bCs/>
          <w:color w:val="161B22"/>
        </w:rPr>
        <w:t xml:space="preserve">The Research Lab</w:t>
      </w:r>
      <w:bookmarkEnd w:id="1472"/>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73" w:name="_Toc1472"/>
      <w:r>
        <w:rPr>
          <w:b/>
          <w:bCs/>
          <w:color w:val="161B22"/>
        </w:rPr>
        <w:t xml:space="preserve">States &amp; Programs</w:t>
      </w:r>
      <w:bookmarkEnd w:id="1473"/>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74" w:name="_Toc1473"/>
      <w:r>
        <w:rPr>
          <w:b/>
          <w:bCs/>
          <w:color w:val="161B22"/>
        </w:rPr>
        <w:t xml:space="preserve">Advisory &amp; Services and the AI Analyst</w:t>
      </w:r>
      <w:bookmarkEnd w:id="1474"/>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75" w:name="_Toc1474"/>
      <w:r>
        <w:rPr>
          <w:b/>
          <w:bCs/>
          <w:color w:val="161B22"/>
        </w:rPr>
        <w:t xml:space="preserve">Reader Profiles and Recommended Paths</w:t>
      </w:r>
      <w:bookmarkEnd w:id="1475"/>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76" w:name="_Toc1475"/>
      <w:r>
        <w:rPr>
          <w:b/>
          <w:bCs/>
          <w:color w:val="161B22"/>
        </w:rPr>
        <w:t xml:space="preserve">Appendix H — Adapting and Stress-Testing the Framework</w:t>
      </w:r>
      <w:bookmarkEnd w:id="1476"/>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77" w:name="_Toc1476"/>
      <w:r>
        <w:rPr>
          <w:b/>
          <w:bCs/>
          <w:color w:val="161B22"/>
        </w:rPr>
        <w:t xml:space="preserve">H.1 Glossary of Vermont-Specific Acronyms and Institutions</w:t>
      </w:r>
      <w:bookmarkEnd w:id="1477"/>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Defined the six-pillar transformation architecture and the AHS restructuring mandate.</w:t>
            </w:r>
          </w:p>
        </w:tc>
        <w:tc>
          <w:tcPr>
            <w:tcW w:w="3653" w:type="dxa"/>
          </w:tcPr>
          <w:p>
            <w:pPr>
              <w:pStyle w:val="Compact"/>
              <w:spacing w:before="0" w:after="0" w:line="240" w:lineRule="auto"/>
              <w:jc w:val="left"/>
            </w:pPr>
            <w:r>
              <w:rPr>
                <w:sz w:val="17"/>
              </w:rPr>
              <w:t xml:space="preserve">A reform-framework-establishing statute.</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pPr>
      <w:r>
        <w:rPr>
          <w:color w:val="161B22"/>
        </w:rPr>
        <w:t xml:space="preserve">H.2  </w:t>
      </w:r>
      <w:bookmarkStart w:id="1478" w:name="_Toc1477"/>
      <w:r>
        <w:rPr>
          <w:b/>
          <w:bCs/>
          <w:color w:val="161B22"/>
        </w:rPr>
        <w:t xml:space="preserve">H.2 Worksheet — Adapt This Framework to Your State</w:t>
      </w:r>
      <w:bookmarkEnd w:id="1478"/>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79" w:name="_Toc1478"/>
      <w:r>
        <w:rPr>
          <w:b/>
          <w:bCs/>
          <w:color w:val="161B22"/>
        </w:rPr>
        <w:t xml:space="preserve">H.3 The Transition Window — Financing FY2027–2030</w:t>
      </w:r>
      <w:bookmarkEnd w:id="1479"/>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0" w:name="_Toc1479"/>
      <w:r>
        <w:rPr>
          <w:b/>
          <w:bCs/>
          <w:color w:val="161B22"/>
        </w:rPr>
        <w:t xml:space="preserve">What bridges exist</w:t>
      </w:r>
      <w:bookmarkEnd w:id="1480"/>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1" w:name="_Toc1480"/>
      <w:r>
        <w:rPr>
          <w:b/>
          <w:bCs/>
          <w:color w:val="161B22"/>
        </w:rPr>
        <w:t xml:space="preserve">What this means for a hospital CFO</w:t>
      </w:r>
      <w:bookmarkEnd w:id="1481"/>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82" w:name="_Toc1481"/>
      <w:r>
        <w:rPr>
          <w:b/>
          <w:bCs/>
          <w:color w:val="161B22"/>
        </w:rPr>
        <w:t xml:space="preserve">H.4 Two Clocks — Reconciling Act 68 and AHEAD Cohort 2 Timelines</w:t>
      </w:r>
      <w:bookmarkEnd w:id="1482"/>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83" w:name="_Toc1482"/>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83"/>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84" w:name="_Toc1483"/>
      <w:r>
        <w:rPr>
          <w:b/>
          <w:bCs/>
          <w:color w:val="161B22"/>
        </w:rPr>
        <w:t xml:space="preserve">GMCB’s enforcement toolkit</w:t>
      </w:r>
      <w:bookmarkEnd w:id="1484"/>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85" w:name="_Toc1484"/>
      <w:r>
        <w:rPr>
          <w:b/>
          <w:bCs/>
          <w:color w:val="161B22"/>
        </w:rPr>
        <w:t xml:space="preserve">The test case: GMCB v. UVMMC</w:t>
      </w:r>
      <w:bookmarkEnd w:id="1485"/>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86" w:name="_Toc1485"/>
      <w:r>
        <w:rPr>
          <w:b/>
          <w:bCs/>
          <w:color w:val="161B22"/>
        </w:rPr>
        <w:t xml:space="preserve">Appendix I — The HTR Lab Workbook: A Six-Pillar Practicum</w:t>
      </w:r>
      <w:bookmarkEnd w:id="1486"/>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87" w:name="_Toc1486"/>
      <w:r>
        <w:rPr>
          <w:b/>
          <w:bCs/>
          <w:color w:val="161B22"/>
        </w:rPr>
        <w:t xml:space="preserve">How to Use This Workbook</w:t>
      </w:r>
      <w:bookmarkEnd w:id="1487"/>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88" w:name="_Toc1487"/>
      <w:r>
        <w:rPr>
          <w:b/>
          <w:bCs/>
          <w:color w:val="161B22"/>
        </w:rPr>
        <w:t xml:space="preserve">Stage 1 — Policy: Establish the Mandate</w:t>
      </w:r>
      <w:bookmarkEnd w:id="1488"/>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89" w:name="_Toc1488"/>
      <w:r>
        <w:rPr>
          <w:b/>
          <w:bCs/>
          <w:color w:val="161B22"/>
        </w:rPr>
        <w:t xml:space="preserve">Stage 2 — Technology: Build the Substrate</w:t>
      </w:r>
      <w:bookmarkEnd w:id="1489"/>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0" w:name="_Toc1489"/>
      <w:r>
        <w:rPr>
          <w:b/>
          <w:bCs/>
          <w:color w:val="161B22"/>
        </w:rPr>
        <w:t xml:space="preserve">Stage 3 — Economics: Put Incentives on a Visible System</w:t>
      </w:r>
      <w:bookmarkEnd w:id="1490"/>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1" w:name="_Toc1490"/>
      <w:r>
        <w:rPr>
          <w:b/>
          <w:bCs/>
          <w:color w:val="161B22"/>
        </w:rPr>
        <w:t xml:space="preserve">Stage 4 — Clinical: Redesign Care on Aligned Incentives</w:t>
      </w:r>
      <w:bookmarkEnd w:id="1491"/>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92" w:name="_Toc1491"/>
      <w:r>
        <w:rPr>
          <w:b/>
          <w:bCs/>
          <w:color w:val="161B22"/>
        </w:rPr>
        <w:t xml:space="preserve">Stage 5 — Equity: Calibrate for the Gap, Not the Average</w:t>
      </w:r>
      <w:bookmarkEnd w:id="1492"/>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93" w:name="_Toc1492"/>
      <w:r>
        <w:rPr>
          <w:b/>
          <w:bCs/>
          <w:color w:val="161B22"/>
        </w:rPr>
        <w:t xml:space="preserve">Stage 6 — Operations: Close the Execution Gap</w:t>
      </w:r>
      <w:bookmarkEnd w:id="1493"/>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94" w:name="_Toc1493"/>
      <w:r>
        <w:rPr>
          <w:b/>
          <w:bCs/>
          <w:color w:val="161B22"/>
        </w:rPr>
        <w:t xml:space="preserve">Figure Index</w:t>
      </w:r>
      <w:bookmarkEnd w:id="1494"/>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 documentation; Oliver Wyman Act 167 Report; AHS Transformation Reports; Act 68 of 2025.</w:t>
      </w:r>
    </w:p>
    <w:p>
      <w:pPr>
        <w:pStyle w:val="Caption"/>
      </w:pPr>
      <w:r>
        <w:t xml:space="preserve">Figure 4.3 — Vermont’s three-step path to integrated health records. Sources: Vermont HIE Steering Committee statutory mandate; AHS January 2025 Legislative Presentation; DVHA HIE governance documents.</w:t>
      </w:r>
    </w:p>
    <w:p>
      <w:pPr>
        <w:pStyle w:val="Caption"/>
      </w:pPr>
      <w:r>
        <w:t xml:space="preserve">Figure 4.4 — Vermont statewide EHR: case for and against. The feasibility assessment underway will weigh these factors against Vermont’s specific cost, disruption tolerance, and FHIR interoperability capacity.</w:t>
      </w:r>
    </w:p>
    <w:p>
      <w:pPr>
        <w:pStyle w:val="Caption"/>
      </w:pPr>
      <w:r>
        <w:t xml:space="preserve">Figure 4.5 — Vermont FHIR compliance landscape (estimated as of 2026). Sources: AHS Legislative Presentation January 2025; Vermont RHT Program Application; GMCB HIE connectivity criteria.</w:t>
      </w:r>
    </w:p>
    <w:p>
      <w:pPr>
        <w:pStyle w:val="Caption"/>
      </w:pPr>
      <w: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5.H — Hands-on platform tools for the Technology Pillar in practice.</w:t>
      </w:r>
    </w:p>
    <w:p>
      <w:pPr>
        <w:pStyle w:val="Caption"/>
      </w:pPr>
      <w:r>
        <w:t xml:space="preserve">Figure 5.3 — Technology pillar implementation matrix. Sources: HTR Advisory; Vermont RHT Program (2025); CMS interoperability rule.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8.H — Hands-on platform tools for the Clinical Pillar.</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9.H — Hands-on platform tools for the Clinical Pillar in practice.</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Vermont equity gaps and required investments. Sources: Vermont Department of Health Health Equity Data Report (January 2025); Oliver Wyman Act 167 Report; AHS Transformation Reports; KFF GLP-1 coverage analysis.</w:t>
      </w:r>
    </w:p>
    <w:p>
      <w:pPr>
        <w:pStyle w:val="Caption"/>
      </w:pPr>
      <w:r>
        <w:t xml:space="preserve">Figure 10.4 — Equity as a cross-cutting dimension of all six pillars. Sources: Act 67 of 2025; Oliver Wyman Act 167 Report; six-pillar framework.</w:t>
      </w:r>
    </w:p>
    <w:p>
      <w:pPr>
        <w:pStyle w:val="Caption"/>
      </w:pPr>
      <w:r>
        <w:t xml:space="preserve">Figure 10.5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10.6 — Equity pillar implementation matrix. Sources: Vermont Department of Health Health Equity Data Report (January 2025); Act 68 of 2025.</w:t>
      </w:r>
    </w:p>
    <w:p>
      <w:pPr>
        <w:pStyle w:val="Caption"/>
      </w:pPr>
      <w:r>
        <w:t xml:space="preserve">Figure 10.7 — Vermont HEDIS equity stratification framework. Sources: NCQA HEDIS Technical Specifications; AHS Health Equity Data Report (January 2025); Blueprint for Health data.</w:t>
      </w:r>
    </w:p>
    <w:p>
      <w:pPr>
        <w:pStyle w:val="Caption"/>
      </w:pPr>
      <w:r>
        <w:t xml:space="preserve">Figure 10.8 — Five-step disparity closure process with Vermont applications. Source: HTR’s Health Equity Studio methodology.</w:t>
      </w:r>
    </w:p>
    <w:p>
      <w:pPr>
        <w:pStyle w:val="Caption"/>
      </w:pPr>
      <w:r>
        <w:t xml:space="preserve">Figure 10.9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495" w:name="_Toc1494"/>
      <w:r>
        <w:rPr>
          <w:b/>
          <w:bCs/>
          <w:color w:val="161B22"/>
        </w:rPr>
        <w:t xml:space="preserve">Bibliography and Source Notes</w:t>
      </w:r>
      <w:bookmarkEnd w:id="1495"/>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96" w:name="_Toc1495"/>
      <w:r>
        <w:rPr>
          <w:b/>
          <w:bCs/>
          <w:color w:val="161B22"/>
        </w:rPr>
        <w:t xml:space="preserve">Index (Selected)</w:t>
      </w:r>
      <w:bookmarkEnd w:id="1496"/>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1"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18"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54"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399" Type="http://schemas.openxmlformats.org/officeDocument/2006/relationships/hyperlink" Target="https://healthtransformationreview.org/research-lab/knowledge-workspace?tab=evidence" TargetMode="External"/><Relationship Id="rId419" Type="http://schemas.openxmlformats.org/officeDocument/2006/relationships/hyperlink" Target="https://healthtransformationreview.org/research-lab/knowledge-workspace?tab=leaderboard" TargetMode="External"/><Relationship Id="rId400"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0"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2026-07-29T23:47:50Z</dcterms:created>
  <dcterms:modified xsi:type="dcterms:W3CDTF">2026-07-29T23:47:50Z</dcterms:modified>
</cp:coreProperties>
</file>

<file path=docProps/custom.xml><?xml version="1.0" encoding="utf-8"?>
<Properties xmlns="http://schemas.openxmlformats.org/officeDocument/2006/custom-properties" xmlns:vt="http://schemas.openxmlformats.org/officeDocument/2006/docPropsVTypes"/>
</file>