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Making Care Primary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two doorways: an </w:t>
      </w:r>
      <w:r w:rsidDel="00000000" w:rsidR="00000000" w:rsidRPr="00000000">
        <w:rPr>
          <w:i w:val="1"/>
          <w:iCs w:val="1"/>
          <w:rtl w:val="0"/>
        </w:rPr>
        <w:t xml:space="preserve">“Explore on the Platform”</w:t>
      </w:r>
      <w:r w:rsidDel="00000000" w:rsidR="00000000" w:rsidRPr="00000000">
        <w:rPr>
          <w:rtl w:val="0"/>
        </w:rPr>
        <w:t xml:space="preserve"> guide that maps the chapter’s argument to the specific tools that let you manipulate it, and a </w:t>
      </w:r>
      <w:r w:rsidDel="00000000" w:rsidR="00000000" w:rsidRPr="00000000">
        <w:rPr>
          <w:i w:val="1"/>
          <w:iCs w:val="1"/>
          <w:rtl w:val="0"/>
        </w:rPr>
        <w:t xml:space="preserve">“Go Deeper — Academy”</w:t>
      </w:r>
      <w:r w:rsidDel="00000000" w:rsidR="00000000" w:rsidRPr="00000000">
        <w:rPr>
          <w:rtl w:val="0"/>
        </w:rPr>
        <w:t xml:space="preserve"> guide pointing to the lessons that teach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appeal of that enforcement — Vermont’s largest, most powerful hospital system testing GMCB’s authority directly — ended in April 2025, when UVMMC dismissed its appeals under a settlement that left the enforcement order in place. That outcome is the strongest available evidence that “mandatory” in this book’s framework describes a regime that has been tested against its most resourced potential opponent and held.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“Explore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~8-year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Blueprint’s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(5 entities by July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cut to a cap near $10M when Vermont withdrew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Act 68 global budgets, the equity measurement capability for the Statewide Strategic Plan, and the risk stratification capability for Blueprint’s CCBHC expansion. Three dependencies converge on this single Technology pillar investment.</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First mandatory all-payer price cap in modern Vermont history; GMCB sets the maximum by rule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6">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7">
            <w:pPr>
              <w:spacing w:after="0" w:before="0" w:line="240" w:lineRule="auto"/>
              <w:jc w:val="left"/>
              <w:rPr/>
            </w:pPr>
            <w:r w:rsidDel="00000000" w:rsidR="00000000" w:rsidRPr="00000000">
              <w:rPr>
                <w:sz w:val="17"/>
                <w:szCs w:val="17"/>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0458">
            <w:pPr>
              <w:spacing w:after="0" w:before="0" w:line="240" w:lineRule="auto"/>
              <w:jc w:val="left"/>
              <w:rPr/>
            </w:pPr>
            <w:r w:rsidDel="00000000" w:rsidR="00000000" w:rsidRPr="00000000">
              <w:rPr>
                <w:sz w:val="17"/>
                <w:szCs w:val="17"/>
                <w:rtl w:val="0"/>
              </w:rPr>
              <w:t xml:space="preserve">Economics / Technology</w:t>
            </w:r>
            <w:r w:rsidDel="00000000" w:rsidR="00000000" w:rsidRPr="00000000">
              <w:rPr>
                <w:rtl w:val="0"/>
              </w:rPr>
            </w:r>
          </w:p>
        </w:tc>
        <w:tc>
          <w:tcPr/>
          <w:p w:rsidR="00000000" w:rsidDel="00000000" w:rsidP="00000000" w:rsidRDefault="00000000" w:rsidRPr="00000000" w14:paraId="00000459">
            <w:pPr>
              <w:spacing w:after="0" w:before="0" w:line="240" w:lineRule="auto"/>
              <w:jc w:val="left"/>
              <w:rPr/>
            </w:pPr>
            <w:r w:rsidDel="00000000" w:rsidR="00000000" w:rsidRPr="00000000">
              <w:rPr>
                <w:sz w:val="17"/>
                <w:szCs w:val="17"/>
                <w:rtl w:val="0"/>
              </w:rPr>
              <w:t xml:space="preserve">Updated per CMS Sept 2025; Vermont hospitals begin Act 68 global-budget accountability (FY2028)</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(7-8%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since 2018; median household income grew only 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HRSA recognizes no Health Profession Shortage Areas in Vermont.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 commercial global budgets phase in January 2028</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during FY2026; maximum allowable payments mandatory from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Reference-based pricing for hospital services implemented — maximum amounts hospitals can charge commercial payers, set by GMCB rule</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AHEAD (for participating states, all hospitals must participate). 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in 8-state initial cohort. 10-year model. Three-stage progression from basic to advanced primary care capabilities. States not participating in AHEAD may find MCP a viable primary care transformation vehicle.</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January 2028.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For health systems and post-acute providers, BPCI-A remains a viable two-sided risk VBC entry point for specific service lines (joint replacement, cardiac, etc.).</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the January 2025 renewal.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H.R. 1 and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AHEAD hospital global budget participation;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Late 2026 (states must implement by December 31, 2026)</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Vermont has not expressed intent to implement work requirements; federal law now clearly authorizes them.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2026</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January 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and Act 68 both address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A potential vehicle for states not participating in AHEAD seeking federal support for primary care investment.</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VUHDDS hospital discharge records);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3)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through which the Act 68 §10 integration mandate is actually delivered.</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12-to-18-month reporting lag, lacks an opt-out mechanism, and — because of ERISA preemption — excludes large segments of the commercially insured population. For retrospective research VHCURES remains serviceable. For intervening in a patient’s care, a 12-month lag is not a data source; it is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§4.5 develops the FHIR picture. AHS’s feasibility assessment should produce a clear answer on this question by 2026–2027 — in time to inform the 2028 Strategic Plan.</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legacy platforms, with Meditech sites FHIR-capable but unconfigured) and at community-based providers (mental health agencies, skilled nursing facilities, home health agencies) that lack FHIR-capable systems entirely.</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Community 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30 to 45 minutes per provider per day through AI documentation support is equivalent to adding significant additional clinical capacity without hiring new providers.</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FE">
      <w:pPr>
        <w:keepNext w:val="0"/>
        <w:keepLines w:val="0"/>
        <w:numPr>
          <w:ilvl w:val="0"/>
          <w:numId w:val="25"/>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FF">
      <w:pPr>
        <w:keepNext w:val="0"/>
        <w:keepLines w:val="0"/>
        <w:numPr>
          <w:ilvl w:val="0"/>
          <w:numId w:val="25"/>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700">
      <w:pPr>
        <w:keepNext w:val="0"/>
        <w:keepLines w:val="0"/>
        <w:numPr>
          <w:ilvl w:val="0"/>
          <w:numId w:val="25"/>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701">
      <w:pPr>
        <w:keepNext w:val="0"/>
        <w:keepLines w:val="0"/>
        <w:numPr>
          <w:ilvl w:val="0"/>
          <w:numId w:val="25"/>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702">
      <w:pPr>
        <w:keepLines w:val="0"/>
        <w:numPr>
          <w:ilvl w:val="0"/>
          <w:numId w:val="25"/>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Blueprint, and AHEAD.</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January 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save ~15–25 min/day/provider (NEJM AI RCT, 2025;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pre-AHEAD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Targeting implementation FY27;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links hospital global budgets with the Equity, Access, and Statewide Transformation (EAST) Fund — providing up to $138 million in additional Medicare funds annually starting in 2027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RBP maximum rates in effect for commercial payers;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provide up to $138M annually in additional Medicare funds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D">
      <w:pPr>
        <w:pStyle w:val="Heading3"/>
        <w:rPr/>
      </w:pPr>
      <w:bookmarkStart w:colFirst="0" w:colLast="0" w:name="_n6iukwr85lwa" w:id="208"/>
      <w:bookmarkEnd w:id="208"/>
      <w:r w:rsidDel="00000000" w:rsidR="00000000" w:rsidRPr="00000000">
        <w:rPr>
          <w:color w:val="161b22"/>
          <w:rtl w:val="0"/>
        </w:rPr>
        <w:t xml:space="preserve">7.2.6  </w:t>
      </w:r>
      <w:r w:rsidDel="00000000" w:rsidR="00000000" w:rsidRPr="00000000">
        <w:rPr>
          <w:b w:val="1"/>
          <w:bCs w:val="1"/>
          <w:color w:val="161b22"/>
          <w:rtl w:val="0"/>
        </w:rPr>
        <w:t xml:space="preserve">Risk Stratification — The Economic Engine of Population Health Management</w:t>
      </w:r>
      <w:r w:rsidDel="00000000" w:rsidR="00000000" w:rsidRPr="00000000">
        <w:rPr>
          <w:rtl w:val="0"/>
        </w:rPr>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7.2.7  </w:t>
      </w:r>
      <w:r w:rsidDel="00000000" w:rsidR="00000000" w:rsidRPr="00000000">
        <w:rPr>
          <w:b w:val="1"/>
          <w:bCs w:val="1"/>
          <w:color w:val="161b22"/>
          <w:rtl w:val="0"/>
        </w:rPr>
        <w:t xml:space="preserve">The Care Management ROI Calculation</w:t>
      </w:r>
      <w:r w:rsidDel="00000000" w:rsidR="00000000" w:rsidRPr="00000000">
        <w:rPr>
          <w:rtl w:val="0"/>
        </w:rPr>
      </w:r>
    </w:p>
    <w:p w:rsidR="00000000" w:rsidDel="00000000" w:rsidP="00000000" w:rsidRDefault="00000000" w:rsidRPr="00000000" w14:paraId="0000095F">
      <w:pPr>
        <w:rPr/>
      </w:pPr>
      <w:r w:rsidDel="00000000" w:rsidR="00000000" w:rsidRPr="00000000">
        <w:rPr>
          <w:rtl w:val="0"/>
        </w:rPr>
        <w:t xml:space="preserve">A program preventing 50 hospitalizations in 10,000 Medicare beneficiaries at $15,000 each generates $750,000 in avoided cost.</w:t>
      </w:r>
    </w:p>
    <w:p w:rsidR="00000000" w:rsidDel="00000000" w:rsidP="00000000" w:rsidRDefault="00000000" w:rsidRPr="00000000" w14:paraId="000009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the program costs $200,000 to operate, the ROI is 275%.</w:t>
      </w:r>
    </w:p>
    <w:p w:rsidR="00000000" w:rsidDel="00000000" w:rsidP="00000000" w:rsidRDefault="00000000" w:rsidRPr="00000000" w14:paraId="000009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prevented hospitalization is lost revenue — which is why FFS systematically discourages prevention.</w:t>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FY2027: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FY2027;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elsewhere in this book.</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at $15,000 average saves 50x the cost of a CoCM BHCM monthly salary cost.</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AHEAD primary care investment mandate: EAST Fund investment in primary care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Making Care Primary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Total score below 60/120 indicates pre-transition status;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all payers — Medicare, Medicaid, and commercial insurers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Critical Transition</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target: 5 new certified entities by July 2026,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through AHEAD Primary Care funding.</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HRSA recognizes no primary care Health Professional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and the AHEAD State Agreement,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AHEAD enhanced primary care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through AHEAD and EAST Fund;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AHEAD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AHEAD PC primary care recruitment;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(5 new CCBHCs)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Blueprint and AHEAD.</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specifying complication status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AHEAD implementation team</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AHEAD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AHEAD hospital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5 planned CCBHCs; enhanced Medicaid FMAP funding for 8 years</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 under AHEAD.</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Black adults in Vermont have an 82% health insurance coverage rate compared to 94% of Vermont adults statewide (BRFSS self-report).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access, affordability, and outcome disparities:</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BE7">
            <w:pPr>
              <w:jc w:val="left"/>
              <w:rPr/>
            </w:pPr>
            <w:r w:rsidDel="00000000" w:rsidR="00000000" w:rsidRPr="00000000">
              <w:rPr>
                <w:b w:val="1"/>
                <w:bCs w:val="1"/>
                <w:color w:val="111111"/>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edf2f9" w:val="clear"/>
          </w:tcPr>
          <w:p w:rsidR="00000000" w:rsidDel="00000000" w:rsidP="00000000" w:rsidRDefault="00000000" w:rsidRPr="00000000" w14:paraId="00000BE8">
            <w:pPr>
              <w:jc w:val="left"/>
              <w:rPr/>
            </w:pPr>
            <w:r w:rsidDel="00000000" w:rsidR="00000000" w:rsidRPr="00000000">
              <w:rPr>
                <w:b w:val="1"/>
                <w:bCs w:val="1"/>
                <w:color w:val="111111"/>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and AHEAD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Decision needed by January 2026 (BALANCE opt-in deadline); coverage effective May 2026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2026 (CCBHC designation);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June 2026;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E">
      <w:pPr>
        <w:rPr/>
      </w:pPr>
      <w:r w:rsidDel="00000000" w:rsidR="00000000" w:rsidRPr="00000000">
        <w:rPr>
          <w:rtl w:val="0"/>
        </w:rP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(FUH); follow-up after ED visit for alcohol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Vermont HEROI: 14 HSA-level equity scores; GMCB reporting requirement</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AHEAD: active SRA design question as of early 2026</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AHEAD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Managing AHEAD Medicaid alignment;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(White River Junction)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Jct.)</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below AHEAD total cost of care targets.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Pre-AHEAD Action for Every Vermont Hospital</w:t>
      </w:r>
      <w:r w:rsidDel="00000000" w:rsidR="00000000" w:rsidRPr="00000000">
        <w:rPr>
          <w:rtl w:val="0"/>
        </w:rPr>
      </w:r>
    </w:p>
    <w:p w:rsidR="00000000" w:rsidDel="00000000" w:rsidP="00000000" w:rsidRDefault="00000000" w:rsidRPr="00000000" w14:paraId="00000EAA">
      <w:pPr>
        <w:rPr/>
      </w:pPr>
      <w:r w:rsidDel="00000000" w:rsidR="00000000" w:rsidRPr="00000000">
        <w:rPr>
          <w:rtl w:val="0"/>
        </w:rPr>
        <w:t xml:space="preserve">Every Vermont hospital should conduct a retrospective HCC gap analysis for their attributed Medicare population before Act 68 global budgets take effect in FY2028.</w:t>
      </w:r>
    </w:p>
    <w:p w:rsidR="00000000" w:rsidDel="00000000" w:rsidP="00000000" w:rsidRDefault="00000000" w:rsidRPr="00000000" w14:paraId="00000E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An organization that has under-coded its population’s chronic conditions will receive a lower global budget than its actual cost burden warrants.</w:t>
      </w:r>
    </w:p>
    <w:p w:rsidR="00000000" w:rsidDel="00000000" w:rsidP="00000000" w:rsidRDefault="00000000" w:rsidRPr="00000000" w14: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Getting HCC coding right before global budgets take effect is foundational financial preparation.</w:t>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(HCC 19, lower RAF) versus ‘diabetes with diabetic CKD’ (HCC 18 + HCC 136,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AHEAD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is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Healthcare transformation fails more often because of change management failures than analytical failures. This chapter covers the HTR platform tools, Advisory service lines, and the implementation toolkit.</w:t>
      </w:r>
      <w:r w:rsidDel="00000000" w:rsidR="00000000" w:rsidRPr="00000000">
        <w:rPr>
          <w:rtl w:val="0"/>
        </w:rPr>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F32">
      <w:pPr>
        <w:pStyle w:val="Heading3"/>
        <w:keepNext w:val="0"/>
        <w:rPr/>
      </w:pPr>
      <w:bookmarkStart w:colFirst="0" w:colLast="0" w:name="_lq2plq41pd5s" w:id="353"/>
      <w:bookmarkEnd w:id="353"/>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F33">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Weekly synthesis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January 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this chapter describes is the operational spine of Vermont’s transformation program. Without a function that tracks milestones across all five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color w:val="000000"/>
          <w:sz w:val="18"/>
          <w:szCs w:val="18"/>
          <w:rtl w:val="0"/>
        </w:rPr>
        <w:t xml:space="preserve">The Wire</w:t>
      </w:r>
      <w:r w:rsidDel="00000000" w:rsidR="00000000" w:rsidRPr="00000000">
        <w:rPr>
          <w:rtl w:val="0"/>
        </w:rPr>
      </w:r>
    </w:p>
    <w:p w:rsidR="00000000" w:rsidDel="00000000" w:rsidP="00000000" w:rsidRDefault="00000000" w:rsidRPr="00000000" w14:paraId="00000F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weekly policy and practice intelligence service,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 with Vermont’s experience as its clearest warning so far.</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167/68/AHEAD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Five-pillars</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AHEAD complexity;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CMS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The AHEAD State Agreement, signed with CMS in January 2025, is a binding federal-state agreement with an eight-year performance period. Reversal requires CMS consent, and the cost of exit — forfeiting enhanced PMPM payments and capital — is significant. AHEAD provides structural insulation against state-level disruption.</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The Rural Health Transformation Program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with AHEAD exposure should maintain scenario plans for at least three disruptions: RBP delayed 18+ months; global-budget levels set within 5% of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(14 HSA projects); AHEAD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Q1 2027 operational</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targets</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RHT Program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reduce EAST Fund capacity; Clinical investments constrained</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hire Portfolio Manager by Q2 2026; PMO by Q1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EAST Fund;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EAST Fund;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the portfolio value managed vs. $195M RHT + $300M+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71">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January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roughly 2%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Quantified per-capita cost-growth targets, aligned with AHEAD and Act 68’s hospital-spending-reduction requirement.</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A plan to raise primary care as a share of total spend (retained as state policy after the AHEAD withdrawal), including Blueprint expansion, CCBHC development, and CoCM deployment.</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State policy after the AHEAD withdrawal; plan formalizes it</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Establish a Division of Planning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AHEAD wind-down alone requires ongoing withdrawal-condition management, EAST Fund closeout, and negotiation of the terms of any successor federal agreement.</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reports, the January 2028 plan, and the three-year updates. The monthly reporting requirement is a real accountability mechanism, not a formality.</w:t>
      </w:r>
    </w:p>
    <w:p w:rsidR="00000000" w:rsidDel="00000000" w:rsidP="00000000" w:rsidRDefault="00000000" w:rsidRPr="00000000" w14:paraId="000012E2">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Jct.</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~48K, aging, rural, southwest VT</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TBD tier — among most vulnerable; comprehensive assessment needed; Act 68 CAH global-budget deferral to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wind-down and successor-agreement strategy (EAST Fund closeout, resolving CMS’s July 2026 compliance notice on the Medicaid global budget, terms for any second federal agreement); Act 68 compliance tracking (RBP FY2027, non-CAH global budgets FY2028,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wind-down (capped near $10M annually after Vermont’s AHEAD withdrawal, against the ~$138M originally expected);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(5 new entities by July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5 new entities (July 2026 target)</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On track per RHT plan</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Under CMS compliance notice</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4">
            <w:pPr>
              <w:jc w:val="left"/>
              <w:rPr/>
            </w:pPr>
            <w:r w:rsidDel="00000000" w:rsidR="00000000" w:rsidRPr="00000000">
              <w:rPr>
                <w:sz w:val="18"/>
                <w:szCs w:val="18"/>
                <w:rtl w:val="0"/>
              </w:rPr>
              <w:t xml:space="preserve">FY2028 (Jan 2028)</w:t>
            </w:r>
            <w:r w:rsidDel="00000000" w:rsidR="00000000" w:rsidRPr="00000000">
              <w:rPr>
                <w:rtl w:val="0"/>
              </w:rPr>
            </w:r>
          </w:p>
        </w:tc>
        <w:tc>
          <w:tcPr/>
          <w:p w:rsidR="00000000" w:rsidDel="00000000" w:rsidP="00000000" w:rsidRDefault="00000000" w:rsidRPr="00000000" w14:paraId="00001355">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356">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357">
            <w:pPr>
              <w:jc w:val="left"/>
              <w:rPr/>
            </w:pPr>
            <w:r w:rsidDel="00000000" w:rsidR="00000000" w:rsidRPr="00000000">
              <w:rPr>
                <w:sz w:val="18"/>
                <w:szCs w:val="18"/>
                <w:rtl w:val="0"/>
              </w:rPr>
              <w:t xml:space="preserve">Nine-year model; ongoing federal coordination</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Enhanced primary-care payments — state/Medicaid-funded successor to the expired Medicare demo</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EAST Fund allocation;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provide another $138 million annually in Medicare performance funds for a state that invests in population health — a renegotiation cut that to a cap near $10 million before Vermont withdrew from AHEAD in July 2026. Federal capital is available for states that create the regulatory conditions that justify it. Vermont created those conditions.</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April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coordinated with AHEAD;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Under CMS compliance notice (July 2026)</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Five new CCBHC entities certified (RHT target)</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On track per RHT schedule</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3">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4">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4A5">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4A6">
            <w:pPr>
              <w:jc w:val="left"/>
              <w:rPr/>
            </w:pPr>
            <w:r w:rsidDel="00000000" w:rsidR="00000000" w:rsidRPr="00000000">
              <w:rPr>
                <w:sz w:val="18"/>
                <w:szCs w:val="18"/>
                <w:rtl w:val="0"/>
              </w:rPr>
              <w:t xml:space="preserve">Nine-year model; Primary Care AHEAD and global budgets launch</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launches</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AHEAD alignment required</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over 5 years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the 19 HTR Research Lab tools referenced throughout the book. All are available to Strategist and Enterprise subscribers at healthtransformationreview.org.</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E.9 Hospital Financial Scorecard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 Primary Care AHEAD fully deployed</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system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 1</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8–9</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10–11</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Chapters 14–15</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Scorecard,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provided Vermont $195M for its first year (2026), with amounts for 2027–2030 not yet published — capital funding intended for structural transformation, not operating-loss replacement, and explicitly time-limited. The AHEAD EAST Fund was to provide up to $138M per year to Vermont, contingent on Cohort 2 implementation milestones beginning January 2028 — but Vermont withdrew from AHEAD in July 2026, so this funding will not arrive at all (see “The AHEAD Model” in this chapter). Medicaid hospital global budgets (HGB) under Vermont’s own design began in January 2026 (in July 2026 CMS ruled them unapproved under the Global Commitment waiver and directed the payments to stop), ahead of the commercial RBP mandate — meaning the Medicaid payer is, perversely, the first to move to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(Vermont’s $1,303 per discharge)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