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val="false"/>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val="false"/>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keepNext w:val="false"/>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1.15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keepNext w:val="false"/>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val="false"/>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Oliver Wyman’s Priority Action Lists for 2025</w:t>
            </w:r>
          </w:p>
          <w:p>
            <w:pPr>
              <w:spacing w:after="60" w:line="264" w:lineRule="auto"/>
            </w:pPr>
            <w:r>
              <w:rPr>
                <w:sz w:val="19"/>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19"/>
                <w:szCs w:val="20"/>
              </w:rPr>
              <w:t xml:space="preserve">Priority legislative changes for the Vermont General Assembly:</w:t>
            </w:r>
          </w:p>
          <w:p>
            <w:pPr>
              <w:numPr>
                <w:ilvl w:val="0"/>
                <w:numId w:val="1004"/>
              </w:numPr>
              <w:spacing w:after="60" w:line="264" w:lineRule="auto"/>
            </w:pPr>
            <w:r>
              <w:rPr>
                <w:sz w:val="19"/>
                <w:szCs w:val="20"/>
              </w:rPr>
              <w:t xml:space="preserve">Remove barriers to building affordable housing for Vermont residents and newcomers</w:t>
            </w:r>
          </w:p>
          <w:p>
            <w:pPr>
              <w:numPr>
                <w:ilvl w:val="0"/>
                <w:numId w:val="1004"/>
              </w:numPr>
              <w:spacing w:after="60" w:line="264" w:lineRule="auto"/>
            </w:pPr>
            <w:r>
              <w:rPr>
                <w:sz w:val="19"/>
                <w:szCs w:val="20"/>
              </w:rPr>
              <w:t xml:space="preserve">Approve funding for EMS transformation</w:t>
            </w:r>
          </w:p>
          <w:p>
            <w:pPr>
              <w:numPr>
                <w:ilvl w:val="0"/>
                <w:numId w:val="1004"/>
              </w:numPr>
              <w:spacing w:after="60" w:line="264" w:lineRule="auto"/>
            </w:pPr>
            <w:r>
              <w:rPr>
                <w:sz w:val="19"/>
                <w:szCs w:val="20"/>
              </w:rPr>
              <w:t xml:space="preserve">Expand broadband coverage to rural areas</w:t>
            </w:r>
          </w:p>
          <w:p>
            <w:pPr>
              <w:numPr>
                <w:ilvl w:val="0"/>
                <w:numId w:val="1004"/>
              </w:numPr>
              <w:spacing w:after="60" w:line="264" w:lineRule="auto"/>
            </w:pPr>
            <w:r>
              <w:rPr>
                <w:sz w:val="19"/>
                <w:szCs w:val="20"/>
              </w:rPr>
              <w:t xml:space="preserve">Review existing AHS agency structure and program list to identify overlaps and efficiency opportunities</w:t>
            </w:r>
          </w:p>
          <w:p>
            <w:pPr>
              <w:numPr>
                <w:ilvl w:val="0"/>
                <w:numId w:val="1004"/>
              </w:numPr>
              <w:spacing w:after="60" w:line="264" w:lineRule="auto"/>
            </w:pPr>
            <w:r>
              <w:rPr>
                <w:sz w:val="19"/>
                <w:szCs w:val="20"/>
              </w:rPr>
              <w:t xml:space="preserve">Develop state regulations for Rural Emergency Hospital and free-standing birthing center designations</w:t>
            </w:r>
          </w:p>
          <w:p>
            <w:pPr>
              <w:numPr>
                <w:ilvl w:val="0"/>
                <w:numId w:val="1004"/>
              </w:numPr>
              <w:spacing w:after="60" w:line="264" w:lineRule="auto"/>
            </w:pPr>
            <w:r>
              <w:rPr>
                <w:sz w:val="19"/>
                <w:szCs w:val="20"/>
              </w:rPr>
              <w:t xml:space="preserve">Expand professional licensure and practice scope for nurses, EMTs, and pharmacists</w:t>
            </w:r>
          </w:p>
          <w:p>
            <w:pPr>
              <w:numPr>
                <w:ilvl w:val="0"/>
                <w:numId w:val="1004"/>
              </w:numPr>
              <w:spacing w:after="60" w:line="264" w:lineRule="auto"/>
            </w:pPr>
            <w:r>
              <w:rPr>
                <w:sz w:val="19"/>
                <w:szCs w:val="20"/>
              </w:rPr>
              <w:t xml:space="preserve">Regionalize specialty care services across hospitals</w:t>
            </w:r>
          </w:p>
          <w:p>
            <w:pPr>
              <w:numPr>
                <w:ilvl w:val="0"/>
                <w:numId w:val="1004"/>
              </w:numPr>
              <w:spacing w:after="60" w:line="264" w:lineRule="auto"/>
            </w:pPr>
            <w:r>
              <w:rPr>
                <w:sz w:val="19"/>
                <w:szCs w:val="20"/>
              </w:rPr>
              <w:t xml:space="preserve">Professionalize and regionalize EMS</w:t>
            </w:r>
          </w:p>
          <w:p>
            <w:pPr>
              <w:numPr>
                <w:ilvl w:val="0"/>
                <w:numId w:val="1004"/>
              </w:numPr>
              <w:spacing w:after="60" w:line="264" w:lineRule="auto"/>
            </w:pPr>
            <w:r>
              <w:rPr>
                <w:sz w:val="19"/>
                <w:szCs w:val="20"/>
              </w:rPr>
              <w:t xml:space="preserve">Improve care coordination for heavy utilizers — elderly, mental health, neuro-divergent, and foster care populations</w:t>
            </w:r>
          </w:p>
          <w:p>
            <w:pPr>
              <w:numPr>
                <w:ilvl w:val="0"/>
                <w:numId w:val="1004"/>
              </w:numPr>
              <w:spacing w:after="60" w:line="264" w:lineRule="auto"/>
            </w:pPr>
            <w:r>
              <w:rPr>
                <w:sz w:val="19"/>
                <w:szCs w:val="20"/>
              </w:rPr>
              <w:t xml:space="preserve">Develop dual-eligible targeting, care planning, and coordination</w:t>
            </w:r>
          </w:p>
          <w:p>
            <w:pPr>
              <w:numPr>
                <w:ilvl w:val="0"/>
                <w:numId w:val="1004"/>
              </w:numPr>
              <w:spacing w:after="60" w:line="264" w:lineRule="auto"/>
            </w:pPr>
            <w:r>
              <w:rPr>
                <w:sz w:val="19"/>
                <w:szCs w:val="20"/>
              </w:rPr>
              <w:t xml:space="preserve">Coordinate and optimize statewide electronic medical record systems</w:t>
            </w:r>
          </w:p>
          <w:p>
            <w:pPr>
              <w:numPr>
                <w:ilvl w:val="0"/>
                <w:numId w:val="1004"/>
              </w:numPr>
              <w:spacing w:after="60" w:line="264" w:lineRule="auto"/>
            </w:pPr>
            <w:r>
              <w:rPr>
                <w:sz w:val="19"/>
                <w:szCs w:val="20"/>
              </w:rPr>
              <w:t xml:space="preserve">Permit no further increases in commercial subsidization for hospital financial shortfalls</w:t>
            </w:r>
          </w:p>
          <w:p>
            <w:pPr>
              <w:numPr>
                <w:ilvl w:val="0"/>
                <w:numId w:val="1004"/>
              </w:numPr>
              <w:spacing w:after="60" w:line="264" w:lineRule="auto"/>
            </w:pPr>
            <w:r>
              <w:rPr>
                <w:sz w:val="19"/>
                <w:szCs w:val="20"/>
              </w:rPr>
              <w:t xml:space="preserve">Refrain from licensing any further hospital-based outpatient department units</w:t>
            </w:r>
          </w:p>
          <w:p>
            <w:pPr>
              <w:numPr>
                <w:ilvl w:val="0"/>
                <w:numId w:val="1004"/>
              </w:numPr>
              <w:spacing w:after="60" w:line="264" w:lineRule="auto"/>
            </w:pPr>
            <w:r>
              <w:rPr>
                <w:sz w:val="19"/>
                <w:szCs w:val="20"/>
              </w:rPr>
              <w:t xml:space="preserve">Simplify and shorten the Certificate of Need process</w:t>
            </w:r>
          </w:p>
          <w:p>
            <w:pPr>
              <w:numPr>
                <w:ilvl w:val="0"/>
                <w:numId w:val="1004"/>
              </w:numPr>
              <w:spacing w:after="60" w:line="264" w:lineRule="auto"/>
            </w:pPr>
            <w:r>
              <w:rPr>
                <w:sz w:val="19"/>
                <w:szCs w:val="20"/>
              </w:rPr>
              <w:t xml:space="preserve">Encourage free-standing diagnostic, ambulatory surgical, and birthing centers</w:t>
            </w:r>
          </w:p>
          <w:p>
            <w:pPr>
              <w:numPr>
                <w:ilvl w:val="0"/>
                <w:numId w:val="1004"/>
              </w:numPr>
              <w:spacing w:after="60" w:line="264" w:lineRule="auto"/>
            </w:pPr>
            <w:r>
              <w:rPr>
                <w:sz w:val="19"/>
                <w:szCs w:val="20"/>
              </w:rPr>
              <w:t xml:space="preserve">Begin movement to reference-based pricing, ideally at 200% of Medicare or less for PPS hospitals</w:t>
            </w:r>
          </w:p>
          <w:p>
            <w:pPr>
              <w:numPr>
                <w:ilvl w:val="0"/>
                <w:numId w:val="1004"/>
              </w:numPr>
              <w:spacing w:after="60" w:line="264" w:lineRule="auto"/>
            </w:pPr>
            <w:r>
              <w:rPr>
                <w:sz w:val="19"/>
                <w:szCs w:val="20"/>
              </w:rPr>
              <w:t xml:space="preserve">Require all hospitals to use the same accounting agency and method for budget submissions</w:t>
            </w:r>
          </w:p>
          <w:p>
            <w:pPr>
              <w:spacing w:after="60" w:line="264" w:lineRule="auto"/>
            </w:pPr>
            <w:r>
              <w:rPr>
                <w:sz w:val="19"/>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The $400M Transformation Savings Estimate</w:t>
            </w:r>
          </w:p>
          <w:p>
            <w:pPr>
              <w:spacing w:after="60" w:line="264" w:lineRule="auto"/>
            </w:pPr>
            <w:r>
              <w:rPr>
                <w:sz w:val="19"/>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19"/>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19"/>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19"/>
                <w:szCs w:val="20"/>
              </w:rPr>
              <w:t xml:space="preserve">Reduce costs through synergies — shared services and staff across individual hospitals</w:t>
            </w:r>
          </w:p>
          <w:p>
            <w:pPr>
              <w:numPr>
                <w:ilvl w:val="0"/>
                <w:numId w:val="1005"/>
              </w:numPr>
              <w:spacing w:after="60" w:line="264" w:lineRule="auto"/>
            </w:pPr>
            <w:r>
              <w:rPr>
                <w:sz w:val="19"/>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19"/>
                <w:szCs w:val="20"/>
              </w:rPr>
              <w:t xml:space="preserve">Expand access to primary care settings to manage patient needs, reducing preventable emergency department visits</w:t>
            </w:r>
          </w:p>
          <w:p>
            <w:pPr>
              <w:numPr>
                <w:ilvl w:val="0"/>
                <w:numId w:val="1005"/>
              </w:numPr>
              <w:spacing w:after="60" w:line="264" w:lineRule="auto"/>
            </w:pPr>
            <w:r>
              <w:rPr>
                <w:sz w:val="19"/>
                <w:szCs w:val="20"/>
              </w:rPr>
              <w:t xml:space="preserve">Address social determinants of health, reducing inpatient stays and ED visits that are avoidable if housing and transportation needs are met upstream</w:t>
            </w:r>
          </w:p>
          <w:p>
            <w:pPr>
              <w:spacing w:after="60" w:line="264" w:lineRule="auto"/>
            </w:pPr>
            <w:r>
              <w:rPr>
                <w:sz w:val="19"/>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19"/>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19"/>
                <w:szCs w:val="20"/>
              </w:rPr>
              <w:t xml:space="preserve"> </w:t>
            </w:r>
            <w:r>
              <w:rPr>
                <w:i/>
                <w:iCs/>
                <w:sz w:val="19"/>
                <w:szCs w:val="20"/>
              </w:rPr>
              <w:t xml:space="preserve">build</w:t>
            </w:r>
            <w:r>
              <w:rPr>
                <w:sz w:val="19"/>
                <w:szCs w:val="20"/>
              </w:rPr>
              <w:t xml:space="preserve"> </w:t>
            </w:r>
            <w:r>
              <w:rPr>
                <w:sz w:val="19"/>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7"/>
              </w:rPr>
              <w:t xml:space="preserve">Limitation</w:t>
            </w:r>
          </w:p>
        </w:tc>
        <w:tc>
          <w:tcPr>
            <w:shd w:val="clear" w:color="auto" w:fill="1B3A6B"/>
            <w:tcW w:w="3298" w:type="dxa"/>
          </w:tcPr>
          <w:p>
            <w:pPr>
              <w:pStyle w:val="Compact"/>
              <w:jc w:val="left"/>
            </w:pPr>
            <w:r>
              <w:rPr>
                <w:b/>
                <w:color w:val="FFFFFF"/>
                <w:sz w:val="17"/>
              </w:rPr>
              <w:t xml:space="preserve">What it means for transformation</w:t>
            </w:r>
          </w:p>
        </w:tc>
        <w:tc>
          <w:tcPr>
            <w:shd w:val="clear" w:color="auto" w:fill="1B3A6B"/>
            <w:tcW w:w="3298" w:type="dxa"/>
          </w:tcPr>
          <w:p>
            <w:pPr>
              <w:pStyle w:val="Compact"/>
              <w:jc w:val="left"/>
            </w:pPr>
            <w:r>
              <w:rPr>
                <w:b/>
                <w:color w:val="FFFFFF"/>
                <w:sz w:val="17"/>
              </w:rPr>
              <w:t xml:space="preserve">Required improvement</w:t>
            </w:r>
          </w:p>
        </w:tc>
      </w:tr>
      <w:tr>
        <w:trPr>
          <w:cantSplit/>
        </w:trPr>
        <w:tc>
          <w:tcPr>
            <w:tcW w:w="2474" w:type="dxa"/>
          </w:tcPr>
          <w:p>
            <w:pPr>
              <w:pStyle w:val="Compact"/>
              <w:jc w:val="left"/>
            </w:pPr>
            <w:r>
              <w:rPr>
                <w:sz w:val="17"/>
              </w:rPr>
              <w:t xml:space="preserve">Incomplete commercial coverage (60%)</w:t>
            </w:r>
          </w:p>
        </w:tc>
        <w:tc>
          <w:tcPr>
            <w:tcW w:w="3298" w:type="dxa"/>
          </w:tcPr>
          <w:p>
            <w:pPr>
              <w:pStyle w:val="Compact"/>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7"/>
              </w:rPr>
              <w:t xml:space="preserve">Data lag of 12-18+ months</w:t>
            </w:r>
          </w:p>
        </w:tc>
        <w:tc>
          <w:tcPr>
            <w:tcW w:w="3298" w:type="dxa"/>
          </w:tcPr>
          <w:p>
            <w:pPr>
              <w:pStyle w:val="Compact"/>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7"/>
              </w:rPr>
              <w:t xml:space="preserve">No behavioral health or SDOH data integration</w:t>
            </w:r>
          </w:p>
        </w:tc>
        <w:tc>
          <w:tcPr>
            <w:tcW w:w="3298" w:type="dxa"/>
          </w:tcPr>
          <w:p>
            <w:pPr>
              <w:pStyle w:val="Compact"/>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7"/>
              </w:rPr>
              <w:t xml:space="preserve">Voluntary provider participation in HIE</w:t>
            </w:r>
          </w:p>
        </w:tc>
        <w:tc>
          <w:tcPr>
            <w:tcW w:w="3298" w:type="dxa"/>
          </w:tcPr>
          <w:p>
            <w:pPr>
              <w:pStyle w:val="Compact"/>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7"/>
              </w:rPr>
              <w:t xml:space="preserve">Layer</w:t>
            </w:r>
          </w:p>
        </w:tc>
        <w:tc>
          <w:tcPr>
            <w:shd w:val="clear" w:color="auto" w:fill="1B3A6B"/>
            <w:tcW w:w="4860" w:type="dxa"/>
          </w:tcPr>
          <w:p>
            <w:pPr>
              <w:pStyle w:val="Compact"/>
            </w:pPr>
            <w:r>
              <w:rPr>
                <w:b/>
                <w:color w:val="FFFFFF"/>
                <w:sz w:val="17"/>
              </w:rPr>
              <w:t xml:space="preserve">Components</w:t>
            </w:r>
          </w:p>
        </w:tc>
      </w:tr>
      <w:tr>
        <w:trPr>
          <w:cantSplit/>
        </w:trPr>
        <w:tc>
          <w:tcPr>
            <w:tcW w:w="4212" w:type="dxa"/>
          </w:tcPr>
          <w:p>
            <w:pPr>
              <w:pStyle w:val="Compact"/>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7"/>
              </w:rPr>
              <w:t xml:space="preserve">Contract provision category</w:t>
            </w:r>
          </w:p>
        </w:tc>
        <w:tc>
          <w:tcPr>
            <w:shd w:val="clear" w:color="auto" w:fill="1B3A6B"/>
            <w:tcW w:w="6185" w:type="dxa"/>
          </w:tcPr>
          <w:p>
            <w:pPr>
              <w:pStyle w:val="Compact"/>
              <w:jc w:val="left"/>
            </w:pPr>
            <w:r>
              <w:rPr>
                <w:b/>
                <w:color w:val="FFFFFF"/>
                <w:sz w:val="17"/>
              </w:rPr>
              <w:t xml:space="preserve">Key questions and financial risk</w:t>
            </w:r>
          </w:p>
        </w:tc>
      </w:tr>
      <w:tr>
        <w:trPr>
          <w:cantSplit/>
        </w:trPr>
        <w:tc>
          <w:tcPr>
            <w:tcW w:w="2886" w:type="dxa"/>
          </w:tcPr>
          <w:p>
            <w:pPr>
              <w:pStyle w:val="Compact"/>
              <w:jc w:val="left"/>
            </w:pPr>
            <w:r>
              <w:rPr>
                <w:sz w:val="17"/>
              </w:rPr>
              <w:t xml:space="preserve">Benchmark methodology</w:t>
            </w:r>
          </w:p>
        </w:tc>
        <w:tc>
          <w:tcPr>
            <w:tcW w:w="6185" w:type="dxa"/>
          </w:tcPr>
          <w:p>
            <w:pPr>
              <w:pStyle w:val="Compact"/>
              <w:jc w:val="left"/>
            </w:pPr>
            <w:r>
              <w:rPr>
                <w:sz w:val="17"/>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7"/>
              </w:rPr>
              <w:t xml:space="preserve">Attribution methodology</w:t>
            </w:r>
          </w:p>
        </w:tc>
        <w:tc>
          <w:tcPr>
            <w:tcW w:w="6185" w:type="dxa"/>
          </w:tcPr>
          <w:p>
            <w:pPr>
              <w:pStyle w:val="Compact"/>
              <w:jc w:val="left"/>
            </w:pPr>
            <w:r>
              <w:rPr>
                <w:sz w:val="17"/>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7"/>
              </w:rPr>
              <w:t xml:space="preserve">Quality withhold</w:t>
            </w:r>
          </w:p>
        </w:tc>
        <w:tc>
          <w:tcPr>
            <w:tcW w:w="6185" w:type="dxa"/>
          </w:tcPr>
          <w:p>
            <w:pPr>
              <w:pStyle w:val="Compact"/>
              <w:jc w:val="left"/>
            </w:pPr>
            <w:r>
              <w:rPr>
                <w:sz w:val="17"/>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7"/>
              </w:rPr>
              <w:t xml:space="preserve">Risk corridors and stop-loss</w:t>
            </w:r>
          </w:p>
        </w:tc>
        <w:tc>
          <w:tcPr>
            <w:tcW w:w="6185" w:type="dxa"/>
          </w:tcPr>
          <w:p>
            <w:pPr>
              <w:pStyle w:val="Compact"/>
              <w:jc w:val="left"/>
            </w:pPr>
            <w:r>
              <w:rPr>
                <w:sz w:val="17"/>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7"/>
              </w:rPr>
              <w:t xml:space="preserve">Carve-outs</w:t>
            </w:r>
          </w:p>
        </w:tc>
        <w:tc>
          <w:tcPr>
            <w:tcW w:w="6185" w:type="dxa"/>
          </w:tcPr>
          <w:p>
            <w:pPr>
              <w:pStyle w:val="Compact"/>
              <w:jc w:val="left"/>
            </w:pPr>
            <w:r>
              <w:rPr>
                <w:sz w:val="17"/>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7"/>
              </w:rPr>
              <w:t xml:space="preserve">Reconciliation timing</w:t>
            </w:r>
          </w:p>
        </w:tc>
        <w:tc>
          <w:tcPr>
            <w:tcW w:w="6185" w:type="dxa"/>
          </w:tcPr>
          <w:p>
            <w:pPr>
              <w:pStyle w:val="Compact"/>
              <w:jc w:val="left"/>
            </w:pPr>
            <w:r>
              <w:rPr>
                <w:sz w:val="17"/>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val="false"/>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7"/>
              </w:rPr>
              <w:t xml:space="preserve">Pillar</w:t>
            </w:r>
          </w:p>
        </w:tc>
        <w:tc>
          <w:tcPr>
            <w:shd w:val="clear" w:color="auto" w:fill="1B3A6B"/>
            <w:tcW w:w="4187" w:type="dxa"/>
          </w:tcPr>
          <w:p>
            <w:pPr>
              <w:pStyle w:val="Compact"/>
              <w:jc w:val="left"/>
            </w:pPr>
            <w:r>
              <w:rPr>
                <w:b/>
                <w:color w:val="FFFFFF"/>
                <w:sz w:val="17"/>
              </w:rPr>
              <w:t xml:space="preserve">Equity risk (if neglected)</w:t>
            </w:r>
          </w:p>
        </w:tc>
        <w:tc>
          <w:tcPr>
            <w:shd w:val="clear" w:color="auto" w:fill="1B3A6B"/>
            <w:tcW w:w="4187" w:type="dxa"/>
          </w:tcPr>
          <w:p>
            <w:pPr>
              <w:pStyle w:val="Compact"/>
              <w:jc w:val="left"/>
            </w:pPr>
            <w:r>
              <w:rPr>
                <w:b/>
                <w:color w:val="FFFFFF"/>
                <w:sz w:val="17"/>
              </w:rPr>
              <w:t xml:space="preserve">Equity opportunity (if designed well)</w:t>
            </w:r>
          </w:p>
        </w:tc>
      </w:tr>
      <w:tr>
        <w:trPr>
          <w:cantSplit/>
        </w:trPr>
        <w:tc>
          <w:tcPr>
            <w:tcW w:w="697" w:type="dxa"/>
          </w:tcPr>
          <w:p>
            <w:pPr>
              <w:pStyle w:val="Compact"/>
              <w:jc w:val="left"/>
            </w:pPr>
            <w:r>
              <w:rPr>
                <w:sz w:val="17"/>
              </w:rPr>
              <w:t xml:space="preserve">Policy</w:t>
            </w:r>
          </w:p>
        </w:tc>
        <w:tc>
          <w:tcPr>
            <w:tcW w:w="4187" w:type="dxa"/>
          </w:tcPr>
          <w:p>
            <w:pPr>
              <w:pStyle w:val="Compact"/>
              <w:jc w:val="left"/>
            </w:pPr>
            <w:r>
              <w:rPr>
                <w:sz w:val="17"/>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7"/>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7"/>
              </w:rPr>
              <w:t xml:space="preserve">Technology</w:t>
            </w:r>
          </w:p>
        </w:tc>
        <w:tc>
          <w:tcPr>
            <w:tcW w:w="4187" w:type="dxa"/>
          </w:tcPr>
          <w:p>
            <w:pPr>
              <w:pStyle w:val="Compact"/>
              <w:jc w:val="left"/>
            </w:pPr>
            <w:r>
              <w:rPr>
                <w:sz w:val="17"/>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7"/>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7"/>
              </w:rPr>
              <w:t xml:space="preserve">Economics</w:t>
            </w:r>
          </w:p>
        </w:tc>
        <w:tc>
          <w:tcPr>
            <w:tcW w:w="4187" w:type="dxa"/>
          </w:tcPr>
          <w:p>
            <w:pPr>
              <w:pStyle w:val="Compact"/>
              <w:jc w:val="left"/>
            </w:pPr>
            <w:r>
              <w:rPr>
                <w:sz w:val="17"/>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7"/>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7"/>
              </w:rPr>
              <w:t xml:space="preserve">Clinical</w:t>
            </w:r>
          </w:p>
        </w:tc>
        <w:tc>
          <w:tcPr>
            <w:tcW w:w="4187" w:type="dxa"/>
          </w:tcPr>
          <w:p>
            <w:pPr>
              <w:pStyle w:val="Compact"/>
              <w:jc w:val="left"/>
            </w:pPr>
            <w:r>
              <w:rPr>
                <w:sz w:val="17"/>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7"/>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7"/>
              </w:rPr>
              <w:t xml:space="preserve">Equity</w:t>
            </w:r>
          </w:p>
        </w:tc>
        <w:tc>
          <w:tcPr>
            <w:tcW w:w="4187" w:type="dxa"/>
          </w:tcPr>
          <w:p>
            <w:pPr>
              <w:pStyle w:val="Compact"/>
              <w:jc w:val="left"/>
            </w:pPr>
            <w:r>
              <w:rPr>
                <w:sz w:val="17"/>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7"/>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7"/>
              </w:rPr>
              <w:t xml:space="preserve">Operations</w:t>
            </w:r>
          </w:p>
        </w:tc>
        <w:tc>
          <w:tcPr>
            <w:tcW w:w="4187" w:type="dxa"/>
          </w:tcPr>
          <w:p>
            <w:pPr>
              <w:pStyle w:val="Compact"/>
              <w:jc w:val="left"/>
            </w:pPr>
            <w:r>
              <w:rPr>
                <w:sz w:val="17"/>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7"/>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val="false"/>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5"/>
              </w:rPr>
              <w:t xml:space="preserve">Kotter step</w:t>
            </w:r>
          </w:p>
        </w:tc>
        <w:tc>
          <w:tcPr>
            <w:shd w:val="clear" w:color="auto" w:fill="1B3A6B"/>
            <w:tcW w:w="2629" w:type="dxa"/>
          </w:tcPr>
          <w:p>
            <w:pPr>
              <w:pStyle w:val="Compact"/>
              <w:jc w:val="left"/>
            </w:pPr>
            <w:r>
              <w:rPr>
                <w:b/>
                <w:color w:val="FFFFFF"/>
                <w:sz w:val="15"/>
              </w:rPr>
              <w:t xml:space="preserve">Original formulation</w:t>
            </w:r>
          </w:p>
        </w:tc>
        <w:tc>
          <w:tcPr>
            <w:shd w:val="clear" w:color="auto" w:fill="1B3A6B"/>
            <w:tcW w:w="2629" w:type="dxa"/>
          </w:tcPr>
          <w:p>
            <w:pPr>
              <w:pStyle w:val="Compact"/>
              <w:jc w:val="left"/>
            </w:pPr>
            <w:r>
              <w:rPr>
                <w:b/>
                <w:color w:val="FFFFFF"/>
                <w:sz w:val="15"/>
              </w:rPr>
              <w:t xml:space="preserve">Healthcare adaptation</w:t>
            </w:r>
          </w:p>
        </w:tc>
        <w:tc>
          <w:tcPr>
            <w:shd w:val="clear" w:color="auto" w:fill="1B3A6B"/>
            <w:tcW w:w="2629" w:type="dxa"/>
          </w:tcPr>
          <w:p>
            <w:pPr>
              <w:pStyle w:val="Compact"/>
              <w:jc w:val="left"/>
            </w:pPr>
            <w:r>
              <w:rPr>
                <w:b/>
                <w:color w:val="FFFFFF"/>
                <w:sz w:val="15"/>
              </w:rPr>
              <w:t xml:space="preserve">Vermont application</w:t>
            </w:r>
          </w:p>
        </w:tc>
      </w:tr>
      <w:tr>
        <w:trPr>
          <w:cantSplit/>
        </w:trPr>
        <w:tc>
          <w:tcPr>
            <w:tcW w:w="1183" w:type="dxa"/>
          </w:tcPr>
          <w:p>
            <w:pPr>
              <w:pStyle w:val="Compact"/>
              <w:jc w:val="left"/>
            </w:pPr>
            <w:r>
              <w:rPr>
                <w:sz w:val="15"/>
              </w:rPr>
              <w:t xml:space="preserve">1. Create urgency</w:t>
            </w:r>
          </w:p>
        </w:tc>
        <w:tc>
          <w:tcPr>
            <w:tcW w:w="2629" w:type="dxa"/>
          </w:tcPr>
          <w:p>
            <w:pPr>
              <w:pStyle w:val="Compact"/>
              <w:jc w:val="left"/>
            </w:pPr>
            <w:r>
              <w:rPr>
                <w:sz w:val="15"/>
              </w:rPr>
              <w:t xml:space="preserve">Build a sense of urgency around why change is needed</w:t>
            </w:r>
          </w:p>
        </w:tc>
        <w:tc>
          <w:tcPr>
            <w:tcW w:w="2629" w:type="dxa"/>
          </w:tcPr>
          <w:p>
            <w:pPr>
              <w:pStyle w:val="Compact"/>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5"/>
              </w:rPr>
              <w:t xml:space="preserve">2. Form a guiding coalition</w:t>
            </w:r>
          </w:p>
        </w:tc>
        <w:tc>
          <w:tcPr>
            <w:tcW w:w="2629" w:type="dxa"/>
          </w:tcPr>
          <w:p>
            <w:pPr>
              <w:pStyle w:val="Compact"/>
              <w:jc w:val="left"/>
            </w:pPr>
            <w:r>
              <w:rPr>
                <w:sz w:val="15"/>
              </w:rPr>
              <w:t xml:space="preserve">Assemble a group with the power and commitment to lead change</w:t>
            </w:r>
          </w:p>
        </w:tc>
        <w:tc>
          <w:tcPr>
            <w:tcW w:w="2629" w:type="dxa"/>
          </w:tcPr>
          <w:p>
            <w:pPr>
              <w:pStyle w:val="Compact"/>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5"/>
              </w:rPr>
              <w:t xml:space="preserve">3. Develop a vision</w:t>
            </w:r>
          </w:p>
        </w:tc>
        <w:tc>
          <w:tcPr>
            <w:tcW w:w="2629" w:type="dxa"/>
          </w:tcPr>
          <w:p>
            <w:pPr>
              <w:pStyle w:val="Compact"/>
              <w:jc w:val="left"/>
            </w:pPr>
            <w:r>
              <w:rPr>
                <w:sz w:val="15"/>
              </w:rPr>
              <w:t xml:space="preserve">Create a clear vision of what the transformed organization looks like</w:t>
            </w:r>
          </w:p>
        </w:tc>
        <w:tc>
          <w:tcPr>
            <w:tcW w:w="2629" w:type="dxa"/>
          </w:tcPr>
          <w:p>
            <w:pPr>
              <w:pStyle w:val="Compact"/>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5"/>
              </w:rPr>
              <w:t xml:space="preserve">4. Communicate the vision</w:t>
            </w:r>
          </w:p>
        </w:tc>
        <w:tc>
          <w:tcPr>
            <w:tcW w:w="2629" w:type="dxa"/>
          </w:tcPr>
          <w:p>
            <w:pPr>
              <w:pStyle w:val="Compact"/>
              <w:jc w:val="left"/>
            </w:pPr>
            <w:r>
              <w:rPr>
                <w:sz w:val="15"/>
              </w:rPr>
              <w:t xml:space="preserve">Communicate the vision continuously through every available channel</w:t>
            </w:r>
          </w:p>
        </w:tc>
        <w:tc>
          <w:tcPr>
            <w:tcW w:w="2629" w:type="dxa"/>
          </w:tcPr>
          <w:p>
            <w:pPr>
              <w:pStyle w:val="Compact"/>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5"/>
              </w:rPr>
              <w:t xml:space="preserve">5. Remove obstacles</w:t>
            </w:r>
          </w:p>
        </w:tc>
        <w:tc>
          <w:tcPr>
            <w:tcW w:w="2629" w:type="dxa"/>
          </w:tcPr>
          <w:p>
            <w:pPr>
              <w:pStyle w:val="Compact"/>
              <w:jc w:val="left"/>
            </w:pPr>
            <w:r>
              <w:rPr>
                <w:sz w:val="15"/>
              </w:rPr>
              <w:t xml:space="preserve">Remove barriers to change that are within the coalition’s control</w:t>
            </w:r>
          </w:p>
        </w:tc>
        <w:tc>
          <w:tcPr>
            <w:tcW w:w="2629" w:type="dxa"/>
          </w:tcPr>
          <w:p>
            <w:pPr>
              <w:pStyle w:val="Compact"/>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5"/>
              </w:rPr>
              <w:t xml:space="preserve">6. Create short-term wins</w:t>
            </w:r>
          </w:p>
        </w:tc>
        <w:tc>
          <w:tcPr>
            <w:tcW w:w="2629" w:type="dxa"/>
          </w:tcPr>
          <w:p>
            <w:pPr>
              <w:pStyle w:val="Compact"/>
              <w:jc w:val="left"/>
            </w:pPr>
            <w:r>
              <w:rPr>
                <w:sz w:val="15"/>
              </w:rPr>
              <w:t xml:space="preserve">Plan for and achieve visible improvements early in the change process</w:t>
            </w:r>
          </w:p>
        </w:tc>
        <w:tc>
          <w:tcPr>
            <w:tcW w:w="2629" w:type="dxa"/>
          </w:tcPr>
          <w:p>
            <w:pPr>
              <w:pStyle w:val="Compact"/>
              <w:jc w:val="left"/>
            </w:pPr>
            <w:r>
              <w:rPr>
                <w:sz w:val="15"/>
              </w:rPr>
              <w:t xml:space="preserve">Short-term wins must be genuine, visible, and attributable to the transformation effort — not cherry-picked data or coincidental improvements.</w:t>
            </w:r>
          </w:p>
        </w:tc>
        <w:tc>
          <w:tcPr>
            <w:tcW w:w="2629" w:type="dxa"/>
          </w:tcPr>
          <w:p>
            <w:pPr>
              <w:pStyle w:val="Compact"/>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5"/>
              </w:rPr>
              <w:t xml:space="preserve">7. Sustain acceleration</w:t>
            </w:r>
          </w:p>
        </w:tc>
        <w:tc>
          <w:tcPr>
            <w:tcW w:w="2629" w:type="dxa"/>
          </w:tcPr>
          <w:p>
            <w:pPr>
              <w:pStyle w:val="Compact"/>
              <w:jc w:val="left"/>
            </w:pPr>
            <w:r>
              <w:rPr>
                <w:sz w:val="15"/>
              </w:rPr>
              <w:t xml:space="preserve">Build on early wins to drive deeper change</w:t>
            </w:r>
          </w:p>
        </w:tc>
        <w:tc>
          <w:tcPr>
            <w:tcW w:w="2629" w:type="dxa"/>
          </w:tcPr>
          <w:p>
            <w:pPr>
              <w:pStyle w:val="Compact"/>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jc w:val="left"/>
            </w:pPr>
            <w:r>
              <w:rPr>
                <w:sz w:val="15"/>
              </w:rPr>
              <w:t xml:space="preserve">8. Institute change</w:t>
            </w:r>
          </w:p>
        </w:tc>
        <w:tc>
          <w:tcPr>
            <w:tcW w:w="2629" w:type="dxa"/>
          </w:tcPr>
          <w:p>
            <w:pPr>
              <w:pStyle w:val="Compact"/>
              <w:jc w:val="left"/>
            </w:pPr>
            <w:r>
              <w:rPr>
                <w:sz w:val="15"/>
              </w:rPr>
              <w:t xml:space="preserve">Anchor changes in organizational culture and systems</w:t>
            </w:r>
          </w:p>
        </w:tc>
        <w:tc>
          <w:tcPr>
            <w:tcW w:w="2629" w:type="dxa"/>
          </w:tcPr>
          <w:p>
            <w:pPr>
              <w:pStyle w:val="Compact"/>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7"/>
              </w:rPr>
              <w:t xml:space="preserve">Tool</w:t>
            </w:r>
          </w:p>
        </w:tc>
        <w:tc>
          <w:tcPr>
            <w:shd w:val="clear" w:color="auto" w:fill="1B3A6B"/>
            <w:tcW w:w="5498" w:type="dxa"/>
          </w:tcPr>
          <w:p>
            <w:pPr>
              <w:pStyle w:val="Compact"/>
              <w:jc w:val="left"/>
            </w:pPr>
            <w:r>
              <w:rPr>
                <w:b/>
                <w:color w:val="FFFFFF"/>
                <w:sz w:val="17"/>
              </w:rPr>
              <w:t xml:space="preserve">What it does</w:t>
            </w:r>
          </w:p>
        </w:tc>
      </w:tr>
      <w:tr>
        <w:trPr>
          <w:cantSplit/>
        </w:trPr>
        <w:tc>
          <w:tcPr>
            <w:tcW w:w="3573" w:type="dxa"/>
          </w:tcPr>
          <w:p>
            <w:pPr>
              <w:pStyle w:val="Compact"/>
              <w:jc w:val="left"/>
            </w:pPr>
            <w:r>
              <w:rPr>
                <w:sz w:val="17"/>
              </w:rPr>
              <w:t xml:space="preserve">APM Shared Savings Calculator</w:t>
            </w:r>
          </w:p>
        </w:tc>
        <w:tc>
          <w:tcPr>
            <w:tcW w:w="5498" w:type="dxa"/>
          </w:tcPr>
          <w:p>
            <w:pPr>
              <w:pStyle w:val="Compact"/>
              <w:jc w:val="left"/>
            </w:pPr>
            <w:r>
              <w:rPr>
                <w:sz w:val="17"/>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7"/>
              </w:rPr>
              <w:t xml:space="preserve">VBC Transformation Readiness Assessment</w:t>
            </w:r>
          </w:p>
        </w:tc>
        <w:tc>
          <w:tcPr>
            <w:tcW w:w="5498" w:type="dxa"/>
          </w:tcPr>
          <w:p>
            <w:pPr>
              <w:pStyle w:val="Compact"/>
              <w:jc w:val="left"/>
            </w:pPr>
            <w:r>
              <w:rPr>
                <w:sz w:val="17"/>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7"/>
              </w:rPr>
              <w:t xml:space="preserve">Hospital Financial Stress Test Model</w:t>
            </w:r>
          </w:p>
        </w:tc>
        <w:tc>
          <w:tcPr>
            <w:tcW w:w="5498" w:type="dxa"/>
          </w:tcPr>
          <w:p>
            <w:pPr>
              <w:pStyle w:val="Compact"/>
              <w:jc w:val="left"/>
            </w:pPr>
            <w:r>
              <w:rPr>
                <w:sz w:val="17"/>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7"/>
              </w:rPr>
              <w:t xml:space="preserve">Health Equity Studio (HEROI)</w:t>
            </w:r>
          </w:p>
        </w:tc>
        <w:tc>
          <w:tcPr>
            <w:tcW w:w="5498" w:type="dxa"/>
          </w:tcPr>
          <w:p>
            <w:pPr>
              <w:pStyle w:val="Compact"/>
              <w:jc w:val="left"/>
            </w:pPr>
            <w:r>
              <w:rPr>
                <w:sz w:val="17"/>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7"/>
              </w:rPr>
              <w:t xml:space="preserve">AI Clinical Governance Checklist</w:t>
            </w:r>
          </w:p>
        </w:tc>
        <w:tc>
          <w:tcPr>
            <w:tcW w:w="5498" w:type="dxa"/>
          </w:tcPr>
          <w:p>
            <w:pPr>
              <w:pStyle w:val="Compact"/>
              <w:jc w:val="left"/>
            </w:pPr>
            <w:r>
              <w:rPr>
                <w:sz w:val="17"/>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7"/>
              </w:rPr>
              <w:t xml:space="preserve">VBC Contract Review Checklist</w:t>
            </w:r>
          </w:p>
        </w:tc>
        <w:tc>
          <w:tcPr>
            <w:tcW w:w="5498" w:type="dxa"/>
          </w:tcPr>
          <w:p>
            <w:pPr>
              <w:pStyle w:val="Compact"/>
              <w:jc w:val="left"/>
            </w:pPr>
            <w:r>
              <w:rPr>
                <w:sz w:val="17"/>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7"/>
              </w:rPr>
              <w:t xml:space="preserve">Policy Impact Assessment Framework</w:t>
            </w:r>
          </w:p>
        </w:tc>
        <w:tc>
          <w:tcPr>
            <w:tcW w:w="5498" w:type="dxa"/>
          </w:tcPr>
          <w:p>
            <w:pPr>
              <w:pStyle w:val="Compact"/>
              <w:jc w:val="left"/>
            </w:pPr>
            <w:r>
              <w:rPr>
                <w:sz w:val="17"/>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7"/>
              </w:rPr>
              <w:t xml:space="preserve">Transformation Readiness Scorecard</w:t>
            </w:r>
          </w:p>
        </w:tc>
        <w:tc>
          <w:tcPr>
            <w:tcW w:w="5498" w:type="dxa"/>
          </w:tcPr>
          <w:p>
            <w:pPr>
              <w:pStyle w:val="Compact"/>
              <w:jc w:val="left"/>
            </w:pPr>
            <w:r>
              <w:rPr>
                <w:sz w:val="17"/>
              </w:rPr>
              <w:t xml:space="preserve">Executive-level dashboard tracking organizational progress across all six pillars against established benchmarks.</w:t>
            </w:r>
          </w:p>
        </w:tc>
      </w:tr>
      <w:tr>
        <w:trPr/>
        <w:tc>
          <w:tcPr>
            <w:tcW w:w="3573" w:type="dxa"/>
          </w:tcPr>
          <w:p>
            <w:pPr>
              <w:pStyle w:val="Compact"/>
              <w:jc w:val="left"/>
            </w:pPr>
            <w:r>
              <w:rPr>
                <w:sz w:val="17"/>
              </w:rPr>
              <w:t xml:space="preserve">FHIR Implementation Guide</w:t>
            </w:r>
          </w:p>
        </w:tc>
        <w:tc>
          <w:tcPr>
            <w:tcW w:w="5498" w:type="dxa"/>
          </w:tcPr>
          <w:p>
            <w:pPr>
              <w:pStyle w:val="Compact"/>
              <w:jc w:val="left"/>
            </w:pPr>
            <w:r>
              <w:rPr>
                <w:sz w:val="17"/>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7"/>
              </w:rPr>
              <w:t xml:space="preserve">HCC Gap Closure Playbook</w:t>
            </w:r>
          </w:p>
        </w:tc>
        <w:tc>
          <w:tcPr>
            <w:tcW w:w="5498" w:type="dxa"/>
          </w:tcPr>
          <w:p>
            <w:pPr>
              <w:pStyle w:val="Compact"/>
              <w:jc w:val="left"/>
            </w:pPr>
            <w:r>
              <w:rPr>
                <w:sz w:val="17"/>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val="false"/>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val="false"/>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7"/>
              </w:rPr>
              <w:t xml:space="preserve">AHEAD provision</w:t>
            </w:r>
          </w:p>
        </w:tc>
        <w:tc>
          <w:tcPr>
            <w:shd w:val="clear" w:color="auto" w:fill="1B3A6B"/>
            <w:tcW w:w="5443" w:type="dxa"/>
          </w:tcPr>
          <w:p>
            <w:pPr>
              <w:pStyle w:val="Compact"/>
              <w:jc w:val="left"/>
            </w:pPr>
            <w:r>
              <w:rPr>
                <w:b/>
                <w:color w:val="FFFFFF"/>
                <w:sz w:val="17"/>
              </w:rPr>
              <w:t xml:space="preserve">Vermont-specific terms</w:t>
            </w:r>
          </w:p>
        </w:tc>
      </w:tr>
      <w:tr>
        <w:trPr>
          <w:cantSplit/>
        </w:trPr>
        <w:tc>
          <w:tcPr>
            <w:tcW w:w="3628" w:type="dxa"/>
          </w:tcPr>
          <w:p>
            <w:pPr>
              <w:pStyle w:val="Compact"/>
              <w:jc w:val="left"/>
            </w:pPr>
            <w:r>
              <w:rPr>
                <w:sz w:val="17"/>
              </w:rPr>
              <w:t xml:space="preserve">Cohort and start date</w:t>
            </w:r>
          </w:p>
        </w:tc>
        <w:tc>
          <w:tcPr>
            <w:tcW w:w="5443" w:type="dxa"/>
          </w:tcPr>
          <w:p>
            <w:pPr>
              <w:pStyle w:val="Compact"/>
              <w:jc w:val="left"/>
            </w:pPr>
            <w:r>
              <w:rPr>
                <w:sz w:val="17"/>
              </w:rPr>
              <w:t xml:space="preserve">Cohort 2; model begins January 1, 2028; nine-year model through December 31, 2035</w:t>
            </w:r>
          </w:p>
        </w:tc>
      </w:tr>
      <w:tr>
        <w:trPr/>
        <w:tc>
          <w:tcPr>
            <w:tcW w:w="3628" w:type="dxa"/>
          </w:tcPr>
          <w:p>
            <w:pPr>
              <w:pStyle w:val="Compact"/>
              <w:jc w:val="left"/>
            </w:pPr>
            <w:r>
              <w:rPr>
                <w:sz w:val="17"/>
              </w:rPr>
              <w:t xml:space="preserve">Total-cost-of-care accountability</w:t>
            </w:r>
          </w:p>
        </w:tc>
        <w:tc>
          <w:tcPr>
            <w:tcW w:w="5443" w:type="dxa"/>
          </w:tcPr>
          <w:p>
            <w:pPr>
              <w:pStyle w:val="Compact"/>
              <w:jc w:val="left"/>
            </w:pPr>
            <w:r>
              <w:rPr>
                <w:sz w:val="17"/>
              </w:rPr>
              <w:t xml:space="preserve">Vermont responsible for all-payer TCOC targets; Medicare FFS TCOC tracked annually; consequences for missing targets after year 3</w:t>
            </w:r>
          </w:p>
        </w:tc>
      </w:tr>
      <w:tr>
        <w:trPr/>
        <w:tc>
          <w:tcPr>
            <w:tcW w:w="3628" w:type="dxa"/>
          </w:tcPr>
          <w:p>
            <w:pPr>
              <w:pStyle w:val="Compact"/>
              <w:jc w:val="left"/>
            </w:pPr>
            <w:r>
              <w:rPr>
                <w:sz w:val="17"/>
              </w:rPr>
              <w:t xml:space="preserve">Hospital global budgets (Medicare FFS)</w:t>
            </w:r>
          </w:p>
        </w:tc>
        <w:tc>
          <w:tcPr>
            <w:tcW w:w="5443" w:type="dxa"/>
          </w:tcPr>
          <w:p>
            <w:pPr>
              <w:pStyle w:val="Compact"/>
              <w:jc w:val="left"/>
            </w:pPr>
            <w:r>
              <w:rPr>
                <w:sz w:val="17"/>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7"/>
              </w:rPr>
              <w:t xml:space="preserve">Primary Care AHEAD</w:t>
            </w:r>
          </w:p>
        </w:tc>
        <w:tc>
          <w:tcPr>
            <w:tcW w:w="5443" w:type="dxa"/>
          </w:tcPr>
          <w:p>
            <w:pPr>
              <w:pStyle w:val="Compact"/>
              <w:jc w:val="left"/>
            </w:pPr>
            <w:r>
              <w:rPr>
                <w:sz w:val="17"/>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7"/>
              </w:rPr>
              <w:t xml:space="preserve">EAST Fund</w:t>
            </w:r>
          </w:p>
        </w:tc>
        <w:tc>
          <w:tcPr>
            <w:tcW w:w="5443" w:type="dxa"/>
          </w:tcPr>
          <w:p>
            <w:pPr>
              <w:pStyle w:val="Compact"/>
              <w:jc w:val="left"/>
            </w:pPr>
            <w:r>
              <w:rPr>
                <w:sz w:val="17"/>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7"/>
              </w:rPr>
              <w:t xml:space="preserve">Behavioral health and substance use</w:t>
            </w:r>
          </w:p>
        </w:tc>
        <w:tc>
          <w:tcPr>
            <w:tcW w:w="5443" w:type="dxa"/>
          </w:tcPr>
          <w:p>
            <w:pPr>
              <w:pStyle w:val="Compact"/>
              <w:jc w:val="left"/>
            </w:pPr>
            <w:r>
              <w:rPr>
                <w:sz w:val="17"/>
              </w:rPr>
              <w:t xml:space="preserve">EAST Fund explicitly directed toward MH/SUD; $1.2M in transformation grants approved from Cooperative Agreement Year 3 (2027)</w:t>
            </w:r>
          </w:p>
        </w:tc>
      </w:tr>
      <w:tr>
        <w:trPr/>
        <w:tc>
          <w:tcPr>
            <w:tcW w:w="3628" w:type="dxa"/>
          </w:tcPr>
          <w:p>
            <w:pPr>
              <w:pStyle w:val="Compact"/>
              <w:jc w:val="left"/>
            </w:pPr>
            <w:r>
              <w:rPr>
                <w:sz w:val="17"/>
              </w:rPr>
              <w:t xml:space="preserve">GMCB regulatory independence</w:t>
            </w:r>
          </w:p>
        </w:tc>
        <w:tc>
          <w:tcPr>
            <w:tcW w:w="5443" w:type="dxa"/>
          </w:tcPr>
          <w:p>
            <w:pPr>
              <w:pStyle w:val="Compact"/>
              <w:jc w:val="left"/>
            </w:pPr>
            <w:r>
              <w:rPr>
                <w:sz w:val="17"/>
              </w:rPr>
              <w:t xml:space="preserve">Agreement explicitly preserves GMCB’s authority to set hospital rates; AHEAD does not supersede state regulatory authority</w:t>
            </w:r>
          </w:p>
        </w:tc>
      </w:tr>
      <w:tr>
        <w:trPr/>
        <w:tc>
          <w:tcPr>
            <w:tcW w:w="3628" w:type="dxa"/>
          </w:tcPr>
          <w:p>
            <w:pPr>
              <w:pStyle w:val="Compact"/>
              <w:jc w:val="left"/>
            </w:pPr>
            <w:r>
              <w:rPr>
                <w:sz w:val="17"/>
              </w:rPr>
              <w:t xml:space="preserve">Withdrawal rights</w:t>
            </w:r>
          </w:p>
        </w:tc>
        <w:tc>
          <w:tcPr>
            <w:tcW w:w="5443" w:type="dxa"/>
          </w:tcPr>
          <w:p>
            <w:pPr>
              <w:pStyle w:val="Compact"/>
              <w:jc w:val="left"/>
            </w:pPr>
            <w:r>
              <w:rPr>
                <w:sz w:val="17"/>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7"/>
              </w:rPr>
              <w:t xml:space="preserve">Cooperative-agreement funds (pre-launch)</w:t>
            </w:r>
          </w:p>
        </w:tc>
        <w:tc>
          <w:tcPr>
            <w:tcW w:w="5443" w:type="dxa"/>
          </w:tcPr>
          <w:p>
            <w:pPr>
              <w:pStyle w:val="Compact"/>
              <w:jc w:val="left"/>
            </w:pPr>
            <w:r>
              <w:rPr>
                <w:sz w:val="17"/>
              </w:rPr>
              <w:t xml:space="preserve">CMS provides funds for pre-launch implementation; $1.2M approved for Cooperative Agreement Year 3 (2027)</w:t>
            </w:r>
          </w:p>
        </w:tc>
      </w:tr>
      <w:tr>
        <w:trPr/>
        <w:tc>
          <w:tcPr>
            <w:tcW w:w="3628" w:type="dxa"/>
          </w:tcPr>
          <w:p>
            <w:pPr>
              <w:pStyle w:val="Compact"/>
              <w:jc w:val="left"/>
            </w:pPr>
            <w:r>
              <w:rPr>
                <w:sz w:val="17"/>
              </w:rPr>
              <w:t xml:space="preserve">Quality performance</w:t>
            </w:r>
          </w:p>
        </w:tc>
        <w:tc>
          <w:tcPr>
            <w:tcW w:w="5443" w:type="dxa"/>
          </w:tcPr>
          <w:p>
            <w:pPr>
              <w:pStyle w:val="Compact"/>
              <w:jc w:val="left"/>
            </w:pPr>
            <w:r>
              <w:rPr>
                <w:sz w:val="17"/>
              </w:rPr>
              <w:t xml:space="preserve">Vermont must meet quality standards; measures aligned with Blueprint, HEDIS, and Act 167/68 reporting</w:t>
            </w:r>
          </w:p>
        </w:tc>
      </w:tr>
      <w:tr>
        <w:trPr/>
        <w:tc>
          <w:tcPr>
            <w:tcW w:w="3628" w:type="dxa"/>
          </w:tcPr>
          <w:p>
            <w:pPr>
              <w:pStyle w:val="Compact"/>
              <w:jc w:val="left"/>
            </w:pPr>
            <w:r>
              <w:rPr>
                <w:sz w:val="17"/>
              </w:rPr>
              <w:t xml:space="preserve">CMMI evaluation</w:t>
            </w:r>
          </w:p>
        </w:tc>
        <w:tc>
          <w:tcPr>
            <w:tcW w:w="5443" w:type="dxa"/>
          </w:tcPr>
          <w:p>
            <w:pPr>
              <w:pStyle w:val="Compact"/>
              <w:jc w:val="left"/>
            </w:pPr>
            <w:r>
              <w:rPr>
                <w:sz w:val="17"/>
              </w:rPr>
              <w:t xml:space="preserve">CMS conducts an independent evaluation; results inform national AHEAD expansion decisions</w:t>
            </w:r>
          </w:p>
        </w:tc>
      </w:tr>
      <w:tr>
        <w:trPr>
          <w:cantSplit/>
        </w:trPr>
        <w:tc>
          <w:tcPr>
            <w:tcW w:w="3628" w:type="dxa"/>
          </w:tcPr>
          <w:p>
            <w:pPr>
              <w:pStyle w:val="Compact"/>
              <w:jc w:val="left"/>
            </w:pPr>
            <w:r>
              <w:rPr>
                <w:sz w:val="17"/>
              </w:rPr>
              <w:t xml:space="preserve">Relationship to Act 68</w:t>
            </w:r>
          </w:p>
        </w:tc>
        <w:tc>
          <w:tcPr>
            <w:tcW w:w="5443" w:type="dxa"/>
          </w:tcPr>
          <w:p>
            <w:pPr>
              <w:pStyle w:val="Compact"/>
              <w:jc w:val="left"/>
            </w:pPr>
            <w:r>
              <w:rPr>
                <w:sz w:val="17"/>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7"/>
              </w:rPr>
              <w:t xml:space="preserve">Term</w:t>
            </w:r>
          </w:p>
        </w:tc>
        <w:tc>
          <w:tcPr>
            <w:shd w:val="clear" w:color="auto" w:fill="1B3A6B"/>
            <w:tcW w:w="3653" w:type="dxa"/>
          </w:tcPr>
          <w:p>
            <w:pPr>
              <w:pStyle w:val="Compact"/>
              <w:jc w:val="left"/>
            </w:pPr>
            <w:r>
              <w:rPr>
                <w:b/>
                <w:color w:val="FFFFFF"/>
                <w:sz w:val="17"/>
              </w:rPr>
              <w:t xml:space="preserve">What it is</w:t>
            </w:r>
          </w:p>
        </w:tc>
        <w:tc>
          <w:tcPr>
            <w:shd w:val="clear" w:color="auto" w:fill="1B3A6B"/>
            <w:tcW w:w="3653" w:type="dxa"/>
          </w:tcPr>
          <w:p>
            <w:pPr>
              <w:pStyle w:val="Compact"/>
              <w:jc w:val="left"/>
            </w:pPr>
            <w:r>
              <w:rPr>
                <w:b/>
                <w:color w:val="FFFFFF"/>
                <w:sz w:val="17"/>
              </w:rPr>
              <w:t xml:space="preserve">Generic equivalent</w:t>
            </w:r>
          </w:p>
        </w:tc>
      </w:tr>
      <w:tr>
        <w:trPr>
          <w:cantSplit/>
        </w:trPr>
        <w:tc>
          <w:tcPr>
            <w:tcW w:w="1765" w:type="dxa"/>
          </w:tcPr>
          <w:p>
            <w:pPr>
              <w:pStyle w:val="Compact"/>
              <w:jc w:val="left"/>
            </w:pPr>
            <w:r>
              <w:rPr>
                <w:b/>
                <w:bCs/>
                <w:sz w:val="17"/>
              </w:rPr>
              <w:t xml:space="preserve">AHS</w:t>
            </w:r>
          </w:p>
        </w:tc>
        <w:tc>
          <w:tcPr>
            <w:tcW w:w="3653" w:type="dxa"/>
          </w:tcPr>
          <w:p>
            <w:pPr>
              <w:pStyle w:val="Compact"/>
              <w:jc w:val="left"/>
            </w:pPr>
            <w:r>
              <w:rPr>
                <w:sz w:val="17"/>
              </w:rPr>
              <w:t xml:space="preserve">Vermont Agency of Human Services — the umbrella state agency now responsible for statewide healthcare transformation planning under Act 68.</w:t>
            </w:r>
          </w:p>
        </w:tc>
        <w:tc>
          <w:tcPr>
            <w:tcW w:w="3653" w:type="dxa"/>
          </w:tcPr>
          <w:p>
            <w:pPr>
              <w:pStyle w:val="Compact"/>
              <w:jc w:val="left"/>
            </w:pPr>
            <w:r>
              <w:rPr>
                <w:sz w:val="17"/>
              </w:rPr>
              <w:t xml:space="preserve">Your state’s health and human services department, or whichever agency holds the AHEAD/CMMI agreement.</w:t>
            </w:r>
          </w:p>
        </w:tc>
      </w:tr>
      <w:tr>
        <w:trPr/>
        <w:tc>
          <w:tcPr>
            <w:tcW w:w="1765" w:type="dxa"/>
          </w:tcPr>
          <w:p>
            <w:pPr>
              <w:pStyle w:val="Compact"/>
              <w:jc w:val="left"/>
            </w:pPr>
            <w:r>
              <w:rPr>
                <w:b/>
                <w:bCs/>
                <w:sz w:val="17"/>
              </w:rPr>
              <w:t xml:space="preserve">GMCB</w:t>
            </w:r>
          </w:p>
        </w:tc>
        <w:tc>
          <w:tcPr>
            <w:tcW w:w="3653" w:type="dxa"/>
          </w:tcPr>
          <w:p>
            <w:pPr>
              <w:pStyle w:val="Compact"/>
              <w:jc w:val="left"/>
            </w:pPr>
            <w:r>
              <w:rPr>
                <w:sz w:val="17"/>
              </w:rPr>
              <w:t xml:space="preserve">Green Mountain Care Board — Vermont’s independent hospital rate-setting and cost-growth-benchmark regulator.</w:t>
            </w:r>
          </w:p>
        </w:tc>
        <w:tc>
          <w:tcPr>
            <w:tcW w:w="3653" w:type="dxa"/>
          </w:tcPr>
          <w:p>
            <w:pPr>
              <w:pStyle w:val="Compact"/>
              <w:jc w:val="left"/>
            </w:pPr>
            <w:r>
              <w:rPr>
                <w:sz w:val="17"/>
              </w:rPr>
              <w:t xml:space="preserve">A hospital rate-review board or cost-growth-benchmark commission (e.g., Massachusetts HPC, Rhode Island OHIC, Connecticut OHS).</w:t>
            </w:r>
          </w:p>
        </w:tc>
      </w:tr>
      <w:tr>
        <w:trPr/>
        <w:tc>
          <w:tcPr>
            <w:tcW w:w="1765" w:type="dxa"/>
          </w:tcPr>
          <w:p>
            <w:pPr>
              <w:pStyle w:val="Compact"/>
              <w:jc w:val="left"/>
            </w:pPr>
            <w:r>
              <w:rPr>
                <w:b/>
                <w:bCs/>
                <w:sz w:val="17"/>
              </w:rPr>
              <w:t xml:space="preserve">VHCURES</w:t>
            </w:r>
          </w:p>
        </w:tc>
        <w:tc>
          <w:tcPr>
            <w:tcW w:w="3653" w:type="dxa"/>
          </w:tcPr>
          <w:p>
            <w:pPr>
              <w:pStyle w:val="Compact"/>
              <w:jc w:val="left"/>
            </w:pPr>
            <w:r>
              <w:rPr>
                <w:sz w:val="17"/>
              </w:rPr>
              <w:t xml:space="preserve">Vermont’s all-payer claims database (APCD).</w:t>
            </w:r>
          </w:p>
        </w:tc>
        <w:tc>
          <w:tcPr>
            <w:tcW w:w="3653" w:type="dxa"/>
          </w:tcPr>
          <w:p>
            <w:pPr>
              <w:pStyle w:val="Compact"/>
              <w:jc w:val="left"/>
            </w:pPr>
            <w:r>
              <w:rPr>
                <w:sz w:val="17"/>
              </w:rPr>
              <w:t xml:space="preserve">Your state’s APCD, if one exists; roughly 20 states have one.</w:t>
            </w:r>
          </w:p>
        </w:tc>
      </w:tr>
      <w:tr>
        <w:trPr/>
        <w:tc>
          <w:tcPr>
            <w:tcW w:w="1765" w:type="dxa"/>
          </w:tcPr>
          <w:p>
            <w:pPr>
              <w:pStyle w:val="Compact"/>
              <w:jc w:val="left"/>
            </w:pPr>
            <w:r>
              <w:rPr>
                <w:b/>
                <w:bCs/>
                <w:sz w:val="17"/>
              </w:rPr>
              <w:t xml:space="preserve">VITL</w:t>
            </w:r>
          </w:p>
        </w:tc>
        <w:tc>
          <w:tcPr>
            <w:tcW w:w="3653" w:type="dxa"/>
          </w:tcPr>
          <w:p>
            <w:pPr>
              <w:pStyle w:val="Compact"/>
              <w:jc w:val="left"/>
            </w:pPr>
            <w:r>
              <w:rPr>
                <w:sz w:val="17"/>
              </w:rPr>
              <w:t xml:space="preserve">Vermont Information Technology Leaders — operator of Vermont’s health information exchange.</w:t>
            </w:r>
          </w:p>
        </w:tc>
        <w:tc>
          <w:tcPr>
            <w:tcW w:w="3653" w:type="dxa"/>
          </w:tcPr>
          <w:p>
            <w:pPr>
              <w:pStyle w:val="Compact"/>
              <w:jc w:val="left"/>
            </w:pPr>
            <w:r>
              <w:rPr>
                <w:sz w:val="17"/>
              </w:rPr>
              <w:t xml:space="preserve">Your state’s designated HIE entity.</w:t>
            </w:r>
          </w:p>
        </w:tc>
      </w:tr>
      <w:tr>
        <w:trPr/>
        <w:tc>
          <w:tcPr>
            <w:tcW w:w="1765" w:type="dxa"/>
          </w:tcPr>
          <w:p>
            <w:pPr>
              <w:pStyle w:val="Compact"/>
              <w:jc w:val="left"/>
            </w:pPr>
            <w:r>
              <w:rPr>
                <w:b/>
                <w:bCs/>
                <w:sz w:val="17"/>
              </w:rPr>
              <w:t xml:space="preserve">OneCare (Vermont)</w:t>
            </w:r>
          </w:p>
        </w:tc>
        <w:tc>
          <w:tcPr>
            <w:tcW w:w="3653" w:type="dxa"/>
          </w:tcPr>
          <w:p>
            <w:pPr>
              <w:pStyle w:val="Compact"/>
              <w:jc w:val="left"/>
            </w:pPr>
            <w:r>
              <w:rPr>
                <w:sz w:val="17"/>
              </w:rPr>
              <w:t xml:space="preserve">Vermont’s primary ACO under the All-Payer ACO Model (2017–2025), now wound down.</w:t>
            </w:r>
          </w:p>
        </w:tc>
        <w:tc>
          <w:tcPr>
            <w:tcW w:w="3653" w:type="dxa"/>
          </w:tcPr>
          <w:p>
            <w:pPr>
              <w:pStyle w:val="Compact"/>
              <w:jc w:val="left"/>
            </w:pPr>
            <w:r>
              <w:rPr>
                <w:sz w:val="17"/>
              </w:rPr>
              <w:t xml:space="preserve">Any Medicaid ACO, MSSP ACO, or comparable total-cost-of-care entity in your state.</w:t>
            </w:r>
          </w:p>
        </w:tc>
      </w:tr>
      <w:tr>
        <w:trPr/>
        <w:tc>
          <w:tcPr>
            <w:tcW w:w="1765" w:type="dxa"/>
          </w:tcPr>
          <w:p>
            <w:pPr>
              <w:pStyle w:val="Compact"/>
              <w:jc w:val="left"/>
            </w:pPr>
            <w:r>
              <w:rPr>
                <w:b/>
                <w:bCs/>
                <w:sz w:val="17"/>
              </w:rPr>
              <w:t xml:space="preserve">AHEAD Model</w:t>
            </w:r>
          </w:p>
        </w:tc>
        <w:tc>
          <w:tcPr>
            <w:tcW w:w="3653" w:type="dxa"/>
          </w:tcPr>
          <w:p>
            <w:pPr>
              <w:pStyle w:val="Compact"/>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7"/>
              </w:rPr>
              <w:t xml:space="preserve">Act 167 (2022)</w:t>
            </w:r>
          </w:p>
        </w:tc>
        <w:tc>
          <w:tcPr>
            <w:tcW w:w="3653" w:type="dxa"/>
          </w:tcPr>
          <w:p>
            <w:pPr>
              <w:pStyle w:val="Compact"/>
              <w:jc w:val="left"/>
            </w:pPr>
            <w:r>
              <w:rPr>
                <w:sz w:val="17"/>
              </w:rPr>
              <w:t xml:space="preserve">Vermont’s diagnostic mandate — commissioned the Oliver Wyman system-wide financial analysis.</w:t>
            </w:r>
          </w:p>
        </w:tc>
        <w:tc>
          <w:tcPr>
            <w:tcW w:w="3653" w:type="dxa"/>
          </w:tcPr>
          <w:p>
            <w:pPr>
              <w:pStyle w:val="Compact"/>
              <w:jc w:val="left"/>
            </w:pPr>
            <w:r>
              <w:rPr>
                <w:sz w:val="17"/>
              </w:rPr>
              <w:t xml:space="preserve">A legislatively mandated independent system assessment or consultant study.</w:t>
            </w:r>
          </w:p>
        </w:tc>
      </w:tr>
      <w:tr>
        <w:trPr/>
        <w:tc>
          <w:tcPr>
            <w:tcW w:w="1765" w:type="dxa"/>
          </w:tcPr>
          <w:p>
            <w:pPr>
              <w:pStyle w:val="Compact"/>
              <w:jc w:val="left"/>
            </w:pPr>
            <w:r>
              <w:rPr>
                <w:b/>
                <w:bCs/>
                <w:sz w:val="17"/>
              </w:rPr>
              <w:t xml:space="preserve">Act 51 (2023)</w:t>
            </w:r>
          </w:p>
        </w:tc>
        <w:tc>
          <w:tcPr>
            <w:tcW w:w="3653" w:type="dxa"/>
          </w:tcPr>
          <w:p>
            <w:pPr>
              <w:pStyle w:val="Compact"/>
              <w:jc w:val="left"/>
            </w:pPr>
            <w:r>
              <w:rPr>
                <w:sz w:val="17"/>
              </w:rPr>
              <w:t xml:space="preserve">Defined the six-pillar transformation architecture and the AHS restructuring mandate.</w:t>
            </w:r>
          </w:p>
        </w:tc>
        <w:tc>
          <w:tcPr>
            <w:tcW w:w="3653" w:type="dxa"/>
          </w:tcPr>
          <w:p>
            <w:pPr>
              <w:pStyle w:val="Compact"/>
              <w:jc w:val="left"/>
            </w:pPr>
            <w:r>
              <w:rPr>
                <w:sz w:val="17"/>
              </w:rPr>
              <w:t xml:space="preserve">A reform-framework-establishing statute.</w:t>
            </w:r>
          </w:p>
        </w:tc>
      </w:tr>
      <w:tr>
        <w:trPr/>
        <w:tc>
          <w:tcPr>
            <w:tcW w:w="1765" w:type="dxa"/>
          </w:tcPr>
          <w:p>
            <w:pPr>
              <w:pStyle w:val="Compact"/>
              <w:jc w:val="left"/>
            </w:pPr>
            <w:r>
              <w:rPr>
                <w:b/>
                <w:bCs/>
                <w:sz w:val="17"/>
              </w:rPr>
              <w:t xml:space="preserve">Act 68 (2025)</w:t>
            </w:r>
          </w:p>
        </w:tc>
        <w:tc>
          <w:tcPr>
            <w:tcW w:w="3653" w:type="dxa"/>
          </w:tcPr>
          <w:p>
            <w:pPr>
              <w:pStyle w:val="Compact"/>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7"/>
              </w:rPr>
              <w:t xml:space="preserve">A binding cost-control or payment-reform statute with statutory deadlines and enforcement authority.</w:t>
            </w:r>
          </w:p>
        </w:tc>
      </w:tr>
      <w:tr>
        <w:trPr/>
        <w:tc>
          <w:tcPr>
            <w:tcW w:w="1765" w:type="dxa"/>
          </w:tcPr>
          <w:p>
            <w:pPr>
              <w:pStyle w:val="Compact"/>
              <w:jc w:val="left"/>
            </w:pPr>
            <w:r>
              <w:rPr>
                <w:b/>
                <w:bCs/>
                <w:sz w:val="17"/>
              </w:rPr>
              <w:t xml:space="preserve">RBP (Reference-Based Pricing)</w:t>
            </w:r>
          </w:p>
        </w:tc>
        <w:tc>
          <w:tcPr>
            <w:tcW w:w="3653" w:type="dxa"/>
          </w:tcPr>
          <w:p>
            <w:pPr>
              <w:pStyle w:val="Compact"/>
              <w:jc w:val="left"/>
            </w:pPr>
            <w:r>
              <w:rPr>
                <w:sz w:val="17"/>
              </w:rPr>
              <w:t xml:space="preserve">Capping what hospitals may accept as payment in full, expressed as a percentage of Medicare rates.</w:t>
            </w:r>
          </w:p>
        </w:tc>
        <w:tc>
          <w:tcPr>
            <w:tcW w:w="3653" w:type="dxa"/>
          </w:tcPr>
          <w:p>
            <w:pPr>
              <w:pStyle w:val="Compact"/>
              <w:jc w:val="left"/>
            </w:pPr>
            <w:r>
              <w:rPr>
                <w:sz w:val="17"/>
              </w:rPr>
              <w:t xml:space="preserve">Same term used nationally; Oregon, Montana, Washington, and Maryland have prior or analogous programs.</w:t>
            </w:r>
          </w:p>
        </w:tc>
      </w:tr>
      <w:tr>
        <w:trPr/>
        <w:tc>
          <w:tcPr>
            <w:tcW w:w="1765" w:type="dxa"/>
          </w:tcPr>
          <w:p>
            <w:pPr>
              <w:pStyle w:val="Compact"/>
              <w:jc w:val="left"/>
            </w:pPr>
            <w:r>
              <w:rPr>
                <w:b/>
                <w:bCs/>
                <w:sz w:val="17"/>
              </w:rPr>
              <w:t xml:space="preserve">CCBHC</w:t>
            </w:r>
          </w:p>
        </w:tc>
        <w:tc>
          <w:tcPr>
            <w:tcW w:w="3653" w:type="dxa"/>
          </w:tcPr>
          <w:p>
            <w:pPr>
              <w:pStyle w:val="Compact"/>
              <w:jc w:val="left"/>
            </w:pPr>
            <w:r>
              <w:rPr>
                <w:sz w:val="17"/>
              </w:rPr>
              <w:t xml:space="preserve">Certified Community Behavioral Health Clinic — a federal model for integrated behavioral health and primary care.</w:t>
            </w:r>
          </w:p>
        </w:tc>
        <w:tc>
          <w:tcPr>
            <w:tcW w:w="3653" w:type="dxa"/>
          </w:tcPr>
          <w:p>
            <w:pPr>
              <w:pStyle w:val="Compact"/>
              <w:jc w:val="left"/>
            </w:pPr>
            <w:r>
              <w:rPr>
                <w:sz w:val="17"/>
              </w:rPr>
              <w:t xml:space="preserve">National model; check your state’s CCBHC participation under SAMHSA.</w:t>
            </w:r>
          </w:p>
        </w:tc>
      </w:tr>
      <w:tr>
        <w:trPr/>
        <w:tc>
          <w:tcPr>
            <w:tcW w:w="1765" w:type="dxa"/>
          </w:tcPr>
          <w:p>
            <w:pPr>
              <w:pStyle w:val="Compact"/>
              <w:jc w:val="left"/>
            </w:pPr>
            <w:r>
              <w:rPr>
                <w:b/>
                <w:bCs/>
                <w:sz w:val="17"/>
              </w:rPr>
              <w:t xml:space="preserve">RHRC</w:t>
            </w:r>
          </w:p>
        </w:tc>
        <w:tc>
          <w:tcPr>
            <w:tcW w:w="3653" w:type="dxa"/>
          </w:tcPr>
          <w:p>
            <w:pPr>
              <w:pStyle w:val="Compact"/>
              <w:jc w:val="left"/>
            </w:pPr>
            <w:r>
              <w:rPr>
                <w:sz w:val="17"/>
              </w:rPr>
              <w:t xml:space="preserve">Rural Health Redesign Center — provides the technical-assistance methodology referenced for Vermont’s rural hospital transformation.</w:t>
            </w:r>
          </w:p>
        </w:tc>
        <w:tc>
          <w:tcPr>
            <w:tcW w:w="3653" w:type="dxa"/>
          </w:tcPr>
          <w:p>
            <w:pPr>
              <w:pStyle w:val="Compact"/>
              <w:jc w:val="left"/>
            </w:pPr>
            <w:r>
              <w:rPr>
                <w:sz w:val="17"/>
              </w:rPr>
              <w:t xml:space="preserve">National technical-assistance provider, not Vermont-specific.</w:t>
            </w:r>
          </w:p>
        </w:tc>
      </w:tr>
      <w:tr>
        <w:trPr/>
        <w:tc>
          <w:tcPr>
            <w:tcW w:w="1765" w:type="dxa"/>
          </w:tcPr>
          <w:p>
            <w:pPr>
              <w:pStyle w:val="Compact"/>
              <w:jc w:val="left"/>
            </w:pPr>
            <w:r>
              <w:rPr>
                <w:b/>
                <w:bCs/>
                <w:sz w:val="17"/>
              </w:rPr>
              <w:t xml:space="preserve">RHT Program</w:t>
            </w:r>
          </w:p>
        </w:tc>
        <w:tc>
          <w:tcPr>
            <w:tcW w:w="3653" w:type="dxa"/>
          </w:tcPr>
          <w:p>
            <w:pPr>
              <w:pStyle w:val="Compact"/>
              <w:jc w:val="left"/>
            </w:pPr>
            <w:r>
              <w:rPr>
                <w:sz w:val="17"/>
              </w:rPr>
              <w:t xml:space="preserve">Rural Health Transformation Program — the federal capital program from which Vermont received a $195M, five-year award.</w:t>
            </w:r>
          </w:p>
        </w:tc>
        <w:tc>
          <w:tcPr>
            <w:tcW w:w="3653" w:type="dxa"/>
          </w:tcPr>
          <w:p>
            <w:pPr>
              <w:pStyle w:val="Compact"/>
              <w:jc w:val="left"/>
            </w:pPr>
            <w:r>
              <w:rPr>
                <w:sz w:val="17"/>
              </w:rPr>
              <w:t xml:space="preserve">Every state was eligible; check your state’s RHT award and use-of-funds plan.</w:t>
            </w:r>
          </w:p>
        </w:tc>
      </w:tr>
      <w:tr>
        <w:trPr/>
        <w:tc>
          <w:tcPr>
            <w:tcW w:w="1765" w:type="dxa"/>
          </w:tcPr>
          <w:p>
            <w:pPr>
              <w:pStyle w:val="Compact"/>
              <w:jc w:val="left"/>
            </w:pPr>
            <w:r>
              <w:rPr>
                <w:b/>
                <w:bCs/>
                <w:sz w:val="17"/>
              </w:rPr>
              <w:t xml:space="preserve">HSA</w:t>
            </w:r>
          </w:p>
        </w:tc>
        <w:tc>
          <w:tcPr>
            <w:tcW w:w="3653" w:type="dxa"/>
          </w:tcPr>
          <w:p>
            <w:pPr>
              <w:pStyle w:val="Compact"/>
              <w:jc w:val="left"/>
            </w:pPr>
            <w:r>
              <w:rPr>
                <w:sz w:val="17"/>
              </w:rPr>
              <w:t xml:space="preserve">Hospital Service Area — Vermont’s 14 sub-state geographic planning units.</w:t>
            </w:r>
          </w:p>
        </w:tc>
        <w:tc>
          <w:tcPr>
            <w:tcW w:w="3653" w:type="dxa"/>
          </w:tcPr>
          <w:p>
            <w:pPr>
              <w:pStyle w:val="Compact"/>
              <w:jc w:val="left"/>
            </w:pPr>
            <w:r>
              <w:rPr>
                <w:sz w:val="17"/>
              </w:rPr>
              <w:t xml:space="preserve">Your state’s hospital referral region or service-area equivalent.</w:t>
            </w:r>
          </w:p>
        </w:tc>
      </w:tr>
      <w:tr>
        <w:trPr>
          <w:cantSplit/>
        </w:trPr>
        <w:tc>
          <w:tcPr>
            <w:tcW w:w="1765" w:type="dxa"/>
          </w:tcPr>
          <w:p>
            <w:pPr>
              <w:pStyle w:val="Compact"/>
              <w:jc w:val="left"/>
            </w:pPr>
            <w:r>
              <w:rPr>
                <w:b/>
                <w:bCs/>
                <w:sz w:val="17"/>
              </w:rPr>
              <w:t xml:space="preserve">Northeast Kingdom</w:t>
            </w:r>
          </w:p>
        </w:tc>
        <w:tc>
          <w:tcPr>
            <w:tcW w:w="3653" w:type="dxa"/>
          </w:tcPr>
          <w:p>
            <w:pPr>
              <w:pStyle w:val="Compact"/>
              <w:jc w:val="left"/>
            </w:pPr>
            <w:r>
              <w:rPr>
                <w:sz w:val="17"/>
              </w:rPr>
              <w:t xml:space="preserve">Vermont’s three northeasternmost counties (Caledonia, Essex, Orleans) — the state’s most severe rural access and equity challenge.</w:t>
            </w:r>
          </w:p>
        </w:tc>
        <w:tc>
          <w:tcPr>
            <w:tcW w:w="3653" w:type="dxa"/>
          </w:tcPr>
          <w:p>
            <w:pPr>
              <w:pStyle w:val="Compact"/>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2026-07-28T18:56:44Z</dcterms:created>
  <dcterms:modified xsi:type="dcterms:W3CDTF">2026-07-28T18:56:44Z</dcterms:modified>
</cp:coreProperties>
</file>

<file path=docProps/custom.xml><?xml version="1.0" encoding="utf-8"?>
<Properties xmlns="http://schemas.openxmlformats.org/officeDocument/2006/custom-properties" xmlns:vt="http://schemas.openxmlformats.org/officeDocument/2006/docPropsVTypes"/>
</file>